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06BA2">
      <w:pPr>
        <w:spacing w:after="0"/>
        <w:jc w:val="center"/>
      </w:pPr>
    </w:p>
    <w:p w14:paraId="00CEF45A">
      <w:pPr>
        <w:jc w:val="center"/>
      </w:pPr>
      <w:r>
        <w:rPr>
          <w:rFonts w:hint="eastAsia"/>
          <w:lang w:eastAsia="zh-CN"/>
        </w:rPr>
        <w:drawing>
          <wp:inline distT="0" distB="0" distL="0" distR="0">
            <wp:extent cx="3028950" cy="848995"/>
            <wp:effectExtent l="0" t="0" r="0" b="8255"/>
            <wp:docPr id="2"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标志与中文校名组合规范 [转换]"/>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028950" cy="849388"/>
                    </a:xfrm>
                    <a:prstGeom prst="rect">
                      <a:avLst/>
                    </a:prstGeom>
                    <a:noFill/>
                    <a:ln>
                      <a:noFill/>
                    </a:ln>
                  </pic:spPr>
                </pic:pic>
              </a:graphicData>
            </a:graphic>
          </wp:inline>
        </w:drawing>
      </w:r>
    </w:p>
    <w:p w14:paraId="77A8196B">
      <w:pPr>
        <w:jc w:val="center"/>
        <w:rPr>
          <w:rFonts w:ascii="黑体" w:hAnsi="黑体" w:eastAsia="黑体"/>
          <w:sz w:val="72"/>
          <w:szCs w:val="72"/>
        </w:rPr>
      </w:pPr>
      <w:r>
        <w:rPr>
          <w:rFonts w:hint="eastAsia" w:ascii="黑体" w:hAnsi="黑体" w:eastAsia="黑体"/>
          <w:sz w:val="72"/>
          <w:szCs w:val="72"/>
        </w:rPr>
        <w:t>硕士研究生学位论文</w:t>
      </w:r>
    </w:p>
    <w:p w14:paraId="683512CA">
      <w:pPr>
        <w:spacing w:line="300" w:lineRule="auto"/>
        <w:jc w:val="center"/>
      </w:pPr>
    </w:p>
    <w:tbl>
      <w:tblPr>
        <w:tblStyle w:val="30"/>
        <w:tblW w:w="0" w:type="auto"/>
        <w:jc w:val="center"/>
        <w:tblLayout w:type="autofit"/>
        <w:tblCellMar>
          <w:top w:w="0" w:type="dxa"/>
          <w:left w:w="108" w:type="dxa"/>
          <w:bottom w:w="0" w:type="dxa"/>
          <w:right w:w="108" w:type="dxa"/>
        </w:tblCellMar>
      </w:tblPr>
      <w:tblGrid>
        <w:gridCol w:w="1559"/>
        <w:gridCol w:w="6520"/>
      </w:tblGrid>
      <w:tr w14:paraId="501204F8">
        <w:tblPrEx>
          <w:tblCellMar>
            <w:top w:w="0" w:type="dxa"/>
            <w:left w:w="108" w:type="dxa"/>
            <w:bottom w:w="0" w:type="dxa"/>
            <w:right w:w="108" w:type="dxa"/>
          </w:tblCellMar>
        </w:tblPrEx>
        <w:trPr>
          <w:trHeight w:val="840" w:hRule="atLeast"/>
          <w:jc w:val="center"/>
        </w:trPr>
        <w:tc>
          <w:tcPr>
            <w:tcW w:w="1559" w:type="dxa"/>
            <w:vAlign w:val="bottom"/>
          </w:tcPr>
          <w:p w14:paraId="72E17CA4">
            <w:pPr>
              <w:spacing w:after="0" w:line="300" w:lineRule="auto"/>
              <w:jc w:val="center"/>
            </w:pPr>
            <w:r>
              <w:rPr>
                <w:rFonts w:hint="eastAsia"/>
                <w:sz w:val="44"/>
              </w:rPr>
              <w:t>题目：</w:t>
            </w:r>
          </w:p>
        </w:tc>
        <w:tc>
          <w:tcPr>
            <w:tcW w:w="6520" w:type="dxa"/>
            <w:tcBorders>
              <w:bottom w:val="single" w:color="auto" w:sz="6" w:space="0"/>
            </w:tcBorders>
            <w:vAlign w:val="bottom"/>
          </w:tcPr>
          <w:p w14:paraId="33E19424">
            <w:pPr>
              <w:spacing w:after="0" w:line="300" w:lineRule="auto"/>
              <w:jc w:val="center"/>
              <w:rPr>
                <w:rFonts w:ascii="黑体" w:hAnsi="黑体" w:eastAsia="黑体"/>
                <w:sz w:val="52"/>
                <w:szCs w:val="52"/>
              </w:rPr>
            </w:pPr>
            <w:r>
              <w:rPr>
                <w:rFonts w:hint="eastAsia" w:ascii="黑体" w:hAnsi="黑体" w:eastAsia="黑体"/>
                <w:sz w:val="52"/>
                <w:szCs w:val="52"/>
              </w:rPr>
              <w:t>视觉力学传感器企业战略</w:t>
            </w:r>
          </w:p>
        </w:tc>
      </w:tr>
      <w:tr w14:paraId="765A34EC">
        <w:tblPrEx>
          <w:tblCellMar>
            <w:top w:w="0" w:type="dxa"/>
            <w:left w:w="108" w:type="dxa"/>
            <w:bottom w:w="0" w:type="dxa"/>
            <w:right w:w="108" w:type="dxa"/>
          </w:tblCellMar>
        </w:tblPrEx>
        <w:trPr>
          <w:trHeight w:val="840" w:hRule="atLeast"/>
          <w:jc w:val="center"/>
        </w:trPr>
        <w:tc>
          <w:tcPr>
            <w:tcW w:w="1559" w:type="dxa"/>
            <w:vAlign w:val="bottom"/>
          </w:tcPr>
          <w:p w14:paraId="3F2D1DBC">
            <w:pPr>
              <w:spacing w:after="0" w:line="300" w:lineRule="auto"/>
              <w:jc w:val="center"/>
            </w:pPr>
          </w:p>
        </w:tc>
        <w:tc>
          <w:tcPr>
            <w:tcW w:w="6520" w:type="dxa"/>
            <w:tcBorders>
              <w:top w:val="single" w:color="auto" w:sz="6" w:space="0"/>
              <w:bottom w:val="single" w:color="auto" w:sz="6" w:space="0"/>
            </w:tcBorders>
            <w:vAlign w:val="bottom"/>
          </w:tcPr>
          <w:p w14:paraId="11B09F8C">
            <w:pPr>
              <w:spacing w:after="0" w:line="300" w:lineRule="auto"/>
              <w:jc w:val="center"/>
              <w:rPr>
                <w:color w:val="FF0000"/>
              </w:rPr>
            </w:pPr>
            <w:r>
              <w:rPr>
                <w:rFonts w:hint="eastAsia" w:ascii="黑体" w:hAnsi="黑体" w:eastAsia="黑体"/>
                <w:sz w:val="52"/>
                <w:szCs w:val="52"/>
              </w:rPr>
              <w:t>转型研究以HSM为例</w:t>
            </w:r>
          </w:p>
        </w:tc>
      </w:tr>
    </w:tbl>
    <w:p w14:paraId="48A04209">
      <w:pPr>
        <w:spacing w:after="0"/>
      </w:pPr>
    </w:p>
    <w:p w14:paraId="526FE797">
      <w:pPr>
        <w:spacing w:after="0"/>
      </w:pPr>
    </w:p>
    <w:p w14:paraId="4C9EF5C3">
      <w:pPr>
        <w:spacing w:after="0"/>
      </w:pPr>
    </w:p>
    <w:p w14:paraId="0CEA733D">
      <w:pPr>
        <w:spacing w:after="0"/>
      </w:pPr>
    </w:p>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9"/>
        <w:gridCol w:w="4323"/>
      </w:tblGrid>
      <w:tr w14:paraId="1A695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809" w:type="dxa"/>
            <w:vAlign w:val="center"/>
          </w:tcPr>
          <w:p w14:paraId="5D053059">
            <w:pPr>
              <w:pStyle w:val="17"/>
              <w:spacing w:after="0" w:line="300" w:lineRule="auto"/>
              <w:jc w:val="center"/>
              <w:rPr>
                <w:rFonts w:ascii="黑体" w:hAnsi="黑体" w:eastAsia="黑体"/>
                <w:sz w:val="30"/>
                <w:szCs w:val="30"/>
              </w:rPr>
            </w:pPr>
            <w:r>
              <w:rPr>
                <w:rFonts w:hint="eastAsia" w:ascii="黑体" w:hAnsi="黑体" w:eastAsia="黑体"/>
                <w:sz w:val="30"/>
                <w:szCs w:val="30"/>
              </w:rPr>
              <w:t>姓    名：</w:t>
            </w:r>
          </w:p>
        </w:tc>
        <w:tc>
          <w:tcPr>
            <w:tcW w:w="4323" w:type="dxa"/>
            <w:tcBorders>
              <w:bottom w:val="single" w:color="auto" w:sz="6" w:space="0"/>
            </w:tcBorders>
            <w:vAlign w:val="center"/>
          </w:tcPr>
          <w:p w14:paraId="4F1131C4">
            <w:pPr>
              <w:pStyle w:val="17"/>
              <w:spacing w:after="0" w:line="300" w:lineRule="auto"/>
              <w:jc w:val="center"/>
              <w:rPr>
                <w:rFonts w:ascii="仿宋" w:hAnsi="仿宋" w:eastAsia="仿宋"/>
                <w:sz w:val="32"/>
                <w:szCs w:val="32"/>
              </w:rPr>
            </w:pPr>
            <w:r>
              <w:rPr>
                <w:rFonts w:hint="eastAsia" w:ascii="仿宋" w:hAnsi="仿宋" w:eastAsia="仿宋"/>
                <w:sz w:val="32"/>
                <w:szCs w:val="32"/>
                <w:lang w:eastAsia="zh-CN"/>
              </w:rPr>
              <w:t>毕胜昔</w:t>
            </w:r>
          </w:p>
        </w:tc>
      </w:tr>
      <w:tr w14:paraId="04E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809" w:type="dxa"/>
            <w:vAlign w:val="center"/>
          </w:tcPr>
          <w:p w14:paraId="5C35832C">
            <w:pPr>
              <w:pStyle w:val="17"/>
              <w:spacing w:after="0" w:line="300" w:lineRule="auto"/>
              <w:jc w:val="center"/>
              <w:rPr>
                <w:rFonts w:ascii="黑体" w:hAnsi="黑体" w:eastAsia="黑体"/>
                <w:sz w:val="30"/>
                <w:szCs w:val="30"/>
              </w:rPr>
            </w:pPr>
            <w:r>
              <w:rPr>
                <w:rFonts w:hint="eastAsia" w:ascii="黑体" w:hAnsi="黑体" w:eastAsia="黑体"/>
                <w:sz w:val="30"/>
                <w:szCs w:val="30"/>
              </w:rPr>
              <w:t>学    号：</w:t>
            </w:r>
          </w:p>
        </w:tc>
        <w:tc>
          <w:tcPr>
            <w:tcW w:w="4323" w:type="dxa"/>
            <w:tcBorders>
              <w:top w:val="single" w:color="auto" w:sz="6" w:space="0"/>
              <w:bottom w:val="single" w:color="auto" w:sz="6" w:space="0"/>
            </w:tcBorders>
            <w:vAlign w:val="center"/>
          </w:tcPr>
          <w:p w14:paraId="217B32B8">
            <w:pPr>
              <w:pStyle w:val="17"/>
              <w:spacing w:after="0" w:line="300" w:lineRule="auto"/>
              <w:jc w:val="center"/>
              <w:rPr>
                <w:rFonts w:ascii="仿宋" w:hAnsi="仿宋" w:eastAsia="仿宋"/>
                <w:sz w:val="32"/>
                <w:szCs w:val="32"/>
                <w:lang w:eastAsia="zh-CN"/>
              </w:rPr>
            </w:pPr>
            <w:r>
              <w:rPr>
                <w:rFonts w:hint="eastAsia" w:ascii="仿宋" w:hAnsi="仿宋" w:eastAsia="仿宋"/>
                <w:sz w:val="32"/>
                <w:szCs w:val="32"/>
                <w:lang w:eastAsia="zh-CN"/>
              </w:rPr>
              <w:t>2</w:t>
            </w:r>
            <w:r>
              <w:rPr>
                <w:rFonts w:ascii="仿宋" w:hAnsi="仿宋" w:eastAsia="仿宋"/>
                <w:sz w:val="32"/>
                <w:szCs w:val="32"/>
                <w:lang w:eastAsia="zh-CN"/>
              </w:rPr>
              <w:t>401221616</w:t>
            </w:r>
          </w:p>
        </w:tc>
      </w:tr>
      <w:tr w14:paraId="791D6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809" w:type="dxa"/>
            <w:vAlign w:val="center"/>
          </w:tcPr>
          <w:p w14:paraId="7A85C4BE">
            <w:pPr>
              <w:pStyle w:val="17"/>
              <w:spacing w:after="0" w:line="300" w:lineRule="auto"/>
              <w:jc w:val="center"/>
              <w:rPr>
                <w:rFonts w:ascii="黑体" w:hAnsi="黑体" w:eastAsia="黑体"/>
                <w:sz w:val="30"/>
                <w:szCs w:val="30"/>
              </w:rPr>
            </w:pPr>
            <w:r>
              <w:rPr>
                <w:rFonts w:hint="eastAsia" w:ascii="黑体" w:hAnsi="黑体" w:eastAsia="黑体"/>
                <w:sz w:val="30"/>
                <w:szCs w:val="30"/>
              </w:rPr>
              <w:t>院    系：</w:t>
            </w:r>
          </w:p>
        </w:tc>
        <w:tc>
          <w:tcPr>
            <w:tcW w:w="4323" w:type="dxa"/>
            <w:tcBorders>
              <w:top w:val="single" w:color="auto" w:sz="6" w:space="0"/>
              <w:bottom w:val="single" w:color="auto" w:sz="6" w:space="0"/>
            </w:tcBorders>
            <w:vAlign w:val="center"/>
          </w:tcPr>
          <w:p w14:paraId="2529D171">
            <w:pPr>
              <w:pStyle w:val="17"/>
              <w:spacing w:after="0" w:line="300" w:lineRule="auto"/>
              <w:jc w:val="center"/>
              <w:rPr>
                <w:rFonts w:ascii="仿宋" w:hAnsi="仿宋" w:eastAsia="仿宋"/>
                <w:sz w:val="32"/>
                <w:szCs w:val="32"/>
              </w:rPr>
            </w:pPr>
            <w:r>
              <w:rPr>
                <w:rFonts w:hint="eastAsia" w:ascii="仿宋" w:hAnsi="仿宋" w:eastAsia="仿宋"/>
                <w:sz w:val="32"/>
                <w:szCs w:val="32"/>
              </w:rPr>
              <w:t>汇丰商学院</w:t>
            </w:r>
          </w:p>
        </w:tc>
      </w:tr>
      <w:tr w14:paraId="3695C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809" w:type="dxa"/>
            <w:vAlign w:val="center"/>
          </w:tcPr>
          <w:p w14:paraId="714D8094">
            <w:pPr>
              <w:pStyle w:val="17"/>
              <w:spacing w:after="0" w:line="300" w:lineRule="auto"/>
              <w:jc w:val="center"/>
              <w:rPr>
                <w:rFonts w:ascii="黑体" w:hAnsi="黑体" w:eastAsia="黑体"/>
                <w:sz w:val="30"/>
                <w:szCs w:val="30"/>
              </w:rPr>
            </w:pPr>
            <w:r>
              <w:rPr>
                <w:rFonts w:hint="eastAsia" w:ascii="黑体" w:hAnsi="黑体" w:eastAsia="黑体"/>
                <w:sz w:val="30"/>
                <w:szCs w:val="30"/>
              </w:rPr>
              <w:t>专    业：</w:t>
            </w:r>
          </w:p>
        </w:tc>
        <w:tc>
          <w:tcPr>
            <w:tcW w:w="4323" w:type="dxa"/>
            <w:tcBorders>
              <w:top w:val="single" w:color="auto" w:sz="6" w:space="0"/>
              <w:bottom w:val="single" w:color="auto" w:sz="6" w:space="0"/>
            </w:tcBorders>
            <w:vAlign w:val="center"/>
          </w:tcPr>
          <w:p w14:paraId="1D9CFB92">
            <w:pPr>
              <w:pStyle w:val="17"/>
              <w:spacing w:after="0" w:line="300" w:lineRule="auto"/>
              <w:jc w:val="center"/>
              <w:rPr>
                <w:rFonts w:ascii="仿宋" w:hAnsi="仿宋" w:eastAsia="仿宋"/>
                <w:sz w:val="32"/>
                <w:szCs w:val="32"/>
              </w:rPr>
            </w:pPr>
            <w:r>
              <w:rPr>
                <w:rFonts w:hint="eastAsia" w:ascii="仿宋" w:hAnsi="仿宋" w:eastAsia="仿宋"/>
                <w:sz w:val="32"/>
                <w:szCs w:val="32"/>
              </w:rPr>
              <w:t>高级管理人员工商管理硕士</w:t>
            </w:r>
          </w:p>
        </w:tc>
      </w:tr>
      <w:tr w14:paraId="519B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809" w:type="dxa"/>
            <w:vAlign w:val="center"/>
          </w:tcPr>
          <w:p w14:paraId="1C004E3F">
            <w:pPr>
              <w:pStyle w:val="17"/>
              <w:spacing w:after="0" w:line="300" w:lineRule="auto"/>
              <w:jc w:val="center"/>
              <w:rPr>
                <w:rFonts w:ascii="黑体" w:hAnsi="黑体" w:eastAsia="黑体"/>
                <w:sz w:val="30"/>
                <w:szCs w:val="30"/>
              </w:rPr>
            </w:pPr>
            <w:r>
              <w:rPr>
                <w:rFonts w:hint="eastAsia" w:ascii="黑体" w:hAnsi="黑体" w:eastAsia="黑体"/>
                <w:sz w:val="30"/>
                <w:szCs w:val="30"/>
              </w:rPr>
              <w:t>研究方向：</w:t>
            </w:r>
          </w:p>
        </w:tc>
        <w:tc>
          <w:tcPr>
            <w:tcW w:w="4323" w:type="dxa"/>
            <w:tcBorders>
              <w:top w:val="single" w:color="auto" w:sz="6" w:space="0"/>
              <w:bottom w:val="single" w:color="auto" w:sz="6" w:space="0"/>
            </w:tcBorders>
            <w:vAlign w:val="center"/>
          </w:tcPr>
          <w:p w14:paraId="68A9405B">
            <w:pPr>
              <w:pStyle w:val="17"/>
              <w:spacing w:after="0" w:line="300" w:lineRule="auto"/>
              <w:jc w:val="center"/>
              <w:rPr>
                <w:rFonts w:ascii="仿宋" w:hAnsi="仿宋" w:eastAsia="仿宋"/>
                <w:color w:val="FF0000"/>
                <w:sz w:val="32"/>
                <w:szCs w:val="32"/>
              </w:rPr>
            </w:pPr>
            <w:r>
              <w:rPr>
                <w:rFonts w:hint="eastAsia" w:ascii="仿宋" w:hAnsi="仿宋" w:eastAsia="仿宋"/>
                <w:color w:val="FF0000"/>
                <w:sz w:val="32"/>
                <w:szCs w:val="32"/>
              </w:rPr>
              <w:t>（空着不填）</w:t>
            </w:r>
          </w:p>
        </w:tc>
      </w:tr>
      <w:tr w14:paraId="42861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809" w:type="dxa"/>
            <w:vAlign w:val="center"/>
          </w:tcPr>
          <w:p w14:paraId="72E851F8">
            <w:pPr>
              <w:pStyle w:val="17"/>
              <w:spacing w:after="0" w:line="300" w:lineRule="auto"/>
              <w:jc w:val="center"/>
              <w:rPr>
                <w:rFonts w:ascii="黑体" w:hAnsi="黑体" w:eastAsia="黑体"/>
                <w:sz w:val="30"/>
                <w:szCs w:val="30"/>
              </w:rPr>
            </w:pPr>
            <w:r>
              <w:rPr>
                <w:rFonts w:hint="eastAsia" w:ascii="黑体" w:hAnsi="黑体" w:eastAsia="黑体"/>
                <w:sz w:val="30"/>
                <w:szCs w:val="30"/>
              </w:rPr>
              <w:t>导师姓名：</w:t>
            </w:r>
          </w:p>
        </w:tc>
        <w:tc>
          <w:tcPr>
            <w:tcW w:w="4323" w:type="dxa"/>
            <w:tcBorders>
              <w:top w:val="single" w:color="auto" w:sz="6" w:space="0"/>
              <w:bottom w:val="single" w:color="auto" w:sz="6" w:space="0"/>
            </w:tcBorders>
            <w:vAlign w:val="center"/>
          </w:tcPr>
          <w:p w14:paraId="683C1FE1">
            <w:pPr>
              <w:pStyle w:val="17"/>
              <w:spacing w:after="0" w:line="300" w:lineRule="auto"/>
              <w:jc w:val="center"/>
              <w:rPr>
                <w:rFonts w:ascii="仿宋" w:hAnsi="仿宋" w:eastAsia="仿宋"/>
                <w:sz w:val="32"/>
                <w:szCs w:val="32"/>
              </w:rPr>
            </w:pPr>
          </w:p>
        </w:tc>
      </w:tr>
    </w:tbl>
    <w:p w14:paraId="055E8998">
      <w:pPr>
        <w:spacing w:after="0"/>
      </w:pPr>
    </w:p>
    <w:p w14:paraId="46257952">
      <w:pPr>
        <w:spacing w:after="0"/>
      </w:pPr>
    </w:p>
    <w:p w14:paraId="41684EFF">
      <w:pPr>
        <w:spacing w:line="300" w:lineRule="auto"/>
        <w:jc w:val="center"/>
        <w:rPr>
          <w:rFonts w:ascii="宋体" w:hAnsi="宋体"/>
        </w:rPr>
      </w:pPr>
      <w:r>
        <w:rPr>
          <w:rFonts w:hint="eastAsia" w:ascii="仿宋" w:hAnsi="仿宋" w:eastAsia="仿宋"/>
          <w:sz w:val="32"/>
          <w:szCs w:val="32"/>
        </w:rPr>
        <w:sym w:font="Wingdings 2" w:char="00A3"/>
      </w:r>
      <w:r>
        <w:rPr>
          <w:rFonts w:hint="eastAsia" w:ascii="仿宋" w:hAnsi="仿宋" w:eastAsia="仿宋"/>
          <w:sz w:val="32"/>
          <w:szCs w:val="32"/>
        </w:rPr>
        <w:t xml:space="preserve"> 学术学位 </w:t>
      </w:r>
      <w:r>
        <w:rPr>
          <w:rFonts w:ascii="仿宋" w:hAnsi="仿宋" w:eastAsia="仿宋"/>
          <w:sz w:val="32"/>
          <w:szCs w:val="32"/>
        </w:rPr>
        <w:t xml:space="preserve">  </w:t>
      </w:r>
      <w:r>
        <w:rPr>
          <w:rFonts w:hint="eastAsia" w:ascii="仿宋" w:hAnsi="仿宋" w:eastAsia="仿宋"/>
          <w:sz w:val="32"/>
          <w:szCs w:val="32"/>
        </w:rPr>
        <w:t xml:space="preserve"> </w:t>
      </w:r>
      <w:r>
        <w:rPr>
          <w:rFonts w:hint="eastAsia" w:ascii="仿宋" w:hAnsi="仿宋" w:eastAsia="仿宋"/>
          <w:sz w:val="32"/>
          <w:szCs w:val="32"/>
        </w:rPr>
        <w:sym w:font="Wingdings 2" w:char="0052"/>
      </w:r>
      <w:r>
        <w:rPr>
          <w:rFonts w:hint="eastAsia" w:ascii="仿宋" w:hAnsi="仿宋" w:eastAsia="仿宋"/>
          <w:sz w:val="32"/>
          <w:szCs w:val="32"/>
        </w:rPr>
        <w:t xml:space="preserve"> 专业学位</w:t>
      </w:r>
    </w:p>
    <w:p w14:paraId="65CE64A8">
      <w:pPr>
        <w:spacing w:after="0"/>
      </w:pPr>
    </w:p>
    <w:p w14:paraId="136580D7">
      <w:pPr>
        <w:spacing w:line="300" w:lineRule="auto"/>
        <w:jc w:val="center"/>
        <w:rPr>
          <w:sz w:val="32"/>
          <w:szCs w:val="32"/>
        </w:rPr>
      </w:pPr>
      <w:r>
        <w:rPr>
          <w:rFonts w:hint="eastAsia"/>
          <w:sz w:val="32"/>
          <w:szCs w:val="32"/>
        </w:rPr>
        <w:t>二〇二</w:t>
      </w:r>
      <w:r>
        <w:rPr>
          <w:rFonts w:hint="eastAsia"/>
          <w:sz w:val="32"/>
          <w:szCs w:val="32"/>
          <w:lang w:eastAsia="zh-CN"/>
        </w:rPr>
        <w:t>六</w:t>
      </w:r>
      <w:r>
        <w:rPr>
          <w:rFonts w:hint="eastAsia"/>
          <w:sz w:val="32"/>
          <w:szCs w:val="32"/>
        </w:rPr>
        <w:t xml:space="preserve">年 </w:t>
      </w:r>
      <w:r>
        <w:rPr>
          <w:rFonts w:hint="eastAsia"/>
          <w:sz w:val="32"/>
          <w:szCs w:val="32"/>
          <w:lang w:eastAsia="zh-CN"/>
        </w:rPr>
        <w:t>二</w:t>
      </w:r>
      <w:r>
        <w:rPr>
          <w:rFonts w:hint="eastAsia"/>
          <w:sz w:val="32"/>
          <w:szCs w:val="32"/>
        </w:rPr>
        <w:t>月</w:t>
      </w:r>
    </w:p>
    <w:p w14:paraId="1FAF5AB4">
      <w:pPr>
        <w:rPr>
          <w:b/>
        </w:rPr>
        <w:sectPr>
          <w:headerReference r:id="rId4" w:type="default"/>
          <w:footerReference r:id="rId5" w:type="even"/>
          <w:footnotePr>
            <w:numFmt w:val="decimalEnclosedCircleChinese"/>
            <w:numRestart w:val="eachPage"/>
          </w:footnotePr>
          <w:pgSz w:w="11905" w:h="16838"/>
          <w:pgMar w:top="1701" w:right="1474" w:bottom="1417" w:left="1474" w:header="1134" w:footer="992" w:gutter="0"/>
          <w:cols w:space="0" w:num="1"/>
          <w:docGrid w:type="linesAndChars" w:linePitch="327" w:charSpace="0"/>
        </w:sectPr>
      </w:pPr>
    </w:p>
    <w:p w14:paraId="15999805">
      <w:pPr>
        <w:adjustRightInd w:val="0"/>
        <w:snapToGrid w:val="0"/>
        <w:spacing w:after="0" w:line="480" w:lineRule="auto"/>
      </w:pPr>
    </w:p>
    <w:p w14:paraId="5D5862A4">
      <w:pPr>
        <w:spacing w:line="480" w:lineRule="auto"/>
        <w:jc w:val="center"/>
        <w:rPr>
          <w:rFonts w:ascii="黑体" w:hAnsi="黑体" w:eastAsia="黑体"/>
          <w:sz w:val="32"/>
          <w:szCs w:val="32"/>
        </w:rPr>
      </w:pPr>
      <w:r>
        <w:rPr>
          <w:rFonts w:hint="eastAsia" w:ascii="黑体" w:hAnsi="黑体" w:eastAsia="黑体"/>
          <w:sz w:val="32"/>
          <w:szCs w:val="32"/>
        </w:rPr>
        <w:t>版权声明</w:t>
      </w:r>
    </w:p>
    <w:p w14:paraId="1EF98810">
      <w:pPr>
        <w:adjustRightInd w:val="0"/>
        <w:snapToGrid w:val="0"/>
        <w:spacing w:after="0" w:line="480" w:lineRule="auto"/>
      </w:pPr>
    </w:p>
    <w:p w14:paraId="0DE5DD35">
      <w:pPr>
        <w:spacing w:after="0" w:line="480" w:lineRule="auto"/>
        <w:ind w:firstLine="480" w:firstLineChars="200"/>
        <w:rPr>
          <w:szCs w:val="32"/>
        </w:rPr>
      </w:pPr>
      <w:r>
        <w:rPr>
          <w:rFonts w:hint="eastAsia"/>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3FC6B65F">
      <w:pPr>
        <w:spacing w:line="480" w:lineRule="auto"/>
        <w:rPr>
          <w:szCs w:val="32"/>
        </w:rPr>
      </w:pPr>
    </w:p>
    <w:p w14:paraId="683DBD30">
      <w:pPr>
        <w:spacing w:line="480" w:lineRule="auto"/>
        <w:rPr>
          <w:szCs w:val="32"/>
        </w:rPr>
        <w:sectPr>
          <w:headerReference r:id="rId6" w:type="even"/>
          <w:footerReference r:id="rId7" w:type="even"/>
          <w:footnotePr>
            <w:numFmt w:val="decimalEnclosedCircleChinese"/>
            <w:numRestart w:val="eachPage"/>
          </w:footnotePr>
          <w:pgSz w:w="11905" w:h="16838"/>
          <w:pgMar w:top="1701" w:right="1474" w:bottom="1417" w:left="1474" w:header="1134" w:footer="992" w:gutter="0"/>
          <w:cols w:space="0" w:num="1"/>
          <w:docGrid w:type="linesAndChars" w:linePitch="327" w:charSpace="0"/>
        </w:sectPr>
      </w:pPr>
    </w:p>
    <w:p w14:paraId="7616030B">
      <w:pPr>
        <w:pStyle w:val="36"/>
        <w:spacing w:before="480" w:after="360"/>
        <w:jc w:val="center"/>
        <w:outlineLvl w:val="0"/>
        <w:rPr>
          <w:rFonts w:ascii="黑体" w:hAnsi="黑体" w:eastAsia="黑体" w:cs="黑体"/>
          <w:sz w:val="32"/>
          <w:szCs w:val="32"/>
        </w:rPr>
      </w:pPr>
      <w:bookmarkStart w:id="0" w:name="_Toc222913118"/>
      <w:bookmarkStart w:id="1" w:name="视觉力学传感器企业战略转型研究以hsm为例"/>
      <w:r>
        <w:rPr>
          <w:rFonts w:hint="eastAsia" w:ascii="黑体" w:hAnsi="黑体" w:eastAsia="黑体" w:cs="黑体"/>
          <w:sz w:val="32"/>
          <w:szCs w:val="32"/>
        </w:rPr>
        <w:t>摘要</w:t>
      </w:r>
      <w:bookmarkEnd w:id="0"/>
    </w:p>
    <w:p w14:paraId="6972E52B">
      <w:pPr>
        <w:pStyle w:val="4"/>
        <w:spacing w:before="0" w:after="0" w:line="400" w:lineRule="exact"/>
        <w:ind w:firstLine="480" w:firstLineChars="200"/>
        <w:rPr>
          <w:rFonts w:ascii="Times New Roman" w:hAnsi="Times New Roman"/>
        </w:rPr>
      </w:pPr>
      <w:r>
        <w:rPr>
          <w:rFonts w:ascii="Times New Roman" w:hAnsi="Times New Roman"/>
        </w:rPr>
        <w:t>本文以HSM公司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14:paraId="15D0FAB9">
      <w:pPr>
        <w:pStyle w:val="4"/>
        <w:spacing w:before="0" w:after="0" w:line="400" w:lineRule="exact"/>
        <w:ind w:firstLine="480" w:firstLineChars="200"/>
        <w:rPr>
          <w:rFonts w:ascii="Times New Roman" w:hAnsi="Times New Roman"/>
        </w:rPr>
      </w:pPr>
      <w:r>
        <w:rPr>
          <w:rFonts w:ascii="Times New Roman" w:hAnsi="Times New Roman"/>
        </w:rPr>
        <w:t>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14:paraId="009A8857">
      <w:pPr>
        <w:pStyle w:val="4"/>
        <w:spacing w:before="0" w:after="0" w:line="400" w:lineRule="exact"/>
        <w:ind w:firstLine="480" w:firstLineChars="200"/>
        <w:rPr>
          <w:rFonts w:ascii="Times New Roman" w:hAnsi="Times New Roman"/>
        </w:rPr>
      </w:pPr>
      <w:r>
        <w:rPr>
          <w:rFonts w:ascii="Times New Roman" w:hAnsi="Times New Roman"/>
        </w:rPr>
        <w:t>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14:paraId="20D752ED">
      <w:pPr>
        <w:pStyle w:val="4"/>
        <w:spacing w:before="0" w:after="0" w:line="400" w:lineRule="exact"/>
        <w:ind w:firstLine="480" w:firstLineChars="200"/>
        <w:rPr>
          <w:rFonts w:ascii="Times New Roman" w:hAnsi="Times New Roman"/>
        </w:rPr>
      </w:pPr>
      <w:r>
        <w:rPr>
          <w:rFonts w:ascii="Times New Roman" w:hAnsi="Times New Roman"/>
        </w:rPr>
        <w:t>本研究丰富了科技型企业转型理论体系，为同类企业提供了可借鉴的转型路径，为政策制定提供了决策依据。</w:t>
      </w:r>
    </w:p>
    <w:p w14:paraId="2FD593E6">
      <w:pPr>
        <w:pStyle w:val="4"/>
        <w:spacing w:before="0" w:after="0" w:line="400" w:lineRule="exact"/>
        <w:ind w:firstLine="480" w:firstLineChars="200"/>
        <w:rPr>
          <w:rFonts w:ascii="Times New Roman" w:hAnsi="Times New Roman"/>
        </w:rPr>
      </w:pPr>
    </w:p>
    <w:p w14:paraId="6C907AD3">
      <w:pPr>
        <w:pStyle w:val="4"/>
        <w:spacing w:before="0" w:after="0" w:line="400" w:lineRule="exact"/>
        <w:ind w:firstLine="480" w:firstLineChars="200"/>
        <w:rPr>
          <w:rFonts w:ascii="Times New Roman" w:hAnsi="Times New Roman"/>
        </w:rPr>
      </w:pPr>
    </w:p>
    <w:p w14:paraId="26CE3EB2">
      <w:pPr>
        <w:pStyle w:val="4"/>
        <w:spacing w:before="0" w:after="0" w:line="400" w:lineRule="exact"/>
        <w:ind w:firstLine="480" w:firstLineChars="200"/>
        <w:rPr>
          <w:rFonts w:ascii="Times New Roman" w:hAnsi="Times New Roman"/>
        </w:rPr>
      </w:pPr>
    </w:p>
    <w:p w14:paraId="59C96555">
      <w:pPr>
        <w:pStyle w:val="4"/>
        <w:spacing w:before="0" w:after="0" w:line="400" w:lineRule="exact"/>
        <w:ind w:firstLine="480" w:firstLineChars="200"/>
        <w:rPr>
          <w:rFonts w:ascii="Times New Roman" w:hAnsi="Times New Roman"/>
        </w:rPr>
      </w:pPr>
    </w:p>
    <w:p w14:paraId="32BCB9F1">
      <w:pPr>
        <w:pStyle w:val="4"/>
        <w:spacing w:before="0" w:after="0" w:line="400" w:lineRule="exact"/>
        <w:ind w:firstLine="480" w:firstLineChars="200"/>
        <w:rPr>
          <w:rFonts w:ascii="Times New Roman" w:hAnsi="Times New Roman"/>
        </w:rPr>
      </w:pPr>
    </w:p>
    <w:p w14:paraId="3EF2FBDA">
      <w:pPr>
        <w:pStyle w:val="4"/>
        <w:spacing w:before="0" w:after="0" w:line="400" w:lineRule="exact"/>
        <w:ind w:firstLine="480" w:firstLineChars="200"/>
        <w:rPr>
          <w:rFonts w:ascii="Times New Roman" w:hAnsi="Times New Roman"/>
        </w:rPr>
      </w:pPr>
    </w:p>
    <w:p w14:paraId="658CE7B4">
      <w:pPr>
        <w:pStyle w:val="4"/>
        <w:spacing w:before="0" w:after="0" w:line="400" w:lineRule="exact"/>
        <w:ind w:firstLine="480" w:firstLineChars="200"/>
        <w:rPr>
          <w:rFonts w:ascii="Times New Roman" w:hAnsi="Times New Roman"/>
        </w:rPr>
      </w:pPr>
    </w:p>
    <w:p w14:paraId="7E795E39">
      <w:pPr>
        <w:pStyle w:val="4"/>
        <w:spacing w:before="0" w:after="0" w:line="400" w:lineRule="exact"/>
        <w:ind w:firstLine="480" w:firstLineChars="200"/>
        <w:rPr>
          <w:rFonts w:ascii="Times New Roman" w:hAnsi="Times New Roman"/>
        </w:rPr>
      </w:pPr>
    </w:p>
    <w:p w14:paraId="56392EB7">
      <w:pPr>
        <w:pStyle w:val="4"/>
        <w:spacing w:before="0" w:after="0" w:line="400" w:lineRule="exact"/>
        <w:ind w:firstLine="480" w:firstLineChars="200"/>
        <w:rPr>
          <w:rFonts w:ascii="Times New Roman" w:hAnsi="Times New Roman"/>
        </w:rPr>
      </w:pPr>
    </w:p>
    <w:p w14:paraId="45F8ED28">
      <w:pPr>
        <w:pStyle w:val="4"/>
        <w:spacing w:before="0" w:after="0" w:line="400" w:lineRule="exact"/>
        <w:ind w:firstLine="480" w:firstLineChars="200"/>
        <w:rPr>
          <w:rFonts w:ascii="Times New Roman" w:hAnsi="Times New Roman"/>
        </w:rPr>
      </w:pPr>
    </w:p>
    <w:p w14:paraId="6D4664BF">
      <w:pPr>
        <w:pStyle w:val="4"/>
        <w:spacing w:before="0" w:after="0" w:line="400" w:lineRule="exact"/>
        <w:ind w:firstLine="480" w:firstLineChars="200"/>
        <w:rPr>
          <w:rFonts w:ascii="Times New Roman" w:hAnsi="Times New Roman"/>
        </w:rPr>
        <w:sectPr>
          <w:headerReference r:id="rId8" w:type="default"/>
          <w:footerReference r:id="rId10" w:type="default"/>
          <w:headerReference r:id="rId9" w:type="even"/>
          <w:pgSz w:w="11905" w:h="16838"/>
          <w:pgMar w:top="1701" w:right="1474" w:bottom="1417" w:left="1474" w:header="1134" w:footer="992" w:gutter="0"/>
          <w:pgNumType w:fmt="upperRoman" w:start="1"/>
          <w:cols w:space="0" w:num="1"/>
          <w:docGrid w:type="linesAndChars" w:linePitch="327" w:charSpace="0"/>
        </w:sectPr>
      </w:pPr>
      <w:r>
        <w:rPr>
          <w:rFonts w:ascii="Times New Roman" w:hAnsi="Times New Roman"/>
          <w:b/>
          <w:bCs/>
        </w:rPr>
        <w:t>关键词</w:t>
      </w:r>
      <w:r>
        <w:rPr>
          <w:rFonts w:ascii="Times New Roman" w:hAnsi="Times New Roman"/>
        </w:rPr>
        <w:t>：视觉力学传感器</w:t>
      </w:r>
      <w:r>
        <w:rPr>
          <w:rFonts w:hint="eastAsia" w:ascii="Times New Roman" w:hAnsi="Times New Roman"/>
          <w:lang w:eastAsia="zh-CN"/>
        </w:rPr>
        <w:t>，</w:t>
      </w:r>
      <w:r>
        <w:rPr>
          <w:rFonts w:ascii="Times New Roman" w:hAnsi="Times New Roman"/>
        </w:rPr>
        <w:t>企业战略转型</w:t>
      </w:r>
      <w:r>
        <w:rPr>
          <w:rFonts w:hint="eastAsia" w:ascii="Times New Roman" w:hAnsi="Times New Roman"/>
          <w:lang w:eastAsia="zh-CN"/>
        </w:rPr>
        <w:t>，</w:t>
      </w:r>
      <w:r>
        <w:rPr>
          <w:rFonts w:ascii="Times New Roman" w:hAnsi="Times New Roman"/>
        </w:rPr>
        <w:t>数字化转型</w:t>
      </w:r>
      <w:r>
        <w:rPr>
          <w:rFonts w:hint="eastAsia" w:ascii="Times New Roman" w:hAnsi="Times New Roman"/>
          <w:lang w:eastAsia="zh-CN"/>
        </w:rPr>
        <w:t>，</w:t>
      </w:r>
      <w:r>
        <w:rPr>
          <w:rFonts w:ascii="Times New Roman" w:hAnsi="Times New Roman"/>
        </w:rPr>
        <w:t>硬科技企业</w:t>
      </w:r>
      <w:r>
        <w:rPr>
          <w:rFonts w:hint="eastAsia" w:ascii="Times New Roman" w:hAnsi="Times New Roman"/>
          <w:lang w:eastAsia="zh-CN"/>
        </w:rPr>
        <w:t>，</w:t>
      </w:r>
      <w:r>
        <w:rPr>
          <w:rFonts w:ascii="Times New Roman" w:hAnsi="Times New Roman"/>
        </w:rPr>
        <w:t>DIC技术</w:t>
      </w:r>
    </w:p>
    <w:bookmarkEnd w:id="1"/>
    <w:p w14:paraId="255F6C2F">
      <w:pPr>
        <w:pStyle w:val="17"/>
        <w:spacing w:before="480" w:after="360"/>
        <w:jc w:val="center"/>
        <w:rPr>
          <w:rFonts w:ascii="Arial" w:hAnsi="Arial" w:cs="Arial"/>
          <w:sz w:val="32"/>
          <w:szCs w:val="32"/>
        </w:rPr>
      </w:pPr>
      <w:bookmarkStart w:id="2" w:name="X73ae375e122031e3ba5d87b48f1708721f05d1b"/>
      <w:r>
        <w:rPr>
          <w:rFonts w:ascii="Arial" w:hAnsi="Arial" w:cs="Arial"/>
          <w:sz w:val="32"/>
          <w:szCs w:val="32"/>
        </w:rPr>
        <w:t>ENGLISH TITLE</w:t>
      </w:r>
    </w:p>
    <w:p w14:paraId="0D005EA8">
      <w:pPr>
        <w:spacing w:after="0" w:line="400" w:lineRule="exact"/>
        <w:jc w:val="center"/>
        <w:rPr>
          <w:rFonts w:ascii="Times New Roman" w:hAnsi="Times New Roman" w:cs="Times New Roman"/>
        </w:rPr>
      </w:pPr>
      <w:r>
        <w:rPr>
          <w:rFonts w:ascii="Times New Roman" w:hAnsi="Times New Roman" w:cs="Times New Roman"/>
        </w:rPr>
        <w:t>Author Name ( EMBA Program)</w:t>
      </w:r>
    </w:p>
    <w:p w14:paraId="4E039A1E">
      <w:pPr>
        <w:spacing w:after="0" w:line="400" w:lineRule="exact"/>
        <w:jc w:val="center"/>
        <w:rPr>
          <w:rFonts w:ascii="Times New Roman" w:hAnsi="Times New Roman" w:cs="Times New Roman"/>
        </w:rPr>
      </w:pPr>
      <w:r>
        <w:rPr>
          <w:rFonts w:ascii="Times New Roman" w:hAnsi="Times New Roman" w:cs="Times New Roman"/>
        </w:rPr>
        <w:t>Supervised by Professor ……</w:t>
      </w:r>
    </w:p>
    <w:p w14:paraId="72A93824">
      <w:pPr>
        <w:spacing w:before="160" w:after="120" w:line="400" w:lineRule="exact"/>
        <w:jc w:val="center"/>
        <w:outlineLvl w:val="0"/>
        <w:rPr>
          <w:rFonts w:ascii="Arial" w:hAnsi="Arial" w:cs="Arial"/>
        </w:rPr>
      </w:pPr>
      <w:bookmarkStart w:id="3" w:name="_Toc80108601"/>
      <w:bookmarkStart w:id="4" w:name="_Toc108431348"/>
      <w:bookmarkStart w:id="5" w:name="_Toc38637590"/>
      <w:bookmarkStart w:id="6" w:name="_Toc36140832"/>
      <w:bookmarkStart w:id="7" w:name="_Toc387132156"/>
      <w:bookmarkStart w:id="8" w:name="_Toc82526589"/>
      <w:bookmarkStart w:id="9" w:name="_Toc222913119"/>
      <w:r>
        <w:rPr>
          <w:rFonts w:ascii="Arial" w:hAnsi="Arial" w:cs="Arial"/>
        </w:rPr>
        <w:t>ABSTRACT</w:t>
      </w:r>
      <w:bookmarkEnd w:id="3"/>
      <w:bookmarkEnd w:id="4"/>
      <w:bookmarkEnd w:id="5"/>
      <w:bookmarkEnd w:id="6"/>
      <w:bookmarkEnd w:id="7"/>
      <w:bookmarkEnd w:id="8"/>
      <w:bookmarkEnd w:id="9"/>
    </w:p>
    <w:p w14:paraId="0953C100">
      <w:pPr>
        <w:pStyle w:val="4"/>
        <w:spacing w:before="0" w:after="0" w:line="400" w:lineRule="exact"/>
        <w:ind w:firstLine="480" w:firstLineChars="200"/>
        <w:jc w:val="both"/>
        <w:rPr>
          <w:rFonts w:ascii="Times New Roman" w:hAnsi="Times New Roman" w:cs="Times New Roman"/>
        </w:rPr>
      </w:pPr>
      <w:r>
        <w:rPr>
          <w:rFonts w:ascii="Times New Roman" w:hAnsi="Times New Roman" w:cs="Times New Roman"/>
        </w:rPr>
        <w:t>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14:paraId="5CF1F57F">
      <w:pPr>
        <w:pStyle w:val="4"/>
        <w:spacing w:before="0" w:after="0" w:line="400" w:lineRule="exact"/>
        <w:ind w:firstLine="480" w:firstLineChars="200"/>
        <w:jc w:val="both"/>
        <w:rPr>
          <w:rFonts w:ascii="Times New Roman" w:hAnsi="Times New Roman" w:cs="Times New Roman"/>
        </w:rPr>
      </w:pPr>
      <w:r>
        <w:rPr>
          <w:rFonts w:ascii="Times New Roman" w:hAnsi="Times New Roman" w:cs="Times New Roman"/>
        </w:rPr>
        <w:t>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14:paraId="17B2C828">
      <w:pPr>
        <w:pStyle w:val="4"/>
        <w:spacing w:before="0" w:after="0" w:line="400" w:lineRule="exact"/>
        <w:ind w:firstLine="480" w:firstLineChars="200"/>
        <w:jc w:val="both"/>
        <w:rPr>
          <w:rFonts w:ascii="Times New Roman" w:hAnsi="Times New Roman" w:cs="Times New Roman"/>
        </w:rPr>
      </w:pPr>
      <w:r>
        <w:rPr>
          <w:rFonts w:ascii="Times New Roman" w:hAnsi="Times New Roman" w:cs="Times New Roman"/>
        </w:rPr>
        <w:t>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14:paraId="4DC2A3A2">
      <w:pPr>
        <w:pStyle w:val="4"/>
        <w:spacing w:before="0" w:after="0" w:line="400" w:lineRule="exact"/>
        <w:ind w:firstLine="480" w:firstLineChars="200"/>
        <w:jc w:val="both"/>
        <w:rPr>
          <w:rFonts w:ascii="Times New Roman" w:hAnsi="Times New Roman" w:cs="Times New Roman"/>
        </w:rPr>
      </w:pPr>
      <w:r>
        <w:rPr>
          <w:rFonts w:ascii="Times New Roman" w:hAnsi="Times New Roman" w:cs="Times New Roman"/>
        </w:rPr>
        <w:t>This study enriches the theoretical framework of technology enterprise transformation, provides actionable transformation pathways for similar enterprises, and offers decision-making references for policy formulation.</w:t>
      </w:r>
    </w:p>
    <w:p w14:paraId="5B3BF56C">
      <w:pPr>
        <w:pStyle w:val="4"/>
        <w:spacing w:before="0" w:after="0" w:line="400" w:lineRule="exact"/>
        <w:ind w:firstLine="480" w:firstLineChars="200"/>
        <w:jc w:val="both"/>
        <w:rPr>
          <w:rFonts w:ascii="Times New Roman" w:hAnsi="Times New Roman" w:cs="Times New Roman"/>
        </w:rPr>
      </w:pPr>
    </w:p>
    <w:p w14:paraId="4B0FBAFF">
      <w:pPr>
        <w:pStyle w:val="4"/>
        <w:spacing w:before="0" w:after="0" w:line="400" w:lineRule="exact"/>
        <w:ind w:firstLine="480" w:firstLineChars="200"/>
        <w:jc w:val="both"/>
        <w:rPr>
          <w:rFonts w:ascii="Times New Roman" w:hAnsi="Times New Roman" w:cs="Times New Roman"/>
        </w:rPr>
      </w:pPr>
    </w:p>
    <w:p w14:paraId="25F2F658">
      <w:pPr>
        <w:pStyle w:val="4"/>
        <w:spacing w:before="0" w:after="0" w:line="400" w:lineRule="exact"/>
        <w:ind w:firstLine="480" w:firstLineChars="200"/>
        <w:jc w:val="both"/>
        <w:rPr>
          <w:rFonts w:ascii="Times New Roman" w:hAnsi="Times New Roman" w:cs="Times New Roman"/>
        </w:rPr>
      </w:pPr>
    </w:p>
    <w:p w14:paraId="335C6D2F">
      <w:pPr>
        <w:pStyle w:val="4"/>
        <w:spacing w:before="0" w:after="0" w:line="400" w:lineRule="exact"/>
        <w:ind w:firstLine="480" w:firstLineChars="200"/>
        <w:jc w:val="both"/>
        <w:rPr>
          <w:rFonts w:ascii="Times New Roman" w:hAnsi="Times New Roman" w:cs="Times New Roman"/>
        </w:rPr>
      </w:pPr>
    </w:p>
    <w:p w14:paraId="3DFBD10C">
      <w:pPr>
        <w:pStyle w:val="4"/>
        <w:spacing w:before="0" w:after="0" w:line="400" w:lineRule="exact"/>
        <w:ind w:firstLine="480" w:firstLineChars="200"/>
        <w:jc w:val="both"/>
        <w:rPr>
          <w:rFonts w:ascii="Times New Roman" w:hAnsi="Times New Roman" w:cs="Times New Roman"/>
        </w:rPr>
      </w:pPr>
    </w:p>
    <w:p w14:paraId="1188AD37">
      <w:pPr>
        <w:pStyle w:val="4"/>
        <w:spacing w:before="0" w:after="0" w:line="400" w:lineRule="exact"/>
        <w:ind w:firstLine="480" w:firstLineChars="200"/>
        <w:jc w:val="both"/>
        <w:rPr>
          <w:rFonts w:ascii="Times New Roman" w:hAnsi="Times New Roman" w:cs="Times New Roman"/>
        </w:rPr>
      </w:pPr>
    </w:p>
    <w:p w14:paraId="03B4F9ED">
      <w:pPr>
        <w:pStyle w:val="4"/>
        <w:spacing w:before="0" w:after="0" w:line="400" w:lineRule="exact"/>
        <w:ind w:firstLine="480" w:firstLineChars="200"/>
        <w:jc w:val="both"/>
        <w:rPr>
          <w:rFonts w:ascii="Times New Roman" w:hAnsi="Times New Roman" w:cs="Times New Roman"/>
        </w:rPr>
      </w:pPr>
    </w:p>
    <w:p w14:paraId="5806B094">
      <w:pPr>
        <w:pStyle w:val="4"/>
        <w:spacing w:before="0" w:after="0" w:line="400" w:lineRule="exact"/>
        <w:ind w:firstLine="480" w:firstLineChars="200"/>
        <w:jc w:val="both"/>
        <w:rPr>
          <w:rFonts w:ascii="Times New Roman" w:hAnsi="Times New Roman" w:cs="Times New Roman"/>
        </w:rPr>
      </w:pPr>
    </w:p>
    <w:p w14:paraId="4E65700E">
      <w:pPr>
        <w:pStyle w:val="4"/>
        <w:spacing w:before="0" w:after="0" w:line="400" w:lineRule="exact"/>
        <w:ind w:firstLine="480" w:firstLineChars="200"/>
        <w:jc w:val="both"/>
        <w:rPr>
          <w:rFonts w:ascii="Times New Roman" w:hAnsi="Times New Roman" w:cs="Times New Roman"/>
        </w:rPr>
      </w:pPr>
    </w:p>
    <w:p w14:paraId="7C508DBB">
      <w:pPr>
        <w:pStyle w:val="4"/>
        <w:spacing w:before="0" w:after="0" w:line="400" w:lineRule="exact"/>
        <w:ind w:firstLine="480" w:firstLineChars="200"/>
        <w:jc w:val="both"/>
        <w:rPr>
          <w:rFonts w:ascii="Times New Roman" w:hAnsi="Times New Roman" w:cs="Times New Roman"/>
        </w:rPr>
      </w:pPr>
    </w:p>
    <w:p w14:paraId="47ED0E4D">
      <w:pPr>
        <w:pStyle w:val="4"/>
        <w:spacing w:before="0" w:after="0" w:line="400" w:lineRule="exact"/>
        <w:ind w:firstLine="480" w:firstLineChars="200"/>
        <w:jc w:val="both"/>
        <w:rPr>
          <w:rFonts w:ascii="Times New Roman" w:hAnsi="Times New Roman" w:cs="Times New Roman"/>
        </w:rPr>
      </w:pPr>
    </w:p>
    <w:p w14:paraId="1FF1A837">
      <w:pPr>
        <w:pStyle w:val="4"/>
        <w:spacing w:before="0" w:after="0" w:line="400" w:lineRule="exact"/>
        <w:ind w:firstLine="480" w:firstLineChars="200"/>
        <w:jc w:val="both"/>
        <w:rPr>
          <w:rFonts w:ascii="Times New Roman" w:hAnsi="Times New Roman" w:cs="Times New Roman"/>
        </w:rPr>
      </w:pPr>
    </w:p>
    <w:p w14:paraId="377CC0C8">
      <w:pPr>
        <w:pStyle w:val="4"/>
        <w:spacing w:before="0" w:after="0" w:line="400" w:lineRule="exact"/>
        <w:ind w:firstLine="480" w:firstLineChars="200"/>
        <w:jc w:val="both"/>
        <w:rPr>
          <w:rFonts w:ascii="Times New Roman" w:hAnsi="Times New Roman" w:cs="Times New Roman"/>
        </w:rPr>
      </w:pPr>
    </w:p>
    <w:p w14:paraId="371975EC">
      <w:pPr>
        <w:pStyle w:val="4"/>
        <w:spacing w:before="0" w:after="0" w:line="400" w:lineRule="exact"/>
        <w:ind w:firstLine="480" w:firstLineChars="200"/>
        <w:jc w:val="both"/>
        <w:rPr>
          <w:rFonts w:ascii="Times New Roman" w:hAnsi="Times New Roman" w:cs="Times New Roman"/>
        </w:rPr>
      </w:pPr>
    </w:p>
    <w:p w14:paraId="62C02041">
      <w:pPr>
        <w:pStyle w:val="4"/>
        <w:spacing w:before="0" w:after="0" w:line="400" w:lineRule="exact"/>
        <w:ind w:firstLine="480" w:firstLineChars="200"/>
        <w:jc w:val="both"/>
        <w:rPr>
          <w:rFonts w:ascii="Times New Roman" w:hAnsi="Times New Roman" w:cs="Times New Roman"/>
        </w:rPr>
      </w:pPr>
    </w:p>
    <w:p w14:paraId="2933EAF1">
      <w:pPr>
        <w:pStyle w:val="4"/>
        <w:spacing w:before="0" w:after="0" w:line="400" w:lineRule="exact"/>
        <w:ind w:firstLine="480" w:firstLineChars="200"/>
        <w:jc w:val="both"/>
        <w:rPr>
          <w:rFonts w:ascii="Times New Roman" w:hAnsi="Times New Roman" w:cs="Times New Roman"/>
        </w:rPr>
      </w:pPr>
    </w:p>
    <w:p w14:paraId="1BA3D654">
      <w:pPr>
        <w:pStyle w:val="4"/>
        <w:spacing w:before="0" w:after="0" w:line="400" w:lineRule="exact"/>
        <w:ind w:firstLine="480" w:firstLineChars="200"/>
        <w:jc w:val="both"/>
        <w:rPr>
          <w:rFonts w:ascii="Times New Roman" w:hAnsi="Times New Roman" w:cs="Times New Roman"/>
        </w:rPr>
      </w:pPr>
    </w:p>
    <w:p w14:paraId="1393BB2A">
      <w:pPr>
        <w:pStyle w:val="4"/>
        <w:spacing w:before="0" w:after="0" w:line="400" w:lineRule="exact"/>
        <w:ind w:firstLine="480" w:firstLineChars="200"/>
        <w:jc w:val="both"/>
        <w:rPr>
          <w:rFonts w:ascii="Times New Roman" w:hAnsi="Times New Roman" w:cs="Times New Roman"/>
        </w:rPr>
      </w:pPr>
    </w:p>
    <w:p w14:paraId="319B02D1">
      <w:pPr>
        <w:pStyle w:val="4"/>
        <w:spacing w:before="0" w:after="0" w:line="400" w:lineRule="exact"/>
        <w:ind w:firstLine="480" w:firstLineChars="200"/>
        <w:jc w:val="both"/>
        <w:rPr>
          <w:rFonts w:ascii="Times New Roman" w:hAnsi="Times New Roman" w:cs="Times New Roman"/>
        </w:rPr>
      </w:pPr>
    </w:p>
    <w:p w14:paraId="18E2649F">
      <w:pPr>
        <w:pStyle w:val="4"/>
        <w:spacing w:before="0" w:after="0" w:line="400" w:lineRule="exact"/>
        <w:ind w:firstLine="480" w:firstLineChars="200"/>
        <w:jc w:val="both"/>
        <w:rPr>
          <w:rFonts w:ascii="Times New Roman" w:hAnsi="Times New Roman" w:cs="Times New Roman"/>
        </w:rPr>
      </w:pPr>
    </w:p>
    <w:p w14:paraId="502F3852">
      <w:pPr>
        <w:pStyle w:val="4"/>
        <w:spacing w:before="0" w:after="0" w:line="400" w:lineRule="exact"/>
        <w:ind w:firstLine="480" w:firstLineChars="200"/>
        <w:jc w:val="both"/>
        <w:rPr>
          <w:rFonts w:ascii="Times New Roman" w:hAnsi="Times New Roman" w:cs="Times New Roman"/>
        </w:rPr>
      </w:pPr>
    </w:p>
    <w:p w14:paraId="426E44D1">
      <w:pPr>
        <w:pStyle w:val="4"/>
        <w:spacing w:before="0" w:after="0" w:line="400" w:lineRule="exact"/>
        <w:ind w:firstLine="480" w:firstLineChars="200"/>
        <w:jc w:val="both"/>
        <w:rPr>
          <w:rFonts w:ascii="Times New Roman" w:hAnsi="Times New Roman" w:cs="Times New Roman"/>
        </w:rPr>
      </w:pPr>
    </w:p>
    <w:p w14:paraId="25620350">
      <w:pPr>
        <w:pStyle w:val="4"/>
        <w:spacing w:before="0" w:after="0" w:line="400" w:lineRule="exact"/>
        <w:ind w:firstLine="480" w:firstLineChars="200"/>
        <w:jc w:val="both"/>
        <w:rPr>
          <w:rFonts w:ascii="Times New Roman" w:hAnsi="Times New Roman" w:cs="Times New Roman"/>
        </w:rPr>
      </w:pPr>
    </w:p>
    <w:p w14:paraId="5C0EC6AD">
      <w:pPr>
        <w:pStyle w:val="4"/>
        <w:spacing w:before="0" w:after="0" w:line="400" w:lineRule="exact"/>
        <w:ind w:firstLine="480" w:firstLineChars="200"/>
        <w:jc w:val="both"/>
        <w:rPr>
          <w:rFonts w:ascii="Times New Roman" w:hAnsi="Times New Roman" w:cs="Times New Roman"/>
        </w:rPr>
      </w:pPr>
    </w:p>
    <w:p w14:paraId="729B837C">
      <w:pPr>
        <w:pStyle w:val="4"/>
        <w:spacing w:before="0" w:after="0" w:line="400" w:lineRule="exact"/>
        <w:ind w:firstLine="480" w:firstLineChars="200"/>
        <w:jc w:val="both"/>
        <w:rPr>
          <w:rFonts w:ascii="Times New Roman" w:hAnsi="Times New Roman" w:cs="Times New Roman"/>
        </w:rPr>
      </w:pPr>
    </w:p>
    <w:p w14:paraId="0439BEA7">
      <w:pPr>
        <w:pStyle w:val="4"/>
        <w:spacing w:before="0" w:after="0" w:line="400" w:lineRule="exact"/>
        <w:ind w:firstLine="480" w:firstLineChars="200"/>
        <w:jc w:val="both"/>
        <w:rPr>
          <w:rFonts w:ascii="Times New Roman" w:hAnsi="Times New Roman" w:cs="Times New Roman"/>
        </w:rPr>
      </w:pPr>
    </w:p>
    <w:p w14:paraId="12088F04">
      <w:pPr>
        <w:pStyle w:val="4"/>
        <w:spacing w:before="0" w:after="0" w:line="400" w:lineRule="exact"/>
        <w:ind w:firstLine="480" w:firstLineChars="200"/>
        <w:rPr>
          <w:rFonts w:ascii="Times New Roman" w:hAnsi="Times New Roman" w:cs="Times New Roman"/>
        </w:rPr>
        <w:sectPr>
          <w:footerReference r:id="rId11" w:type="default"/>
          <w:footerReference r:id="rId12" w:type="even"/>
          <w:pgSz w:w="11905" w:h="16838"/>
          <w:pgMar w:top="1701" w:right="1474" w:bottom="1417" w:left="1474" w:header="1134" w:footer="992" w:gutter="0"/>
          <w:pgNumType w:fmt="upperRoman"/>
          <w:cols w:space="0" w:num="1"/>
          <w:docGrid w:type="linesAndChars" w:linePitch="327" w:charSpace="0"/>
        </w:sectPr>
      </w:pPr>
      <w:r>
        <w:rPr>
          <w:rFonts w:ascii="Times New Roman" w:hAnsi="Times New Roman" w:cs="Times New Roman"/>
          <w:b/>
          <w:bCs/>
        </w:rPr>
        <w:t>KEYWORDS</w:t>
      </w:r>
      <w:r>
        <w:rPr>
          <w:rFonts w:ascii="Times New Roman" w:hAnsi="Times New Roman" w:cs="Times New Roman"/>
        </w:rPr>
        <w:t>: Visual force sensor; Enterprise strategic transformation; Digital transformation; Hard-tech enterprise; DIC technology</w:t>
      </w:r>
    </w:p>
    <w:bookmarkEnd w:id="2"/>
    <w:sdt>
      <w:sdtPr>
        <w:rPr>
          <w:rFonts w:ascii="宋体" w:hAnsi="宋体" w:eastAsia="宋体"/>
          <w:sz w:val="21"/>
        </w:rPr>
        <w:id w:val="147466503"/>
        <w15:color w:val="DBDBDB"/>
        <w:docPartObj>
          <w:docPartGallery w:val="Table of Contents"/>
          <w:docPartUnique/>
        </w:docPartObj>
      </w:sdtPr>
      <w:sdtEndPr>
        <w:rPr>
          <w:rFonts w:asciiTheme="minorHAnsi" w:hAnsiTheme="minorHAnsi" w:eastAsiaTheme="minorEastAsia"/>
          <w:sz w:val="24"/>
        </w:rPr>
      </w:sdtEndPr>
      <w:sdtContent>
        <w:p w14:paraId="738F92CA">
          <w:pPr>
            <w:spacing w:before="480" w:after="360"/>
            <w:jc w:val="center"/>
            <w:rPr>
              <w:rFonts w:ascii="黑体" w:hAnsi="黑体" w:eastAsia="黑体" w:cs="黑体"/>
              <w:sz w:val="32"/>
              <w:szCs w:val="32"/>
            </w:rPr>
          </w:pPr>
          <w:bookmarkStart w:id="10" w:name="_Toc222822749"/>
          <w:bookmarkStart w:id="11" w:name="第一章-绪论"/>
          <w:r>
            <w:rPr>
              <w:rFonts w:hint="eastAsia" w:ascii="黑体" w:hAnsi="黑体" w:eastAsia="黑体" w:cs="黑体"/>
              <w:sz w:val="32"/>
              <w:szCs w:val="32"/>
            </w:rPr>
            <w:t>目录</w:t>
          </w:r>
        </w:p>
        <w:p w14:paraId="7311816B">
          <w:pPr>
            <w:pStyle w:val="22"/>
            <w:rPr>
              <w:rFonts w:asciiTheme="minorHAnsi" w:hAnsiTheme="minorHAnsi" w:eastAsiaTheme="minorEastAsia" w:cstheme="minorBidi"/>
              <w:kern w:val="2"/>
              <w:sz w:val="21"/>
              <w:szCs w:val="22"/>
              <w:lang w:eastAsia="zh-CN"/>
            </w:rPr>
          </w:pPr>
          <w:r>
            <w:fldChar w:fldCharType="begin"/>
          </w:r>
          <w:r>
            <w:instrText xml:space="preserve">TOC \o "1-3" \h \u </w:instrText>
          </w:r>
          <w:r>
            <w:fldChar w:fldCharType="separate"/>
          </w:r>
          <w:r>
            <w:fldChar w:fldCharType="begin"/>
          </w:r>
          <w:r>
            <w:instrText xml:space="preserve"> HYPERLINK \l "_Toc222913118" </w:instrText>
          </w:r>
          <w:r>
            <w:fldChar w:fldCharType="separate"/>
          </w:r>
          <w:r>
            <w:rPr>
              <w:rStyle w:val="33"/>
              <w:rFonts w:ascii="黑体" w:hAnsi="黑体"/>
            </w:rPr>
            <w:t>摘要</w:t>
          </w:r>
          <w:r>
            <w:tab/>
          </w:r>
          <w:r>
            <w:fldChar w:fldCharType="begin"/>
          </w:r>
          <w:r>
            <w:instrText xml:space="preserve"> PAGEREF _Toc222913118 \h </w:instrText>
          </w:r>
          <w:r>
            <w:fldChar w:fldCharType="separate"/>
          </w:r>
          <w:r>
            <w:t>I</w:t>
          </w:r>
          <w:r>
            <w:fldChar w:fldCharType="end"/>
          </w:r>
          <w:r>
            <w:fldChar w:fldCharType="end"/>
          </w:r>
        </w:p>
        <w:p w14:paraId="6FC18098">
          <w:pPr>
            <w:pStyle w:val="22"/>
            <w:rPr>
              <w:rFonts w:asciiTheme="minorHAnsi" w:hAnsiTheme="minorHAnsi" w:eastAsiaTheme="minorEastAsia" w:cstheme="minorBidi"/>
              <w:kern w:val="2"/>
              <w:sz w:val="21"/>
              <w:szCs w:val="22"/>
              <w:lang w:eastAsia="zh-CN"/>
            </w:rPr>
          </w:pPr>
          <w:r>
            <w:fldChar w:fldCharType="begin"/>
          </w:r>
          <w:r>
            <w:instrText xml:space="preserve"> HYPERLINK \l "_Toc222913119" </w:instrText>
          </w:r>
          <w:r>
            <w:fldChar w:fldCharType="separate"/>
          </w:r>
          <w:r>
            <w:rPr>
              <w:rStyle w:val="33"/>
              <w:rFonts w:ascii="Arial" w:hAnsi="Arial" w:cs="Arial"/>
            </w:rPr>
            <w:t>ABSTRACT</w:t>
          </w:r>
          <w:r>
            <w:tab/>
          </w:r>
          <w:r>
            <w:fldChar w:fldCharType="begin"/>
          </w:r>
          <w:r>
            <w:instrText xml:space="preserve"> PAGEREF _Toc222913119 \h </w:instrText>
          </w:r>
          <w:r>
            <w:fldChar w:fldCharType="separate"/>
          </w:r>
          <w:r>
            <w:t>II</w:t>
          </w:r>
          <w:r>
            <w:fldChar w:fldCharType="end"/>
          </w:r>
          <w:r>
            <w:fldChar w:fldCharType="end"/>
          </w:r>
        </w:p>
        <w:p w14:paraId="5C4AA1A0">
          <w:pPr>
            <w:pStyle w:val="22"/>
            <w:rPr>
              <w:rFonts w:asciiTheme="minorHAnsi" w:hAnsiTheme="minorHAnsi" w:eastAsiaTheme="minorEastAsia" w:cstheme="minorBidi"/>
              <w:kern w:val="2"/>
              <w:sz w:val="21"/>
              <w:szCs w:val="22"/>
              <w:lang w:eastAsia="zh-CN"/>
            </w:rPr>
          </w:pPr>
          <w:r>
            <w:fldChar w:fldCharType="begin"/>
          </w:r>
          <w:r>
            <w:instrText xml:space="preserve"> HYPERLINK \l "_Toc222913120" </w:instrText>
          </w:r>
          <w:r>
            <w:fldChar w:fldCharType="separate"/>
          </w:r>
          <w:r>
            <w:rPr>
              <w:rStyle w:val="33"/>
            </w:rPr>
            <w:t>第一章 绪论</w:t>
          </w:r>
          <w:r>
            <w:tab/>
          </w:r>
          <w:r>
            <w:fldChar w:fldCharType="begin"/>
          </w:r>
          <w:r>
            <w:instrText xml:space="preserve"> PAGEREF _Toc222913120 \h </w:instrText>
          </w:r>
          <w:r>
            <w:fldChar w:fldCharType="separate"/>
          </w:r>
          <w:r>
            <w:t>1</w:t>
          </w:r>
          <w:r>
            <w:fldChar w:fldCharType="end"/>
          </w:r>
          <w:r>
            <w:fldChar w:fldCharType="end"/>
          </w:r>
        </w:p>
        <w:p w14:paraId="48ADD641">
          <w:pPr>
            <w:pStyle w:val="28"/>
            <w:rPr>
              <w:rFonts w:asciiTheme="minorHAnsi" w:hAnsiTheme="minorHAnsi"/>
              <w:kern w:val="2"/>
              <w:sz w:val="21"/>
              <w:szCs w:val="22"/>
              <w:lang w:eastAsia="zh-CN"/>
            </w:rPr>
          </w:pPr>
          <w:r>
            <w:fldChar w:fldCharType="begin"/>
          </w:r>
          <w:r>
            <w:instrText xml:space="preserve"> HYPERLINK \l "_Toc222913121" </w:instrText>
          </w:r>
          <w:r>
            <w:fldChar w:fldCharType="separate"/>
          </w:r>
          <w:r>
            <w:rPr>
              <w:rStyle w:val="33"/>
            </w:rPr>
            <w:t>1.1研究背景</w:t>
          </w:r>
          <w:r>
            <w:tab/>
          </w:r>
          <w:r>
            <w:fldChar w:fldCharType="begin"/>
          </w:r>
          <w:r>
            <w:instrText xml:space="preserve"> PAGEREF _Toc222913121 \h </w:instrText>
          </w:r>
          <w:r>
            <w:fldChar w:fldCharType="separate"/>
          </w:r>
          <w:r>
            <w:t>1</w:t>
          </w:r>
          <w:r>
            <w:fldChar w:fldCharType="end"/>
          </w:r>
          <w:r>
            <w:fldChar w:fldCharType="end"/>
          </w:r>
        </w:p>
        <w:p w14:paraId="6BB00072">
          <w:pPr>
            <w:pStyle w:val="28"/>
            <w:rPr>
              <w:rFonts w:asciiTheme="minorHAnsi" w:hAnsiTheme="minorHAnsi"/>
              <w:kern w:val="2"/>
              <w:sz w:val="21"/>
              <w:szCs w:val="22"/>
              <w:lang w:eastAsia="zh-CN"/>
            </w:rPr>
          </w:pPr>
          <w:r>
            <w:fldChar w:fldCharType="begin"/>
          </w:r>
          <w:r>
            <w:instrText xml:space="preserve"> HYPERLINK \l "_Toc222913122" </w:instrText>
          </w:r>
          <w:r>
            <w:fldChar w:fldCharType="separate"/>
          </w:r>
          <w:r>
            <w:rPr>
              <w:rStyle w:val="33"/>
            </w:rPr>
            <w:t>1.2 研究意义</w:t>
          </w:r>
          <w:r>
            <w:tab/>
          </w:r>
          <w:r>
            <w:fldChar w:fldCharType="begin"/>
          </w:r>
          <w:r>
            <w:instrText xml:space="preserve"> PAGEREF _Toc222913122 \h </w:instrText>
          </w:r>
          <w:r>
            <w:fldChar w:fldCharType="separate"/>
          </w:r>
          <w:r>
            <w:t>2</w:t>
          </w:r>
          <w:r>
            <w:fldChar w:fldCharType="end"/>
          </w:r>
          <w:r>
            <w:fldChar w:fldCharType="end"/>
          </w:r>
        </w:p>
        <w:p w14:paraId="7E5E6ADE">
          <w:pPr>
            <w:pStyle w:val="28"/>
            <w:rPr>
              <w:rFonts w:asciiTheme="minorHAnsi" w:hAnsiTheme="minorHAnsi"/>
              <w:kern w:val="2"/>
              <w:sz w:val="21"/>
              <w:szCs w:val="22"/>
              <w:lang w:eastAsia="zh-CN"/>
            </w:rPr>
          </w:pPr>
          <w:r>
            <w:fldChar w:fldCharType="begin"/>
          </w:r>
          <w:r>
            <w:instrText xml:space="preserve"> HYPERLINK \l "_Toc222913123" </w:instrText>
          </w:r>
          <w:r>
            <w:fldChar w:fldCharType="separate"/>
          </w:r>
          <w:r>
            <w:rPr>
              <w:rStyle w:val="33"/>
            </w:rPr>
            <w:t>1.3 研究内容与方法</w:t>
          </w:r>
          <w:r>
            <w:tab/>
          </w:r>
          <w:r>
            <w:fldChar w:fldCharType="begin"/>
          </w:r>
          <w:r>
            <w:instrText xml:space="preserve"> PAGEREF _Toc222913123 \h </w:instrText>
          </w:r>
          <w:r>
            <w:fldChar w:fldCharType="separate"/>
          </w:r>
          <w:r>
            <w:t>2</w:t>
          </w:r>
          <w:r>
            <w:fldChar w:fldCharType="end"/>
          </w:r>
          <w:r>
            <w:fldChar w:fldCharType="end"/>
          </w:r>
        </w:p>
        <w:p w14:paraId="34E0A4DF">
          <w:pPr>
            <w:pStyle w:val="28"/>
            <w:rPr>
              <w:rFonts w:asciiTheme="minorHAnsi" w:hAnsiTheme="minorHAnsi"/>
              <w:kern w:val="2"/>
              <w:sz w:val="21"/>
              <w:szCs w:val="22"/>
              <w:lang w:eastAsia="zh-CN"/>
            </w:rPr>
          </w:pPr>
          <w:r>
            <w:fldChar w:fldCharType="begin"/>
          </w:r>
          <w:r>
            <w:instrText xml:space="preserve"> HYPERLINK \l "_Toc222913124" </w:instrText>
          </w:r>
          <w:r>
            <w:fldChar w:fldCharType="separate"/>
          </w:r>
          <w:r>
            <w:rPr>
              <w:rStyle w:val="33"/>
            </w:rPr>
            <w:t>1.4 论文结构安排</w:t>
          </w:r>
          <w:r>
            <w:tab/>
          </w:r>
          <w:r>
            <w:fldChar w:fldCharType="begin"/>
          </w:r>
          <w:r>
            <w:instrText xml:space="preserve"> PAGEREF _Toc222913124 \h </w:instrText>
          </w:r>
          <w:r>
            <w:fldChar w:fldCharType="separate"/>
          </w:r>
          <w:r>
            <w:t>3</w:t>
          </w:r>
          <w:r>
            <w:fldChar w:fldCharType="end"/>
          </w:r>
          <w:r>
            <w:fldChar w:fldCharType="end"/>
          </w:r>
        </w:p>
        <w:p w14:paraId="3EF7242A">
          <w:pPr>
            <w:pStyle w:val="22"/>
            <w:rPr>
              <w:rFonts w:asciiTheme="minorHAnsi" w:hAnsiTheme="minorHAnsi" w:eastAsiaTheme="minorEastAsia" w:cstheme="minorBidi"/>
              <w:kern w:val="2"/>
              <w:sz w:val="21"/>
              <w:szCs w:val="22"/>
              <w:lang w:eastAsia="zh-CN"/>
            </w:rPr>
          </w:pPr>
          <w:r>
            <w:fldChar w:fldCharType="begin"/>
          </w:r>
          <w:r>
            <w:instrText xml:space="preserve"> HYPERLINK \l "_Toc222913125" </w:instrText>
          </w:r>
          <w:r>
            <w:fldChar w:fldCharType="separate"/>
          </w:r>
          <w:r>
            <w:rPr>
              <w:rStyle w:val="33"/>
            </w:rPr>
            <w:t>第二章 理论基础与文献综述</w:t>
          </w:r>
          <w:r>
            <w:tab/>
          </w:r>
          <w:r>
            <w:fldChar w:fldCharType="begin"/>
          </w:r>
          <w:r>
            <w:instrText xml:space="preserve"> PAGEREF _Toc222913125 \h </w:instrText>
          </w:r>
          <w:r>
            <w:fldChar w:fldCharType="separate"/>
          </w:r>
          <w:r>
            <w:t>5</w:t>
          </w:r>
          <w:r>
            <w:fldChar w:fldCharType="end"/>
          </w:r>
          <w:r>
            <w:fldChar w:fldCharType="end"/>
          </w:r>
        </w:p>
        <w:p w14:paraId="135F32CB">
          <w:pPr>
            <w:pStyle w:val="28"/>
            <w:rPr>
              <w:rFonts w:asciiTheme="minorHAnsi" w:hAnsiTheme="minorHAnsi"/>
              <w:kern w:val="2"/>
              <w:sz w:val="21"/>
              <w:szCs w:val="22"/>
              <w:lang w:eastAsia="zh-CN"/>
            </w:rPr>
          </w:pPr>
          <w:r>
            <w:fldChar w:fldCharType="begin"/>
          </w:r>
          <w:r>
            <w:instrText xml:space="preserve"> HYPERLINK \l "_Toc222913126" </w:instrText>
          </w:r>
          <w:r>
            <w:fldChar w:fldCharType="separate"/>
          </w:r>
          <w:r>
            <w:rPr>
              <w:rStyle w:val="33"/>
            </w:rPr>
            <w:t>2.1 企业战略转型理论</w:t>
          </w:r>
          <w:r>
            <w:tab/>
          </w:r>
          <w:r>
            <w:fldChar w:fldCharType="begin"/>
          </w:r>
          <w:r>
            <w:instrText xml:space="preserve"> PAGEREF _Toc222913126 \h </w:instrText>
          </w:r>
          <w:r>
            <w:fldChar w:fldCharType="separate"/>
          </w:r>
          <w:r>
            <w:t>5</w:t>
          </w:r>
          <w:r>
            <w:fldChar w:fldCharType="end"/>
          </w:r>
          <w:r>
            <w:fldChar w:fldCharType="end"/>
          </w:r>
        </w:p>
        <w:p w14:paraId="012AC1E9">
          <w:pPr>
            <w:pStyle w:val="28"/>
            <w:rPr>
              <w:rFonts w:asciiTheme="minorHAnsi" w:hAnsiTheme="minorHAnsi"/>
              <w:kern w:val="2"/>
              <w:sz w:val="21"/>
              <w:szCs w:val="22"/>
              <w:lang w:eastAsia="zh-CN"/>
            </w:rPr>
          </w:pPr>
          <w:r>
            <w:fldChar w:fldCharType="begin"/>
          </w:r>
          <w:r>
            <w:instrText xml:space="preserve"> HYPERLINK \l "_Toc222913127" </w:instrText>
          </w:r>
          <w:r>
            <w:fldChar w:fldCharType="separate"/>
          </w:r>
          <w:r>
            <w:rPr>
              <w:rStyle w:val="33"/>
            </w:rPr>
            <w:t>2.2 视觉力学传感器行业概述</w:t>
          </w:r>
          <w:r>
            <w:tab/>
          </w:r>
          <w:r>
            <w:fldChar w:fldCharType="begin"/>
          </w:r>
          <w:r>
            <w:instrText xml:space="preserve"> PAGEREF _Toc222913127 \h </w:instrText>
          </w:r>
          <w:r>
            <w:fldChar w:fldCharType="separate"/>
          </w:r>
          <w:r>
            <w:t>6</w:t>
          </w:r>
          <w:r>
            <w:fldChar w:fldCharType="end"/>
          </w:r>
          <w:r>
            <w:fldChar w:fldCharType="end"/>
          </w:r>
        </w:p>
        <w:p w14:paraId="38A17801">
          <w:pPr>
            <w:pStyle w:val="28"/>
            <w:rPr>
              <w:rFonts w:asciiTheme="minorHAnsi" w:hAnsiTheme="minorHAnsi"/>
              <w:kern w:val="2"/>
              <w:sz w:val="21"/>
              <w:szCs w:val="22"/>
              <w:lang w:eastAsia="zh-CN"/>
            </w:rPr>
          </w:pPr>
          <w:r>
            <w:fldChar w:fldCharType="begin"/>
          </w:r>
          <w:r>
            <w:instrText xml:space="preserve"> HYPERLINK \l "_Toc222913128" </w:instrText>
          </w:r>
          <w:r>
            <w:fldChar w:fldCharType="separate"/>
          </w:r>
          <w:r>
            <w:rPr>
              <w:rStyle w:val="33"/>
            </w:rPr>
            <w:t>2.3 相关研究综述</w:t>
          </w:r>
          <w:r>
            <w:tab/>
          </w:r>
          <w:r>
            <w:fldChar w:fldCharType="begin"/>
          </w:r>
          <w:r>
            <w:instrText xml:space="preserve"> PAGEREF _Toc222913128 \h </w:instrText>
          </w:r>
          <w:r>
            <w:fldChar w:fldCharType="separate"/>
          </w:r>
          <w:r>
            <w:t>7</w:t>
          </w:r>
          <w:r>
            <w:fldChar w:fldCharType="end"/>
          </w:r>
          <w:r>
            <w:fldChar w:fldCharType="end"/>
          </w:r>
        </w:p>
        <w:p w14:paraId="6FB3EC6F">
          <w:pPr>
            <w:pStyle w:val="22"/>
            <w:rPr>
              <w:rFonts w:asciiTheme="minorHAnsi" w:hAnsiTheme="minorHAnsi" w:eastAsiaTheme="minorEastAsia" w:cstheme="minorBidi"/>
              <w:kern w:val="2"/>
              <w:sz w:val="21"/>
              <w:szCs w:val="22"/>
              <w:lang w:eastAsia="zh-CN"/>
            </w:rPr>
          </w:pPr>
          <w:r>
            <w:fldChar w:fldCharType="begin"/>
          </w:r>
          <w:r>
            <w:instrText xml:space="preserve"> HYPERLINK \l "_Toc222913129" </w:instrText>
          </w:r>
          <w:r>
            <w:fldChar w:fldCharType="separate"/>
          </w:r>
          <w:r>
            <w:rPr>
              <w:rStyle w:val="33"/>
            </w:rPr>
            <w:t>第三章 HSM公司外部环境分析</w:t>
          </w:r>
          <w:r>
            <w:tab/>
          </w:r>
          <w:r>
            <w:fldChar w:fldCharType="begin"/>
          </w:r>
          <w:r>
            <w:instrText xml:space="preserve"> PAGEREF _Toc222913129 \h </w:instrText>
          </w:r>
          <w:r>
            <w:fldChar w:fldCharType="separate"/>
          </w:r>
          <w:r>
            <w:t>9</w:t>
          </w:r>
          <w:r>
            <w:fldChar w:fldCharType="end"/>
          </w:r>
          <w:r>
            <w:fldChar w:fldCharType="end"/>
          </w:r>
        </w:p>
        <w:p w14:paraId="7CDB28CD">
          <w:pPr>
            <w:pStyle w:val="28"/>
            <w:rPr>
              <w:rFonts w:asciiTheme="minorHAnsi" w:hAnsiTheme="minorHAnsi"/>
              <w:kern w:val="2"/>
              <w:sz w:val="21"/>
              <w:szCs w:val="22"/>
              <w:lang w:eastAsia="zh-CN"/>
            </w:rPr>
          </w:pPr>
          <w:r>
            <w:fldChar w:fldCharType="begin"/>
          </w:r>
          <w:r>
            <w:instrText xml:space="preserve"> HYPERLINK \l "_Toc222913130" </w:instrText>
          </w:r>
          <w:r>
            <w:fldChar w:fldCharType="separate"/>
          </w:r>
          <w:r>
            <w:rPr>
              <w:rStyle w:val="33"/>
            </w:rPr>
            <w:t>3.1 HSM外部宏观环境PEST分析</w:t>
          </w:r>
          <w:r>
            <w:tab/>
          </w:r>
          <w:r>
            <w:fldChar w:fldCharType="begin"/>
          </w:r>
          <w:r>
            <w:instrText xml:space="preserve"> PAGEREF _Toc222913130 \h </w:instrText>
          </w:r>
          <w:r>
            <w:fldChar w:fldCharType="separate"/>
          </w:r>
          <w:r>
            <w:t>9</w:t>
          </w:r>
          <w:r>
            <w:fldChar w:fldCharType="end"/>
          </w:r>
          <w:r>
            <w:fldChar w:fldCharType="end"/>
          </w:r>
        </w:p>
        <w:p w14:paraId="0A4C6C3D">
          <w:pPr>
            <w:pStyle w:val="16"/>
            <w:rPr>
              <w:rFonts w:asciiTheme="minorHAnsi" w:hAnsiTheme="minorHAnsi"/>
              <w:kern w:val="2"/>
              <w:sz w:val="21"/>
              <w:szCs w:val="22"/>
              <w:lang w:eastAsia="zh-CN"/>
            </w:rPr>
          </w:pPr>
          <w:r>
            <w:fldChar w:fldCharType="begin"/>
          </w:r>
          <w:r>
            <w:instrText xml:space="preserve"> HYPERLINK \l "_Toc222913131" </w:instrText>
          </w:r>
          <w:r>
            <w:fldChar w:fldCharType="separate"/>
          </w:r>
          <w:r>
            <w:rPr>
              <w:rStyle w:val="33"/>
            </w:rPr>
            <w:t>3.1.1 政治环境</w:t>
          </w:r>
          <w:r>
            <w:tab/>
          </w:r>
          <w:r>
            <w:fldChar w:fldCharType="begin"/>
          </w:r>
          <w:r>
            <w:instrText xml:space="preserve"> PAGEREF _Toc222913131 \h </w:instrText>
          </w:r>
          <w:r>
            <w:fldChar w:fldCharType="separate"/>
          </w:r>
          <w:r>
            <w:t>9</w:t>
          </w:r>
          <w:r>
            <w:fldChar w:fldCharType="end"/>
          </w:r>
          <w:r>
            <w:fldChar w:fldCharType="end"/>
          </w:r>
        </w:p>
        <w:p w14:paraId="2990DC36">
          <w:pPr>
            <w:pStyle w:val="16"/>
            <w:rPr>
              <w:rFonts w:asciiTheme="minorHAnsi" w:hAnsiTheme="minorHAnsi"/>
              <w:kern w:val="2"/>
              <w:sz w:val="21"/>
              <w:szCs w:val="22"/>
              <w:lang w:eastAsia="zh-CN"/>
            </w:rPr>
          </w:pPr>
          <w:r>
            <w:fldChar w:fldCharType="begin"/>
          </w:r>
          <w:r>
            <w:instrText xml:space="preserve"> HYPERLINK \l "_Toc222913132" </w:instrText>
          </w:r>
          <w:r>
            <w:fldChar w:fldCharType="separate"/>
          </w:r>
          <w:r>
            <w:rPr>
              <w:rStyle w:val="33"/>
            </w:rPr>
            <w:t>3.1.2 经济环境</w:t>
          </w:r>
          <w:r>
            <w:tab/>
          </w:r>
          <w:r>
            <w:fldChar w:fldCharType="begin"/>
          </w:r>
          <w:r>
            <w:instrText xml:space="preserve"> PAGEREF _Toc222913132 \h </w:instrText>
          </w:r>
          <w:r>
            <w:fldChar w:fldCharType="separate"/>
          </w:r>
          <w:r>
            <w:t>9</w:t>
          </w:r>
          <w:r>
            <w:fldChar w:fldCharType="end"/>
          </w:r>
          <w:r>
            <w:fldChar w:fldCharType="end"/>
          </w:r>
        </w:p>
        <w:p w14:paraId="1B335099">
          <w:pPr>
            <w:pStyle w:val="16"/>
            <w:rPr>
              <w:rFonts w:asciiTheme="minorHAnsi" w:hAnsiTheme="minorHAnsi"/>
              <w:kern w:val="2"/>
              <w:sz w:val="21"/>
              <w:szCs w:val="22"/>
              <w:lang w:eastAsia="zh-CN"/>
            </w:rPr>
          </w:pPr>
          <w:r>
            <w:fldChar w:fldCharType="begin"/>
          </w:r>
          <w:r>
            <w:instrText xml:space="preserve"> HYPERLINK \l "_Toc222913133" </w:instrText>
          </w:r>
          <w:r>
            <w:fldChar w:fldCharType="separate"/>
          </w:r>
          <w:r>
            <w:rPr>
              <w:rStyle w:val="33"/>
            </w:rPr>
            <w:t>3.1.3 社会环境</w:t>
          </w:r>
          <w:r>
            <w:tab/>
          </w:r>
          <w:r>
            <w:fldChar w:fldCharType="begin"/>
          </w:r>
          <w:r>
            <w:instrText xml:space="preserve"> PAGEREF _Toc222913133 \h </w:instrText>
          </w:r>
          <w:r>
            <w:fldChar w:fldCharType="separate"/>
          </w:r>
          <w:r>
            <w:t>10</w:t>
          </w:r>
          <w:r>
            <w:fldChar w:fldCharType="end"/>
          </w:r>
          <w:r>
            <w:fldChar w:fldCharType="end"/>
          </w:r>
        </w:p>
        <w:p w14:paraId="07177B67">
          <w:pPr>
            <w:pStyle w:val="16"/>
            <w:rPr>
              <w:rFonts w:asciiTheme="minorHAnsi" w:hAnsiTheme="minorHAnsi"/>
              <w:kern w:val="2"/>
              <w:sz w:val="21"/>
              <w:szCs w:val="22"/>
              <w:lang w:eastAsia="zh-CN"/>
            </w:rPr>
          </w:pPr>
          <w:r>
            <w:fldChar w:fldCharType="begin"/>
          </w:r>
          <w:r>
            <w:instrText xml:space="preserve"> HYPERLINK \l "_Toc222913134" </w:instrText>
          </w:r>
          <w:r>
            <w:fldChar w:fldCharType="separate"/>
          </w:r>
          <w:r>
            <w:rPr>
              <w:rStyle w:val="33"/>
            </w:rPr>
            <w:t>3.1.4 技术环境</w:t>
          </w:r>
          <w:r>
            <w:tab/>
          </w:r>
          <w:r>
            <w:fldChar w:fldCharType="begin"/>
          </w:r>
          <w:r>
            <w:instrText xml:space="preserve"> PAGEREF _Toc222913134 \h </w:instrText>
          </w:r>
          <w:r>
            <w:fldChar w:fldCharType="separate"/>
          </w:r>
          <w:r>
            <w:t>11</w:t>
          </w:r>
          <w:r>
            <w:fldChar w:fldCharType="end"/>
          </w:r>
          <w:r>
            <w:fldChar w:fldCharType="end"/>
          </w:r>
        </w:p>
        <w:p w14:paraId="42F91530">
          <w:pPr>
            <w:pStyle w:val="16"/>
            <w:rPr>
              <w:rFonts w:asciiTheme="minorHAnsi" w:hAnsiTheme="minorHAnsi"/>
              <w:kern w:val="2"/>
              <w:sz w:val="21"/>
              <w:szCs w:val="22"/>
              <w:lang w:eastAsia="zh-CN"/>
            </w:rPr>
          </w:pPr>
          <w:r>
            <w:fldChar w:fldCharType="begin"/>
          </w:r>
          <w:r>
            <w:instrText xml:space="preserve"> HYPERLINK \l "_Toc222913135" </w:instrText>
          </w:r>
          <w:r>
            <w:fldChar w:fldCharType="separate"/>
          </w:r>
          <w:r>
            <w:rPr>
              <w:rStyle w:val="33"/>
            </w:rPr>
            <w:t>3.1.5 小结</w:t>
          </w:r>
          <w:r>
            <w:tab/>
          </w:r>
          <w:r>
            <w:fldChar w:fldCharType="begin"/>
          </w:r>
          <w:r>
            <w:instrText xml:space="preserve"> PAGEREF _Toc222913135 \h </w:instrText>
          </w:r>
          <w:r>
            <w:fldChar w:fldCharType="separate"/>
          </w:r>
          <w:r>
            <w:t>11</w:t>
          </w:r>
          <w:r>
            <w:fldChar w:fldCharType="end"/>
          </w:r>
          <w:r>
            <w:fldChar w:fldCharType="end"/>
          </w:r>
        </w:p>
        <w:p w14:paraId="27D17CCD">
          <w:pPr>
            <w:pStyle w:val="28"/>
            <w:rPr>
              <w:rFonts w:asciiTheme="minorHAnsi" w:hAnsiTheme="minorHAnsi"/>
              <w:kern w:val="2"/>
              <w:sz w:val="21"/>
              <w:szCs w:val="22"/>
              <w:lang w:eastAsia="zh-CN"/>
            </w:rPr>
          </w:pPr>
          <w:r>
            <w:fldChar w:fldCharType="begin"/>
          </w:r>
          <w:r>
            <w:instrText xml:space="preserve"> HYPERLINK \l "_Toc222913136" </w:instrText>
          </w:r>
          <w:r>
            <w:fldChar w:fldCharType="separate"/>
          </w:r>
          <w:r>
            <w:rPr>
              <w:rStyle w:val="33"/>
            </w:rPr>
            <w:t>3.2 视觉力学传感器行业总体环境分析</w:t>
          </w:r>
          <w:r>
            <w:tab/>
          </w:r>
          <w:r>
            <w:fldChar w:fldCharType="begin"/>
          </w:r>
          <w:r>
            <w:instrText xml:space="preserve"> PAGEREF _Toc222913136 \h </w:instrText>
          </w:r>
          <w:r>
            <w:fldChar w:fldCharType="separate"/>
          </w:r>
          <w:r>
            <w:t>12</w:t>
          </w:r>
          <w:r>
            <w:fldChar w:fldCharType="end"/>
          </w:r>
          <w:r>
            <w:fldChar w:fldCharType="end"/>
          </w:r>
        </w:p>
        <w:p w14:paraId="60B8BADD">
          <w:pPr>
            <w:pStyle w:val="16"/>
            <w:rPr>
              <w:rFonts w:asciiTheme="minorHAnsi" w:hAnsiTheme="minorHAnsi"/>
              <w:kern w:val="2"/>
              <w:sz w:val="21"/>
              <w:szCs w:val="22"/>
              <w:lang w:eastAsia="zh-CN"/>
            </w:rPr>
          </w:pPr>
          <w:r>
            <w:fldChar w:fldCharType="begin"/>
          </w:r>
          <w:r>
            <w:instrText xml:space="preserve"> HYPERLINK \l "_Toc222913137" </w:instrText>
          </w:r>
          <w:r>
            <w:fldChar w:fldCharType="separate"/>
          </w:r>
          <w:r>
            <w:rPr>
              <w:rStyle w:val="33"/>
            </w:rPr>
            <w:t>3.2.1 全球与中国市场对比分析</w:t>
          </w:r>
          <w:r>
            <w:tab/>
          </w:r>
          <w:r>
            <w:fldChar w:fldCharType="begin"/>
          </w:r>
          <w:r>
            <w:instrText xml:space="preserve"> PAGEREF _Toc222913137 \h </w:instrText>
          </w:r>
          <w:r>
            <w:fldChar w:fldCharType="separate"/>
          </w:r>
          <w:r>
            <w:t>12</w:t>
          </w:r>
          <w:r>
            <w:fldChar w:fldCharType="end"/>
          </w:r>
          <w:r>
            <w:fldChar w:fldCharType="end"/>
          </w:r>
        </w:p>
        <w:p w14:paraId="46F6E998">
          <w:pPr>
            <w:pStyle w:val="16"/>
            <w:rPr>
              <w:rFonts w:asciiTheme="minorHAnsi" w:hAnsiTheme="minorHAnsi"/>
              <w:kern w:val="2"/>
              <w:sz w:val="21"/>
              <w:szCs w:val="22"/>
              <w:lang w:eastAsia="zh-CN"/>
            </w:rPr>
          </w:pPr>
          <w:r>
            <w:fldChar w:fldCharType="begin"/>
          </w:r>
          <w:r>
            <w:instrText xml:space="preserve"> HYPERLINK \l "_Toc222913138" </w:instrText>
          </w:r>
          <w:r>
            <w:fldChar w:fldCharType="separate"/>
          </w:r>
          <w:r>
            <w:rPr>
              <w:rStyle w:val="33"/>
            </w:rPr>
            <w:t>3.2.2 主要竞争对手分析</w:t>
          </w:r>
          <w:r>
            <w:tab/>
          </w:r>
          <w:r>
            <w:fldChar w:fldCharType="begin"/>
          </w:r>
          <w:r>
            <w:instrText xml:space="preserve"> PAGEREF _Toc222913138 \h </w:instrText>
          </w:r>
          <w:r>
            <w:fldChar w:fldCharType="separate"/>
          </w:r>
          <w:r>
            <w:t>13</w:t>
          </w:r>
          <w:r>
            <w:fldChar w:fldCharType="end"/>
          </w:r>
          <w:r>
            <w:fldChar w:fldCharType="end"/>
          </w:r>
        </w:p>
        <w:p w14:paraId="0283831F">
          <w:pPr>
            <w:pStyle w:val="28"/>
            <w:rPr>
              <w:rFonts w:asciiTheme="minorHAnsi" w:hAnsiTheme="minorHAnsi"/>
              <w:kern w:val="2"/>
              <w:sz w:val="21"/>
              <w:szCs w:val="22"/>
              <w:lang w:eastAsia="zh-CN"/>
            </w:rPr>
          </w:pPr>
          <w:r>
            <w:fldChar w:fldCharType="begin"/>
          </w:r>
          <w:r>
            <w:instrText xml:space="preserve"> HYPERLINK \l "_Toc222913139" </w:instrText>
          </w:r>
          <w:r>
            <w:fldChar w:fldCharType="separate"/>
          </w:r>
          <w:r>
            <w:rPr>
              <w:rStyle w:val="33"/>
            </w:rPr>
            <w:t>3.3 行业竞争环境波特五力分析</w:t>
          </w:r>
          <w:r>
            <w:tab/>
          </w:r>
          <w:r>
            <w:fldChar w:fldCharType="begin"/>
          </w:r>
          <w:r>
            <w:instrText xml:space="preserve"> PAGEREF _Toc222913139 \h </w:instrText>
          </w:r>
          <w:r>
            <w:fldChar w:fldCharType="separate"/>
          </w:r>
          <w:r>
            <w:t>15</w:t>
          </w:r>
          <w:r>
            <w:fldChar w:fldCharType="end"/>
          </w:r>
          <w:r>
            <w:fldChar w:fldCharType="end"/>
          </w:r>
        </w:p>
        <w:p w14:paraId="5EC4278C">
          <w:pPr>
            <w:pStyle w:val="16"/>
            <w:rPr>
              <w:rFonts w:asciiTheme="minorHAnsi" w:hAnsiTheme="minorHAnsi"/>
              <w:kern w:val="2"/>
              <w:sz w:val="21"/>
              <w:szCs w:val="22"/>
              <w:lang w:eastAsia="zh-CN"/>
            </w:rPr>
          </w:pPr>
          <w:r>
            <w:fldChar w:fldCharType="begin"/>
          </w:r>
          <w:r>
            <w:instrText xml:space="preserve"> HYPERLINK \l "_Toc222913140" </w:instrText>
          </w:r>
          <w:r>
            <w:fldChar w:fldCharType="separate"/>
          </w:r>
          <w:r>
            <w:rPr>
              <w:rStyle w:val="33"/>
            </w:rPr>
            <w:t>3.3.1 现有企业竞争程度</w:t>
          </w:r>
          <w:r>
            <w:tab/>
          </w:r>
          <w:r>
            <w:fldChar w:fldCharType="begin"/>
          </w:r>
          <w:r>
            <w:instrText xml:space="preserve"> PAGEREF _Toc222913140 \h </w:instrText>
          </w:r>
          <w:r>
            <w:fldChar w:fldCharType="separate"/>
          </w:r>
          <w:r>
            <w:t>15</w:t>
          </w:r>
          <w:r>
            <w:fldChar w:fldCharType="end"/>
          </w:r>
          <w:r>
            <w:fldChar w:fldCharType="end"/>
          </w:r>
        </w:p>
        <w:p w14:paraId="1C0439A6">
          <w:pPr>
            <w:pStyle w:val="16"/>
            <w:rPr>
              <w:rFonts w:asciiTheme="minorHAnsi" w:hAnsiTheme="minorHAnsi"/>
              <w:kern w:val="2"/>
              <w:sz w:val="21"/>
              <w:szCs w:val="22"/>
              <w:lang w:eastAsia="zh-CN"/>
            </w:rPr>
          </w:pPr>
          <w:r>
            <w:fldChar w:fldCharType="begin"/>
          </w:r>
          <w:r>
            <w:instrText xml:space="preserve"> HYPERLINK \l "_Toc222913141" </w:instrText>
          </w:r>
          <w:r>
            <w:fldChar w:fldCharType="separate"/>
          </w:r>
          <w:r>
            <w:rPr>
              <w:rStyle w:val="33"/>
            </w:rPr>
            <w:t>3.3.2 潜在进入者威胁</w:t>
          </w:r>
          <w:r>
            <w:tab/>
          </w:r>
          <w:r>
            <w:fldChar w:fldCharType="begin"/>
          </w:r>
          <w:r>
            <w:instrText xml:space="preserve"> PAGEREF _Toc222913141 \h </w:instrText>
          </w:r>
          <w:r>
            <w:fldChar w:fldCharType="separate"/>
          </w:r>
          <w:r>
            <w:t>15</w:t>
          </w:r>
          <w:r>
            <w:fldChar w:fldCharType="end"/>
          </w:r>
          <w:r>
            <w:fldChar w:fldCharType="end"/>
          </w:r>
        </w:p>
        <w:p w14:paraId="24828E5E">
          <w:pPr>
            <w:pStyle w:val="16"/>
            <w:rPr>
              <w:rFonts w:asciiTheme="minorHAnsi" w:hAnsiTheme="minorHAnsi"/>
              <w:kern w:val="2"/>
              <w:sz w:val="21"/>
              <w:szCs w:val="22"/>
              <w:lang w:eastAsia="zh-CN"/>
            </w:rPr>
          </w:pPr>
          <w:r>
            <w:fldChar w:fldCharType="begin"/>
          </w:r>
          <w:r>
            <w:instrText xml:space="preserve"> HYPERLINK \l "_Toc222913142" </w:instrText>
          </w:r>
          <w:r>
            <w:fldChar w:fldCharType="separate"/>
          </w:r>
          <w:r>
            <w:rPr>
              <w:rStyle w:val="33"/>
            </w:rPr>
            <w:t>3.3.3 替代品威胁</w:t>
          </w:r>
          <w:r>
            <w:tab/>
          </w:r>
          <w:r>
            <w:fldChar w:fldCharType="begin"/>
          </w:r>
          <w:r>
            <w:instrText xml:space="preserve"> PAGEREF _Toc222913142 \h </w:instrText>
          </w:r>
          <w:r>
            <w:fldChar w:fldCharType="separate"/>
          </w:r>
          <w:r>
            <w:t>16</w:t>
          </w:r>
          <w:r>
            <w:fldChar w:fldCharType="end"/>
          </w:r>
          <w:r>
            <w:fldChar w:fldCharType="end"/>
          </w:r>
        </w:p>
        <w:p w14:paraId="1904E603">
          <w:pPr>
            <w:pStyle w:val="16"/>
            <w:rPr>
              <w:rFonts w:asciiTheme="minorHAnsi" w:hAnsiTheme="minorHAnsi"/>
              <w:kern w:val="2"/>
              <w:sz w:val="21"/>
              <w:szCs w:val="22"/>
              <w:lang w:eastAsia="zh-CN"/>
            </w:rPr>
          </w:pPr>
          <w:r>
            <w:fldChar w:fldCharType="begin"/>
          </w:r>
          <w:r>
            <w:instrText xml:space="preserve"> HYPERLINK \l "_Toc222913143" </w:instrText>
          </w:r>
          <w:r>
            <w:fldChar w:fldCharType="separate"/>
          </w:r>
          <w:r>
            <w:rPr>
              <w:rStyle w:val="33"/>
            </w:rPr>
            <w:t>3.3.4 供应商议价能力</w:t>
          </w:r>
          <w:r>
            <w:tab/>
          </w:r>
          <w:r>
            <w:fldChar w:fldCharType="begin"/>
          </w:r>
          <w:r>
            <w:instrText xml:space="preserve"> PAGEREF _Toc222913143 \h </w:instrText>
          </w:r>
          <w:r>
            <w:fldChar w:fldCharType="separate"/>
          </w:r>
          <w:r>
            <w:t>17</w:t>
          </w:r>
          <w:r>
            <w:fldChar w:fldCharType="end"/>
          </w:r>
          <w:r>
            <w:fldChar w:fldCharType="end"/>
          </w:r>
        </w:p>
        <w:p w14:paraId="74A7A701">
          <w:pPr>
            <w:pStyle w:val="16"/>
            <w:rPr>
              <w:rFonts w:asciiTheme="minorHAnsi" w:hAnsiTheme="minorHAnsi"/>
              <w:kern w:val="2"/>
              <w:sz w:val="21"/>
              <w:szCs w:val="22"/>
              <w:lang w:eastAsia="zh-CN"/>
            </w:rPr>
          </w:pPr>
          <w:r>
            <w:fldChar w:fldCharType="begin"/>
          </w:r>
          <w:r>
            <w:instrText xml:space="preserve"> HYPERLINK \l "_Toc222913144" </w:instrText>
          </w:r>
          <w:r>
            <w:fldChar w:fldCharType="separate"/>
          </w:r>
          <w:r>
            <w:rPr>
              <w:rStyle w:val="33"/>
            </w:rPr>
            <w:t>3.3.5 客户议价能力</w:t>
          </w:r>
          <w:r>
            <w:tab/>
          </w:r>
          <w:r>
            <w:fldChar w:fldCharType="begin"/>
          </w:r>
          <w:r>
            <w:instrText xml:space="preserve"> PAGEREF _Toc222913144 \h </w:instrText>
          </w:r>
          <w:r>
            <w:fldChar w:fldCharType="separate"/>
          </w:r>
          <w:r>
            <w:t>18</w:t>
          </w:r>
          <w:r>
            <w:fldChar w:fldCharType="end"/>
          </w:r>
          <w:r>
            <w:fldChar w:fldCharType="end"/>
          </w:r>
        </w:p>
        <w:p w14:paraId="0B1789E5">
          <w:pPr>
            <w:pStyle w:val="16"/>
            <w:rPr>
              <w:rFonts w:asciiTheme="minorHAnsi" w:hAnsiTheme="minorHAnsi"/>
              <w:kern w:val="2"/>
              <w:sz w:val="21"/>
              <w:szCs w:val="22"/>
              <w:lang w:eastAsia="zh-CN"/>
            </w:rPr>
          </w:pPr>
          <w:r>
            <w:fldChar w:fldCharType="begin"/>
          </w:r>
          <w:r>
            <w:instrText xml:space="preserve"> HYPERLINK \l "_Toc222913145" </w:instrText>
          </w:r>
          <w:r>
            <w:fldChar w:fldCharType="separate"/>
          </w:r>
          <w:r>
            <w:rPr>
              <w:rStyle w:val="33"/>
            </w:rPr>
            <w:t>3.3.6 小结</w:t>
          </w:r>
          <w:r>
            <w:tab/>
          </w:r>
          <w:r>
            <w:fldChar w:fldCharType="begin"/>
          </w:r>
          <w:r>
            <w:instrText xml:space="preserve"> PAGEREF _Toc222913145 \h </w:instrText>
          </w:r>
          <w:r>
            <w:fldChar w:fldCharType="separate"/>
          </w:r>
          <w:r>
            <w:t>18</w:t>
          </w:r>
          <w:r>
            <w:fldChar w:fldCharType="end"/>
          </w:r>
          <w:r>
            <w:fldChar w:fldCharType="end"/>
          </w:r>
        </w:p>
        <w:p w14:paraId="7A4E19AE">
          <w:pPr>
            <w:pStyle w:val="28"/>
            <w:rPr>
              <w:rFonts w:asciiTheme="minorHAnsi" w:hAnsiTheme="minorHAnsi"/>
              <w:kern w:val="2"/>
              <w:sz w:val="21"/>
              <w:szCs w:val="22"/>
              <w:lang w:eastAsia="zh-CN"/>
            </w:rPr>
          </w:pPr>
          <w:r>
            <w:fldChar w:fldCharType="begin"/>
          </w:r>
          <w:r>
            <w:instrText xml:space="preserve"> HYPERLINK \l "_Toc222913146" </w:instrText>
          </w:r>
          <w:r>
            <w:fldChar w:fldCharType="separate"/>
          </w:r>
          <w:r>
            <w:rPr>
              <w:rStyle w:val="33"/>
            </w:rPr>
            <w:t>3.4 视觉安全监测主要应用场景深度分析</w:t>
          </w:r>
          <w:r>
            <w:tab/>
          </w:r>
          <w:r>
            <w:fldChar w:fldCharType="begin"/>
          </w:r>
          <w:r>
            <w:instrText xml:space="preserve"> PAGEREF _Toc222913146 \h </w:instrText>
          </w:r>
          <w:r>
            <w:fldChar w:fldCharType="separate"/>
          </w:r>
          <w:r>
            <w:t>19</w:t>
          </w:r>
          <w:r>
            <w:fldChar w:fldCharType="end"/>
          </w:r>
          <w:r>
            <w:fldChar w:fldCharType="end"/>
          </w:r>
        </w:p>
        <w:p w14:paraId="7D3CC40D">
          <w:pPr>
            <w:pStyle w:val="16"/>
            <w:rPr>
              <w:rFonts w:asciiTheme="minorHAnsi" w:hAnsiTheme="minorHAnsi"/>
              <w:kern w:val="2"/>
              <w:sz w:val="21"/>
              <w:szCs w:val="22"/>
              <w:lang w:eastAsia="zh-CN"/>
            </w:rPr>
          </w:pPr>
          <w:r>
            <w:fldChar w:fldCharType="begin"/>
          </w:r>
          <w:r>
            <w:instrText xml:space="preserve"> HYPERLINK \l "_Toc222913147" </w:instrText>
          </w:r>
          <w:r>
            <w:fldChar w:fldCharType="separate"/>
          </w:r>
          <w:r>
            <w:rPr>
              <w:rStyle w:val="33"/>
            </w:rPr>
            <w:t>3.4.1 桥梁健康监测市场分析</w:t>
          </w:r>
          <w:r>
            <w:tab/>
          </w:r>
          <w:r>
            <w:fldChar w:fldCharType="begin"/>
          </w:r>
          <w:r>
            <w:instrText xml:space="preserve"> PAGEREF _Toc222913147 \h </w:instrText>
          </w:r>
          <w:r>
            <w:fldChar w:fldCharType="separate"/>
          </w:r>
          <w:r>
            <w:t>19</w:t>
          </w:r>
          <w:r>
            <w:fldChar w:fldCharType="end"/>
          </w:r>
          <w:r>
            <w:fldChar w:fldCharType="end"/>
          </w:r>
        </w:p>
        <w:p w14:paraId="58C0888D">
          <w:pPr>
            <w:pStyle w:val="16"/>
            <w:rPr>
              <w:rFonts w:asciiTheme="minorHAnsi" w:hAnsiTheme="minorHAnsi"/>
              <w:kern w:val="2"/>
              <w:sz w:val="21"/>
              <w:szCs w:val="22"/>
              <w:lang w:eastAsia="zh-CN"/>
            </w:rPr>
          </w:pPr>
          <w:r>
            <w:fldChar w:fldCharType="begin"/>
          </w:r>
          <w:r>
            <w:instrText xml:space="preserve"> HYPERLINK \l "_Toc222913148" </w:instrText>
          </w:r>
          <w:r>
            <w:fldChar w:fldCharType="separate"/>
          </w:r>
          <w:r>
            <w:rPr>
              <w:rStyle w:val="33"/>
            </w:rPr>
            <w:t>3.4.2 隧道收敛监测市场分析</w:t>
          </w:r>
          <w:r>
            <w:tab/>
          </w:r>
          <w:r>
            <w:fldChar w:fldCharType="begin"/>
          </w:r>
          <w:r>
            <w:instrText xml:space="preserve"> PAGEREF _Toc222913148 \h </w:instrText>
          </w:r>
          <w:r>
            <w:fldChar w:fldCharType="separate"/>
          </w:r>
          <w:r>
            <w:t>20</w:t>
          </w:r>
          <w:r>
            <w:fldChar w:fldCharType="end"/>
          </w:r>
          <w:r>
            <w:fldChar w:fldCharType="end"/>
          </w:r>
        </w:p>
        <w:p w14:paraId="0CCA30E3">
          <w:pPr>
            <w:pStyle w:val="16"/>
            <w:rPr>
              <w:rFonts w:asciiTheme="minorHAnsi" w:hAnsiTheme="minorHAnsi"/>
              <w:kern w:val="2"/>
              <w:sz w:val="21"/>
              <w:szCs w:val="22"/>
              <w:lang w:eastAsia="zh-CN"/>
            </w:rPr>
          </w:pPr>
          <w:r>
            <w:fldChar w:fldCharType="begin"/>
          </w:r>
          <w:r>
            <w:instrText xml:space="preserve"> HYPERLINK \l "_Toc222913149" </w:instrText>
          </w:r>
          <w:r>
            <w:fldChar w:fldCharType="separate"/>
          </w:r>
          <w:r>
            <w:rPr>
              <w:rStyle w:val="33"/>
            </w:rPr>
            <w:t>3.4.3 边坡位移监测市场分析</w:t>
          </w:r>
          <w:r>
            <w:tab/>
          </w:r>
          <w:r>
            <w:fldChar w:fldCharType="begin"/>
          </w:r>
          <w:r>
            <w:instrText xml:space="preserve"> PAGEREF _Toc222913149 \h </w:instrText>
          </w:r>
          <w:r>
            <w:fldChar w:fldCharType="separate"/>
          </w:r>
          <w:r>
            <w:t>21</w:t>
          </w:r>
          <w:r>
            <w:fldChar w:fldCharType="end"/>
          </w:r>
          <w:r>
            <w:fldChar w:fldCharType="end"/>
          </w:r>
        </w:p>
        <w:p w14:paraId="0D2FA577">
          <w:pPr>
            <w:pStyle w:val="16"/>
            <w:rPr>
              <w:rFonts w:asciiTheme="minorHAnsi" w:hAnsiTheme="minorHAnsi"/>
              <w:kern w:val="2"/>
              <w:sz w:val="21"/>
              <w:szCs w:val="22"/>
              <w:lang w:eastAsia="zh-CN"/>
            </w:rPr>
          </w:pPr>
          <w:r>
            <w:fldChar w:fldCharType="begin"/>
          </w:r>
          <w:r>
            <w:instrText xml:space="preserve"> HYPERLINK \l "_Toc222913150" </w:instrText>
          </w:r>
          <w:r>
            <w:fldChar w:fldCharType="separate"/>
          </w:r>
          <w:r>
            <w:rPr>
              <w:rStyle w:val="33"/>
            </w:rPr>
            <w:t>3.4.4 国家政策环境分析</w:t>
          </w:r>
          <w:r>
            <w:tab/>
          </w:r>
          <w:r>
            <w:fldChar w:fldCharType="begin"/>
          </w:r>
          <w:r>
            <w:instrText xml:space="preserve"> PAGEREF _Toc222913150 \h </w:instrText>
          </w:r>
          <w:r>
            <w:fldChar w:fldCharType="separate"/>
          </w:r>
          <w:r>
            <w:t>21</w:t>
          </w:r>
          <w:r>
            <w:fldChar w:fldCharType="end"/>
          </w:r>
          <w:r>
            <w:fldChar w:fldCharType="end"/>
          </w:r>
        </w:p>
        <w:p w14:paraId="5604AF21">
          <w:pPr>
            <w:pStyle w:val="28"/>
            <w:rPr>
              <w:rFonts w:asciiTheme="minorHAnsi" w:hAnsiTheme="minorHAnsi"/>
              <w:kern w:val="2"/>
              <w:sz w:val="21"/>
              <w:szCs w:val="22"/>
              <w:lang w:eastAsia="zh-CN"/>
            </w:rPr>
          </w:pPr>
          <w:r>
            <w:fldChar w:fldCharType="begin"/>
          </w:r>
          <w:r>
            <w:instrText xml:space="preserve"> HYPERLINK \l "_Toc222913151" </w:instrText>
          </w:r>
          <w:r>
            <w:fldChar w:fldCharType="separate"/>
          </w:r>
          <w:r>
            <w:rPr>
              <w:rStyle w:val="33"/>
            </w:rPr>
            <w:t>3.5 本章小结</w:t>
          </w:r>
          <w:r>
            <w:tab/>
          </w:r>
          <w:r>
            <w:fldChar w:fldCharType="begin"/>
          </w:r>
          <w:r>
            <w:instrText xml:space="preserve"> PAGEREF _Toc222913151 \h </w:instrText>
          </w:r>
          <w:r>
            <w:fldChar w:fldCharType="separate"/>
          </w:r>
          <w:r>
            <w:t>22</w:t>
          </w:r>
          <w:r>
            <w:fldChar w:fldCharType="end"/>
          </w:r>
          <w:r>
            <w:fldChar w:fldCharType="end"/>
          </w:r>
        </w:p>
        <w:p w14:paraId="31B254B3">
          <w:pPr>
            <w:pStyle w:val="22"/>
            <w:rPr>
              <w:rFonts w:asciiTheme="minorHAnsi" w:hAnsiTheme="minorHAnsi" w:eastAsiaTheme="minorEastAsia" w:cstheme="minorBidi"/>
              <w:kern w:val="2"/>
              <w:sz w:val="21"/>
              <w:szCs w:val="22"/>
              <w:lang w:eastAsia="zh-CN"/>
            </w:rPr>
          </w:pPr>
          <w:r>
            <w:fldChar w:fldCharType="begin"/>
          </w:r>
          <w:r>
            <w:instrText xml:space="preserve"> HYPERLINK \l "_Toc222913152" </w:instrText>
          </w:r>
          <w:r>
            <w:fldChar w:fldCharType="separate"/>
          </w:r>
          <w:r>
            <w:rPr>
              <w:rStyle w:val="33"/>
            </w:rPr>
            <w:t>第四章 HSM战略转型的动因分析</w:t>
          </w:r>
          <w:r>
            <w:tab/>
          </w:r>
          <w:r>
            <w:fldChar w:fldCharType="begin"/>
          </w:r>
          <w:r>
            <w:instrText xml:space="preserve"> PAGEREF _Toc222913152 \h </w:instrText>
          </w:r>
          <w:r>
            <w:fldChar w:fldCharType="separate"/>
          </w:r>
          <w:r>
            <w:t>25</w:t>
          </w:r>
          <w:r>
            <w:fldChar w:fldCharType="end"/>
          </w:r>
          <w:r>
            <w:fldChar w:fldCharType="end"/>
          </w:r>
        </w:p>
        <w:p w14:paraId="376F0C92">
          <w:pPr>
            <w:pStyle w:val="28"/>
            <w:rPr>
              <w:rFonts w:asciiTheme="minorHAnsi" w:hAnsiTheme="minorHAnsi"/>
              <w:kern w:val="2"/>
              <w:sz w:val="21"/>
              <w:szCs w:val="22"/>
              <w:lang w:eastAsia="zh-CN"/>
            </w:rPr>
          </w:pPr>
          <w:r>
            <w:fldChar w:fldCharType="begin"/>
          </w:r>
          <w:r>
            <w:instrText xml:space="preserve"> HYPERLINK \l "_Toc222913153" </w:instrText>
          </w:r>
          <w:r>
            <w:fldChar w:fldCharType="separate"/>
          </w:r>
          <w:r>
            <w:rPr>
              <w:rStyle w:val="33"/>
            </w:rPr>
            <w:t>4.1 HSM基本情况</w:t>
          </w:r>
          <w:r>
            <w:tab/>
          </w:r>
          <w:r>
            <w:fldChar w:fldCharType="begin"/>
          </w:r>
          <w:r>
            <w:instrText xml:space="preserve"> PAGEREF _Toc222913153 \h </w:instrText>
          </w:r>
          <w:r>
            <w:fldChar w:fldCharType="separate"/>
          </w:r>
          <w:r>
            <w:t>25</w:t>
          </w:r>
          <w:r>
            <w:fldChar w:fldCharType="end"/>
          </w:r>
          <w:r>
            <w:fldChar w:fldCharType="end"/>
          </w:r>
        </w:p>
        <w:p w14:paraId="635A5FF7">
          <w:pPr>
            <w:pStyle w:val="28"/>
            <w:rPr>
              <w:rFonts w:asciiTheme="minorHAnsi" w:hAnsiTheme="minorHAnsi"/>
              <w:kern w:val="2"/>
              <w:sz w:val="21"/>
              <w:szCs w:val="22"/>
              <w:lang w:eastAsia="zh-CN"/>
            </w:rPr>
          </w:pPr>
          <w:r>
            <w:fldChar w:fldCharType="begin"/>
          </w:r>
          <w:r>
            <w:instrText xml:space="preserve"> HYPERLINK \l "_Toc222913154" </w:instrText>
          </w:r>
          <w:r>
            <w:fldChar w:fldCharType="separate"/>
          </w:r>
          <w:r>
            <w:rPr>
              <w:rStyle w:val="33"/>
            </w:rPr>
            <w:t>4.2 HSM内部资源和能力分析</w:t>
          </w:r>
          <w:r>
            <w:tab/>
          </w:r>
          <w:r>
            <w:fldChar w:fldCharType="begin"/>
          </w:r>
          <w:r>
            <w:instrText xml:space="preserve"> PAGEREF _Toc222913154 \h </w:instrText>
          </w:r>
          <w:r>
            <w:fldChar w:fldCharType="separate"/>
          </w:r>
          <w:r>
            <w:t>25</w:t>
          </w:r>
          <w:r>
            <w:fldChar w:fldCharType="end"/>
          </w:r>
          <w:r>
            <w:fldChar w:fldCharType="end"/>
          </w:r>
        </w:p>
        <w:p w14:paraId="0051033F">
          <w:pPr>
            <w:pStyle w:val="16"/>
            <w:rPr>
              <w:rFonts w:asciiTheme="minorHAnsi" w:hAnsiTheme="minorHAnsi"/>
              <w:kern w:val="2"/>
              <w:sz w:val="21"/>
              <w:szCs w:val="22"/>
              <w:lang w:eastAsia="zh-CN"/>
            </w:rPr>
          </w:pPr>
          <w:r>
            <w:fldChar w:fldCharType="begin"/>
          </w:r>
          <w:r>
            <w:instrText xml:space="preserve"> HYPERLINK \l "_Toc222913155" </w:instrText>
          </w:r>
          <w:r>
            <w:fldChar w:fldCharType="separate"/>
          </w:r>
          <w:r>
            <w:rPr>
              <w:rStyle w:val="33"/>
            </w:rPr>
            <w:t>4.2.1 技术资源</w:t>
          </w:r>
          <w:r>
            <w:tab/>
          </w:r>
          <w:r>
            <w:fldChar w:fldCharType="begin"/>
          </w:r>
          <w:r>
            <w:instrText xml:space="preserve"> PAGEREF _Toc222913155 \h </w:instrText>
          </w:r>
          <w:r>
            <w:fldChar w:fldCharType="separate"/>
          </w:r>
          <w:r>
            <w:t>25</w:t>
          </w:r>
          <w:r>
            <w:fldChar w:fldCharType="end"/>
          </w:r>
          <w:r>
            <w:fldChar w:fldCharType="end"/>
          </w:r>
        </w:p>
        <w:p w14:paraId="38B27EF3">
          <w:pPr>
            <w:pStyle w:val="16"/>
            <w:rPr>
              <w:rFonts w:asciiTheme="minorHAnsi" w:hAnsiTheme="minorHAnsi"/>
              <w:kern w:val="2"/>
              <w:sz w:val="21"/>
              <w:szCs w:val="22"/>
              <w:lang w:eastAsia="zh-CN"/>
            </w:rPr>
          </w:pPr>
          <w:r>
            <w:fldChar w:fldCharType="begin"/>
          </w:r>
          <w:r>
            <w:instrText xml:space="preserve"> HYPERLINK \l "_Toc222913156" </w:instrText>
          </w:r>
          <w:r>
            <w:fldChar w:fldCharType="separate"/>
          </w:r>
          <w:r>
            <w:rPr>
              <w:rStyle w:val="33"/>
            </w:rPr>
            <w:t>4.2.2 产品资源</w:t>
          </w:r>
          <w:r>
            <w:tab/>
          </w:r>
          <w:r>
            <w:fldChar w:fldCharType="begin"/>
          </w:r>
          <w:r>
            <w:instrText xml:space="preserve"> PAGEREF _Toc222913156 \h </w:instrText>
          </w:r>
          <w:r>
            <w:fldChar w:fldCharType="separate"/>
          </w:r>
          <w:r>
            <w:t>26</w:t>
          </w:r>
          <w:r>
            <w:fldChar w:fldCharType="end"/>
          </w:r>
          <w:r>
            <w:fldChar w:fldCharType="end"/>
          </w:r>
        </w:p>
        <w:p w14:paraId="266290E6">
          <w:pPr>
            <w:pStyle w:val="16"/>
            <w:rPr>
              <w:rFonts w:asciiTheme="minorHAnsi" w:hAnsiTheme="minorHAnsi"/>
              <w:kern w:val="2"/>
              <w:sz w:val="21"/>
              <w:szCs w:val="22"/>
              <w:lang w:eastAsia="zh-CN"/>
            </w:rPr>
          </w:pPr>
          <w:r>
            <w:fldChar w:fldCharType="begin"/>
          </w:r>
          <w:r>
            <w:instrText xml:space="preserve"> HYPERLINK \l "_Toc222913157" </w:instrText>
          </w:r>
          <w:r>
            <w:fldChar w:fldCharType="separate"/>
          </w:r>
          <w:r>
            <w:rPr>
              <w:rStyle w:val="33"/>
            </w:rPr>
            <w:t>4.2.3 生产资源</w:t>
          </w:r>
          <w:r>
            <w:tab/>
          </w:r>
          <w:r>
            <w:fldChar w:fldCharType="begin"/>
          </w:r>
          <w:r>
            <w:instrText xml:space="preserve"> PAGEREF _Toc222913157 \h </w:instrText>
          </w:r>
          <w:r>
            <w:fldChar w:fldCharType="separate"/>
          </w:r>
          <w:r>
            <w:t>27</w:t>
          </w:r>
          <w:r>
            <w:fldChar w:fldCharType="end"/>
          </w:r>
          <w:r>
            <w:fldChar w:fldCharType="end"/>
          </w:r>
        </w:p>
        <w:p w14:paraId="090CA2C3">
          <w:pPr>
            <w:pStyle w:val="16"/>
            <w:rPr>
              <w:rFonts w:asciiTheme="minorHAnsi" w:hAnsiTheme="minorHAnsi"/>
              <w:kern w:val="2"/>
              <w:sz w:val="21"/>
              <w:szCs w:val="22"/>
              <w:lang w:eastAsia="zh-CN"/>
            </w:rPr>
          </w:pPr>
          <w:r>
            <w:fldChar w:fldCharType="begin"/>
          </w:r>
          <w:r>
            <w:instrText xml:space="preserve"> HYPERLINK \l "_Toc222913158" </w:instrText>
          </w:r>
          <w:r>
            <w:fldChar w:fldCharType="separate"/>
          </w:r>
          <w:r>
            <w:rPr>
              <w:rStyle w:val="33"/>
            </w:rPr>
            <w:t>4.2.4 客户资源</w:t>
          </w:r>
          <w:r>
            <w:tab/>
          </w:r>
          <w:r>
            <w:fldChar w:fldCharType="begin"/>
          </w:r>
          <w:r>
            <w:instrText xml:space="preserve"> PAGEREF _Toc222913158 \h </w:instrText>
          </w:r>
          <w:r>
            <w:fldChar w:fldCharType="separate"/>
          </w:r>
          <w:r>
            <w:t>28</w:t>
          </w:r>
          <w:r>
            <w:fldChar w:fldCharType="end"/>
          </w:r>
          <w:r>
            <w:fldChar w:fldCharType="end"/>
          </w:r>
        </w:p>
        <w:p w14:paraId="18F3F3B4">
          <w:pPr>
            <w:pStyle w:val="16"/>
            <w:rPr>
              <w:rFonts w:asciiTheme="minorHAnsi" w:hAnsiTheme="minorHAnsi"/>
              <w:kern w:val="2"/>
              <w:sz w:val="21"/>
              <w:szCs w:val="22"/>
              <w:lang w:eastAsia="zh-CN"/>
            </w:rPr>
          </w:pPr>
          <w:r>
            <w:fldChar w:fldCharType="begin"/>
          </w:r>
          <w:r>
            <w:instrText xml:space="preserve"> HYPERLINK \l "_Toc222913159" </w:instrText>
          </w:r>
          <w:r>
            <w:fldChar w:fldCharType="separate"/>
          </w:r>
          <w:r>
            <w:rPr>
              <w:rStyle w:val="33"/>
            </w:rPr>
            <w:t>4.2.5 人力资源</w:t>
          </w:r>
          <w:r>
            <w:tab/>
          </w:r>
          <w:r>
            <w:fldChar w:fldCharType="begin"/>
          </w:r>
          <w:r>
            <w:instrText xml:space="preserve"> PAGEREF _Toc222913159 \h </w:instrText>
          </w:r>
          <w:r>
            <w:fldChar w:fldCharType="separate"/>
          </w:r>
          <w:r>
            <w:t>28</w:t>
          </w:r>
          <w:r>
            <w:fldChar w:fldCharType="end"/>
          </w:r>
          <w:r>
            <w:fldChar w:fldCharType="end"/>
          </w:r>
        </w:p>
        <w:p w14:paraId="67A28802">
          <w:pPr>
            <w:pStyle w:val="28"/>
            <w:rPr>
              <w:rFonts w:asciiTheme="minorHAnsi" w:hAnsiTheme="minorHAnsi"/>
              <w:kern w:val="2"/>
              <w:sz w:val="21"/>
              <w:szCs w:val="22"/>
              <w:lang w:eastAsia="zh-CN"/>
            </w:rPr>
          </w:pPr>
          <w:r>
            <w:fldChar w:fldCharType="begin"/>
          </w:r>
          <w:r>
            <w:instrText xml:space="preserve"> HYPERLINK \l "_Toc222913160" </w:instrText>
          </w:r>
          <w:r>
            <w:fldChar w:fldCharType="separate"/>
          </w:r>
          <w:r>
            <w:rPr>
              <w:rStyle w:val="33"/>
            </w:rPr>
            <w:t>4.3 HSM竞争战略</w:t>
          </w:r>
          <w:r>
            <w:tab/>
          </w:r>
          <w:r>
            <w:fldChar w:fldCharType="begin"/>
          </w:r>
          <w:r>
            <w:instrText xml:space="preserve"> PAGEREF _Toc222913160 \h </w:instrText>
          </w:r>
          <w:r>
            <w:fldChar w:fldCharType="separate"/>
          </w:r>
          <w:r>
            <w:t>29</w:t>
          </w:r>
          <w:r>
            <w:fldChar w:fldCharType="end"/>
          </w:r>
          <w:r>
            <w:fldChar w:fldCharType="end"/>
          </w:r>
        </w:p>
        <w:p w14:paraId="314C1D3F">
          <w:pPr>
            <w:pStyle w:val="16"/>
            <w:rPr>
              <w:rFonts w:asciiTheme="minorHAnsi" w:hAnsiTheme="minorHAnsi"/>
              <w:kern w:val="2"/>
              <w:sz w:val="21"/>
              <w:szCs w:val="22"/>
              <w:lang w:eastAsia="zh-CN"/>
            </w:rPr>
          </w:pPr>
          <w:r>
            <w:fldChar w:fldCharType="begin"/>
          </w:r>
          <w:r>
            <w:instrText xml:space="preserve"> HYPERLINK \l "_Toc222913161" </w:instrText>
          </w:r>
          <w:r>
            <w:fldChar w:fldCharType="separate"/>
          </w:r>
          <w:r>
            <w:rPr>
              <w:rStyle w:val="33"/>
            </w:rPr>
            <w:t>4.3.1 HSM战略目标</w:t>
          </w:r>
          <w:r>
            <w:tab/>
          </w:r>
          <w:r>
            <w:fldChar w:fldCharType="begin"/>
          </w:r>
          <w:r>
            <w:instrText xml:space="preserve"> PAGEREF _Toc222913161 \h </w:instrText>
          </w:r>
          <w:r>
            <w:fldChar w:fldCharType="separate"/>
          </w:r>
          <w:r>
            <w:t>29</w:t>
          </w:r>
          <w:r>
            <w:fldChar w:fldCharType="end"/>
          </w:r>
          <w:r>
            <w:fldChar w:fldCharType="end"/>
          </w:r>
        </w:p>
        <w:p w14:paraId="14FFA591">
          <w:pPr>
            <w:pStyle w:val="16"/>
            <w:rPr>
              <w:rFonts w:asciiTheme="minorHAnsi" w:hAnsiTheme="minorHAnsi"/>
              <w:kern w:val="2"/>
              <w:sz w:val="21"/>
              <w:szCs w:val="22"/>
              <w:lang w:eastAsia="zh-CN"/>
            </w:rPr>
          </w:pPr>
          <w:r>
            <w:fldChar w:fldCharType="begin"/>
          </w:r>
          <w:r>
            <w:instrText xml:space="preserve"> HYPERLINK \l "_Toc222913162" </w:instrText>
          </w:r>
          <w:r>
            <w:fldChar w:fldCharType="separate"/>
          </w:r>
          <w:r>
            <w:rPr>
              <w:rStyle w:val="33"/>
            </w:rPr>
            <w:t>4.3.2 基本价值链的竞争选择和实施路径</w:t>
          </w:r>
          <w:r>
            <w:tab/>
          </w:r>
          <w:r>
            <w:fldChar w:fldCharType="begin"/>
          </w:r>
          <w:r>
            <w:instrText xml:space="preserve"> PAGEREF _Toc222913162 \h </w:instrText>
          </w:r>
          <w:r>
            <w:fldChar w:fldCharType="separate"/>
          </w:r>
          <w:r>
            <w:t>29</w:t>
          </w:r>
          <w:r>
            <w:fldChar w:fldCharType="end"/>
          </w:r>
          <w:r>
            <w:fldChar w:fldCharType="end"/>
          </w:r>
        </w:p>
        <w:p w14:paraId="49B0E739">
          <w:pPr>
            <w:pStyle w:val="28"/>
            <w:rPr>
              <w:rFonts w:asciiTheme="minorHAnsi" w:hAnsiTheme="minorHAnsi"/>
              <w:kern w:val="2"/>
              <w:sz w:val="21"/>
              <w:szCs w:val="22"/>
              <w:lang w:eastAsia="zh-CN"/>
            </w:rPr>
          </w:pPr>
          <w:r>
            <w:fldChar w:fldCharType="begin"/>
          </w:r>
          <w:r>
            <w:instrText xml:space="preserve"> HYPERLINK \l "_Toc222913163" </w:instrText>
          </w:r>
          <w:r>
            <w:fldChar w:fldCharType="separate"/>
          </w:r>
          <w:r>
            <w:rPr>
              <w:rStyle w:val="33"/>
            </w:rPr>
            <w:t>4.4 HSM面临的机遇和挑战</w:t>
          </w:r>
          <w:r>
            <w:tab/>
          </w:r>
          <w:r>
            <w:fldChar w:fldCharType="begin"/>
          </w:r>
          <w:r>
            <w:instrText xml:space="preserve"> PAGEREF _Toc222913163 \h </w:instrText>
          </w:r>
          <w:r>
            <w:fldChar w:fldCharType="separate"/>
          </w:r>
          <w:r>
            <w:t>31</w:t>
          </w:r>
          <w:r>
            <w:fldChar w:fldCharType="end"/>
          </w:r>
          <w:r>
            <w:fldChar w:fldCharType="end"/>
          </w:r>
        </w:p>
        <w:p w14:paraId="6F2573A4">
          <w:pPr>
            <w:pStyle w:val="16"/>
            <w:rPr>
              <w:rFonts w:asciiTheme="minorHAnsi" w:hAnsiTheme="minorHAnsi"/>
              <w:kern w:val="2"/>
              <w:sz w:val="21"/>
              <w:szCs w:val="22"/>
              <w:lang w:eastAsia="zh-CN"/>
            </w:rPr>
          </w:pPr>
          <w:r>
            <w:fldChar w:fldCharType="begin"/>
          </w:r>
          <w:r>
            <w:instrText xml:space="preserve"> HYPERLINK \l "_Toc222913164" </w:instrText>
          </w:r>
          <w:r>
            <w:fldChar w:fldCharType="separate"/>
          </w:r>
          <w:r>
            <w:rPr>
              <w:rStyle w:val="33"/>
            </w:rPr>
            <w:t>4.4.1 机遇</w:t>
          </w:r>
          <w:r>
            <w:tab/>
          </w:r>
          <w:r>
            <w:fldChar w:fldCharType="begin"/>
          </w:r>
          <w:r>
            <w:instrText xml:space="preserve"> PAGEREF _Toc222913164 \h </w:instrText>
          </w:r>
          <w:r>
            <w:fldChar w:fldCharType="separate"/>
          </w:r>
          <w:r>
            <w:t>31</w:t>
          </w:r>
          <w:r>
            <w:fldChar w:fldCharType="end"/>
          </w:r>
          <w:r>
            <w:fldChar w:fldCharType="end"/>
          </w:r>
        </w:p>
        <w:p w14:paraId="69BAE704">
          <w:pPr>
            <w:pStyle w:val="16"/>
            <w:rPr>
              <w:rFonts w:asciiTheme="minorHAnsi" w:hAnsiTheme="minorHAnsi"/>
              <w:kern w:val="2"/>
              <w:sz w:val="21"/>
              <w:szCs w:val="22"/>
              <w:lang w:eastAsia="zh-CN"/>
            </w:rPr>
          </w:pPr>
          <w:r>
            <w:fldChar w:fldCharType="begin"/>
          </w:r>
          <w:r>
            <w:instrText xml:space="preserve"> HYPERLINK \l "_Toc222913165" </w:instrText>
          </w:r>
          <w:r>
            <w:fldChar w:fldCharType="separate"/>
          </w:r>
          <w:r>
            <w:rPr>
              <w:rStyle w:val="33"/>
            </w:rPr>
            <w:t>4.4.2 挑战</w:t>
          </w:r>
          <w:r>
            <w:tab/>
          </w:r>
          <w:r>
            <w:fldChar w:fldCharType="begin"/>
          </w:r>
          <w:r>
            <w:instrText xml:space="preserve"> PAGEREF _Toc222913165 \h </w:instrText>
          </w:r>
          <w:r>
            <w:fldChar w:fldCharType="separate"/>
          </w:r>
          <w:r>
            <w:t>31</w:t>
          </w:r>
          <w:r>
            <w:fldChar w:fldCharType="end"/>
          </w:r>
          <w:r>
            <w:fldChar w:fldCharType="end"/>
          </w:r>
        </w:p>
        <w:p w14:paraId="56BE0981">
          <w:pPr>
            <w:pStyle w:val="22"/>
            <w:rPr>
              <w:rFonts w:asciiTheme="minorHAnsi" w:hAnsiTheme="minorHAnsi" w:eastAsiaTheme="minorEastAsia" w:cstheme="minorBidi"/>
              <w:kern w:val="2"/>
              <w:sz w:val="21"/>
              <w:szCs w:val="22"/>
              <w:lang w:eastAsia="zh-CN"/>
            </w:rPr>
          </w:pPr>
          <w:r>
            <w:fldChar w:fldCharType="begin"/>
          </w:r>
          <w:r>
            <w:instrText xml:space="preserve"> HYPERLINK \l "_Toc222913166" </w:instrText>
          </w:r>
          <w:r>
            <w:fldChar w:fldCharType="separate"/>
          </w:r>
          <w:r>
            <w:rPr>
              <w:rStyle w:val="33"/>
            </w:rPr>
            <w:t>第五章 HSM战略转型的实施路径</w:t>
          </w:r>
          <w:r>
            <w:tab/>
          </w:r>
          <w:r>
            <w:fldChar w:fldCharType="begin"/>
          </w:r>
          <w:r>
            <w:instrText xml:space="preserve"> PAGEREF _Toc222913166 \h </w:instrText>
          </w:r>
          <w:r>
            <w:fldChar w:fldCharType="separate"/>
          </w:r>
          <w:r>
            <w:t>33</w:t>
          </w:r>
          <w:r>
            <w:fldChar w:fldCharType="end"/>
          </w:r>
          <w:r>
            <w:fldChar w:fldCharType="end"/>
          </w:r>
        </w:p>
        <w:p w14:paraId="179E6ADA">
          <w:pPr>
            <w:pStyle w:val="28"/>
            <w:rPr>
              <w:rFonts w:asciiTheme="minorHAnsi" w:hAnsiTheme="minorHAnsi"/>
              <w:kern w:val="2"/>
              <w:sz w:val="21"/>
              <w:szCs w:val="22"/>
              <w:lang w:eastAsia="zh-CN"/>
            </w:rPr>
          </w:pPr>
          <w:r>
            <w:fldChar w:fldCharType="begin"/>
          </w:r>
          <w:r>
            <w:instrText xml:space="preserve"> HYPERLINK \l "_Toc222913167" </w:instrText>
          </w:r>
          <w:r>
            <w:fldChar w:fldCharType="separate"/>
          </w:r>
          <w:r>
            <w:rPr>
              <w:rStyle w:val="33"/>
            </w:rPr>
            <w:t>5.1产品线差异化研发与创新</w:t>
          </w:r>
          <w:r>
            <w:tab/>
          </w:r>
          <w:r>
            <w:fldChar w:fldCharType="begin"/>
          </w:r>
          <w:r>
            <w:instrText xml:space="preserve"> PAGEREF _Toc222913167 \h </w:instrText>
          </w:r>
          <w:r>
            <w:fldChar w:fldCharType="separate"/>
          </w:r>
          <w:r>
            <w:t>33</w:t>
          </w:r>
          <w:r>
            <w:fldChar w:fldCharType="end"/>
          </w:r>
          <w:r>
            <w:fldChar w:fldCharType="end"/>
          </w:r>
        </w:p>
        <w:p w14:paraId="619E7850">
          <w:pPr>
            <w:pStyle w:val="16"/>
            <w:rPr>
              <w:rFonts w:asciiTheme="minorHAnsi" w:hAnsiTheme="minorHAnsi"/>
              <w:kern w:val="2"/>
              <w:sz w:val="21"/>
              <w:szCs w:val="22"/>
              <w:lang w:eastAsia="zh-CN"/>
            </w:rPr>
          </w:pPr>
          <w:r>
            <w:fldChar w:fldCharType="begin"/>
          </w:r>
          <w:r>
            <w:instrText xml:space="preserve"> HYPERLINK \l "_Toc222913168" </w:instrText>
          </w:r>
          <w:r>
            <w:fldChar w:fldCharType="separate"/>
          </w:r>
          <w:r>
            <w:rPr>
              <w:rStyle w:val="33"/>
            </w:rPr>
            <w:t>5.1.1</w:t>
          </w:r>
          <w:r>
            <w:rPr>
              <w:rStyle w:val="33"/>
              <w:lang w:eastAsia="zh-CN"/>
            </w:rPr>
            <w:t>产品</w:t>
          </w:r>
          <w:r>
            <w:rPr>
              <w:rStyle w:val="33"/>
            </w:rPr>
            <w:t>标准化生产与技术迭代</w:t>
          </w:r>
          <w:r>
            <w:tab/>
          </w:r>
          <w:r>
            <w:fldChar w:fldCharType="begin"/>
          </w:r>
          <w:r>
            <w:instrText xml:space="preserve"> PAGEREF _Toc222913168 \h </w:instrText>
          </w:r>
          <w:r>
            <w:fldChar w:fldCharType="separate"/>
          </w:r>
          <w:r>
            <w:t>33</w:t>
          </w:r>
          <w:r>
            <w:fldChar w:fldCharType="end"/>
          </w:r>
          <w:r>
            <w:fldChar w:fldCharType="end"/>
          </w:r>
        </w:p>
        <w:p w14:paraId="7194464F">
          <w:pPr>
            <w:pStyle w:val="16"/>
            <w:rPr>
              <w:rFonts w:asciiTheme="minorHAnsi" w:hAnsiTheme="minorHAnsi"/>
              <w:kern w:val="2"/>
              <w:sz w:val="21"/>
              <w:szCs w:val="22"/>
              <w:lang w:eastAsia="zh-CN"/>
            </w:rPr>
          </w:pPr>
          <w:r>
            <w:fldChar w:fldCharType="begin"/>
          </w:r>
          <w:r>
            <w:instrText xml:space="preserve"> HYPERLINK \l "_Toc222913169" </w:instrText>
          </w:r>
          <w:r>
            <w:fldChar w:fldCharType="separate"/>
          </w:r>
          <w:r>
            <w:rPr>
              <w:rStyle w:val="33"/>
            </w:rPr>
            <w:t>5.1.2垂直领域技术聚焦与新产品研发</w:t>
          </w:r>
          <w:r>
            <w:tab/>
          </w:r>
          <w:r>
            <w:fldChar w:fldCharType="begin"/>
          </w:r>
          <w:r>
            <w:instrText xml:space="preserve"> PAGEREF _Toc222913169 \h </w:instrText>
          </w:r>
          <w:r>
            <w:fldChar w:fldCharType="separate"/>
          </w:r>
          <w:r>
            <w:t>34</w:t>
          </w:r>
          <w:r>
            <w:fldChar w:fldCharType="end"/>
          </w:r>
          <w:r>
            <w:fldChar w:fldCharType="end"/>
          </w:r>
        </w:p>
        <w:p w14:paraId="3D9F32D9">
          <w:pPr>
            <w:pStyle w:val="16"/>
            <w:rPr>
              <w:rFonts w:asciiTheme="minorHAnsi" w:hAnsiTheme="minorHAnsi"/>
              <w:kern w:val="2"/>
              <w:sz w:val="21"/>
              <w:szCs w:val="22"/>
              <w:lang w:eastAsia="zh-CN"/>
            </w:rPr>
          </w:pPr>
          <w:r>
            <w:fldChar w:fldCharType="begin"/>
          </w:r>
          <w:r>
            <w:instrText xml:space="preserve"> HYPERLINK \l "_Toc222913170" </w:instrText>
          </w:r>
          <w:r>
            <w:fldChar w:fldCharType="separate"/>
          </w:r>
          <w:r>
            <w:rPr>
              <w:rStyle w:val="33"/>
            </w:rPr>
            <w:t>5.1.3下一代产品布局</w:t>
          </w:r>
          <w:r>
            <w:tab/>
          </w:r>
          <w:r>
            <w:fldChar w:fldCharType="begin"/>
          </w:r>
          <w:r>
            <w:instrText xml:space="preserve"> PAGEREF _Toc222913170 \h </w:instrText>
          </w:r>
          <w:r>
            <w:fldChar w:fldCharType="separate"/>
          </w:r>
          <w:r>
            <w:t>34</w:t>
          </w:r>
          <w:r>
            <w:fldChar w:fldCharType="end"/>
          </w:r>
          <w:r>
            <w:fldChar w:fldCharType="end"/>
          </w:r>
        </w:p>
        <w:p w14:paraId="04D3C6C2">
          <w:pPr>
            <w:pStyle w:val="28"/>
            <w:rPr>
              <w:rFonts w:asciiTheme="minorHAnsi" w:hAnsiTheme="minorHAnsi"/>
              <w:kern w:val="2"/>
              <w:sz w:val="21"/>
              <w:szCs w:val="22"/>
              <w:lang w:eastAsia="zh-CN"/>
            </w:rPr>
          </w:pPr>
          <w:r>
            <w:fldChar w:fldCharType="begin"/>
          </w:r>
          <w:r>
            <w:instrText xml:space="preserve"> HYPERLINK \l "_Toc222913171" </w:instrText>
          </w:r>
          <w:r>
            <w:fldChar w:fldCharType="separate"/>
          </w:r>
          <w:r>
            <w:rPr>
              <w:rStyle w:val="33"/>
            </w:rPr>
            <w:t>5.2 市场销售模式重构与市场聚焦</w:t>
          </w:r>
          <w:r>
            <w:tab/>
          </w:r>
          <w:r>
            <w:fldChar w:fldCharType="begin"/>
          </w:r>
          <w:r>
            <w:instrText xml:space="preserve"> PAGEREF _Toc222913171 \h </w:instrText>
          </w:r>
          <w:r>
            <w:fldChar w:fldCharType="separate"/>
          </w:r>
          <w:r>
            <w:t>34</w:t>
          </w:r>
          <w:r>
            <w:fldChar w:fldCharType="end"/>
          </w:r>
          <w:r>
            <w:fldChar w:fldCharType="end"/>
          </w:r>
        </w:p>
        <w:p w14:paraId="2BB8F246">
          <w:pPr>
            <w:pStyle w:val="16"/>
            <w:rPr>
              <w:rFonts w:asciiTheme="minorHAnsi" w:hAnsiTheme="minorHAnsi"/>
              <w:kern w:val="2"/>
              <w:sz w:val="21"/>
              <w:szCs w:val="22"/>
              <w:lang w:eastAsia="zh-CN"/>
            </w:rPr>
          </w:pPr>
          <w:r>
            <w:fldChar w:fldCharType="begin"/>
          </w:r>
          <w:r>
            <w:instrText xml:space="preserve"> HYPERLINK \l "_Toc222913172" </w:instrText>
          </w:r>
          <w:r>
            <w:fldChar w:fldCharType="separate"/>
          </w:r>
          <w:r>
            <w:rPr>
              <w:rStyle w:val="33"/>
            </w:rPr>
            <w:t>5.2.1捆绑销售模式与渠道合作</w:t>
          </w:r>
          <w:r>
            <w:tab/>
          </w:r>
          <w:r>
            <w:fldChar w:fldCharType="begin"/>
          </w:r>
          <w:r>
            <w:instrText xml:space="preserve"> PAGEREF _Toc222913172 \h </w:instrText>
          </w:r>
          <w:r>
            <w:fldChar w:fldCharType="separate"/>
          </w:r>
          <w:r>
            <w:t>34</w:t>
          </w:r>
          <w:r>
            <w:fldChar w:fldCharType="end"/>
          </w:r>
          <w:r>
            <w:fldChar w:fldCharType="end"/>
          </w:r>
        </w:p>
        <w:p w14:paraId="0791E289">
          <w:pPr>
            <w:pStyle w:val="16"/>
            <w:rPr>
              <w:rFonts w:asciiTheme="minorHAnsi" w:hAnsiTheme="minorHAnsi"/>
              <w:kern w:val="2"/>
              <w:sz w:val="21"/>
              <w:szCs w:val="22"/>
              <w:lang w:eastAsia="zh-CN"/>
            </w:rPr>
          </w:pPr>
          <w:r>
            <w:fldChar w:fldCharType="begin"/>
          </w:r>
          <w:r>
            <w:instrText xml:space="preserve"> HYPERLINK \l "_Toc222913173" </w:instrText>
          </w:r>
          <w:r>
            <w:fldChar w:fldCharType="separate"/>
          </w:r>
          <w:r>
            <w:rPr>
              <w:rStyle w:val="33"/>
            </w:rPr>
            <w:t>5.2.2垂直行业聚焦与地区合作伙伴体系</w:t>
          </w:r>
          <w:r>
            <w:tab/>
          </w:r>
          <w:r>
            <w:fldChar w:fldCharType="begin"/>
          </w:r>
          <w:r>
            <w:instrText xml:space="preserve"> PAGEREF _Toc222913173 \h </w:instrText>
          </w:r>
          <w:r>
            <w:fldChar w:fldCharType="separate"/>
          </w:r>
          <w:r>
            <w:t>35</w:t>
          </w:r>
          <w:r>
            <w:fldChar w:fldCharType="end"/>
          </w:r>
          <w:r>
            <w:fldChar w:fldCharType="end"/>
          </w:r>
        </w:p>
        <w:p w14:paraId="493F31B9">
          <w:pPr>
            <w:pStyle w:val="16"/>
            <w:rPr>
              <w:rFonts w:asciiTheme="minorHAnsi" w:hAnsiTheme="minorHAnsi"/>
              <w:kern w:val="2"/>
              <w:sz w:val="21"/>
              <w:szCs w:val="22"/>
              <w:lang w:eastAsia="zh-CN"/>
            </w:rPr>
          </w:pPr>
          <w:r>
            <w:fldChar w:fldCharType="begin"/>
          </w:r>
          <w:r>
            <w:instrText xml:space="preserve"> HYPERLINK \l "_Toc222913174" </w:instrText>
          </w:r>
          <w:r>
            <w:fldChar w:fldCharType="separate"/>
          </w:r>
          <w:r>
            <w:rPr>
              <w:rStyle w:val="33"/>
            </w:rPr>
            <w:t>5.2.3 回款机制优化与资金周转率提升</w:t>
          </w:r>
          <w:r>
            <w:tab/>
          </w:r>
          <w:r>
            <w:fldChar w:fldCharType="begin"/>
          </w:r>
          <w:r>
            <w:instrText xml:space="preserve"> PAGEREF _Toc222913174 \h </w:instrText>
          </w:r>
          <w:r>
            <w:fldChar w:fldCharType="separate"/>
          </w:r>
          <w:r>
            <w:t>35</w:t>
          </w:r>
          <w:r>
            <w:fldChar w:fldCharType="end"/>
          </w:r>
          <w:r>
            <w:fldChar w:fldCharType="end"/>
          </w:r>
        </w:p>
        <w:p w14:paraId="71D51CCF">
          <w:pPr>
            <w:pStyle w:val="28"/>
            <w:rPr>
              <w:rFonts w:asciiTheme="minorHAnsi" w:hAnsiTheme="minorHAnsi"/>
              <w:kern w:val="2"/>
              <w:sz w:val="21"/>
              <w:szCs w:val="22"/>
              <w:lang w:eastAsia="zh-CN"/>
            </w:rPr>
          </w:pPr>
          <w:r>
            <w:fldChar w:fldCharType="begin"/>
          </w:r>
          <w:r>
            <w:instrText xml:space="preserve"> HYPERLINK \l "_Toc222913175" </w:instrText>
          </w:r>
          <w:r>
            <w:fldChar w:fldCharType="separate"/>
          </w:r>
          <w:r>
            <w:rPr>
              <w:rStyle w:val="33"/>
            </w:rPr>
            <w:t>5.3资源重新配置与团队转型</w:t>
          </w:r>
          <w:r>
            <w:tab/>
          </w:r>
          <w:r>
            <w:fldChar w:fldCharType="begin"/>
          </w:r>
          <w:r>
            <w:instrText xml:space="preserve"> PAGEREF _Toc222913175 \h </w:instrText>
          </w:r>
          <w:r>
            <w:fldChar w:fldCharType="separate"/>
          </w:r>
          <w:r>
            <w:t>36</w:t>
          </w:r>
          <w:r>
            <w:fldChar w:fldCharType="end"/>
          </w:r>
          <w:r>
            <w:fldChar w:fldCharType="end"/>
          </w:r>
        </w:p>
        <w:p w14:paraId="7ECD840A">
          <w:pPr>
            <w:pStyle w:val="16"/>
            <w:rPr>
              <w:rFonts w:asciiTheme="minorHAnsi" w:hAnsiTheme="minorHAnsi"/>
              <w:kern w:val="2"/>
              <w:sz w:val="21"/>
              <w:szCs w:val="22"/>
              <w:lang w:eastAsia="zh-CN"/>
            </w:rPr>
          </w:pPr>
          <w:r>
            <w:fldChar w:fldCharType="begin"/>
          </w:r>
          <w:r>
            <w:instrText xml:space="preserve"> HYPERLINK \l "_Toc222913176" </w:instrText>
          </w:r>
          <w:r>
            <w:fldChar w:fldCharType="separate"/>
          </w:r>
          <w:r>
            <w:rPr>
              <w:rStyle w:val="33"/>
            </w:rPr>
            <w:t>5.3.1 研发资源向标准化产品倾斜</w:t>
          </w:r>
          <w:r>
            <w:tab/>
          </w:r>
          <w:r>
            <w:fldChar w:fldCharType="begin"/>
          </w:r>
          <w:r>
            <w:instrText xml:space="preserve"> PAGEREF _Toc222913176 \h </w:instrText>
          </w:r>
          <w:r>
            <w:fldChar w:fldCharType="separate"/>
          </w:r>
          <w:r>
            <w:t>36</w:t>
          </w:r>
          <w:r>
            <w:fldChar w:fldCharType="end"/>
          </w:r>
          <w:r>
            <w:fldChar w:fldCharType="end"/>
          </w:r>
        </w:p>
        <w:p w14:paraId="4C719357">
          <w:pPr>
            <w:pStyle w:val="16"/>
            <w:rPr>
              <w:rFonts w:asciiTheme="minorHAnsi" w:hAnsiTheme="minorHAnsi"/>
              <w:kern w:val="2"/>
              <w:sz w:val="21"/>
              <w:szCs w:val="22"/>
              <w:lang w:eastAsia="zh-CN"/>
            </w:rPr>
          </w:pPr>
          <w:r>
            <w:fldChar w:fldCharType="begin"/>
          </w:r>
          <w:r>
            <w:instrText xml:space="preserve"> HYPERLINK \l "_Toc222913177" </w:instrText>
          </w:r>
          <w:r>
            <w:fldChar w:fldCharType="separate"/>
          </w:r>
          <w:r>
            <w:rPr>
              <w:rStyle w:val="33"/>
            </w:rPr>
            <w:t>5.3.2 销售团队从售前向售中售后转型</w:t>
          </w:r>
          <w:r>
            <w:tab/>
          </w:r>
          <w:r>
            <w:fldChar w:fldCharType="begin"/>
          </w:r>
          <w:r>
            <w:instrText xml:space="preserve"> PAGEREF _Toc222913177 \h </w:instrText>
          </w:r>
          <w:r>
            <w:fldChar w:fldCharType="separate"/>
          </w:r>
          <w:r>
            <w:t>37</w:t>
          </w:r>
          <w:r>
            <w:fldChar w:fldCharType="end"/>
          </w:r>
          <w:r>
            <w:fldChar w:fldCharType="end"/>
          </w:r>
        </w:p>
        <w:p w14:paraId="0578AC03">
          <w:pPr>
            <w:pStyle w:val="16"/>
            <w:rPr>
              <w:rFonts w:asciiTheme="minorHAnsi" w:hAnsiTheme="minorHAnsi"/>
              <w:kern w:val="2"/>
              <w:sz w:val="21"/>
              <w:szCs w:val="22"/>
              <w:lang w:eastAsia="zh-CN"/>
            </w:rPr>
          </w:pPr>
          <w:r>
            <w:fldChar w:fldCharType="begin"/>
          </w:r>
          <w:r>
            <w:instrText xml:space="preserve"> HYPERLINK \l "_Toc222913178" </w:instrText>
          </w:r>
          <w:r>
            <w:fldChar w:fldCharType="separate"/>
          </w:r>
          <w:r>
            <w:rPr>
              <w:rStyle w:val="33"/>
            </w:rPr>
            <w:t>5.3.3 项目制团队向产品化团队转型</w:t>
          </w:r>
          <w:r>
            <w:tab/>
          </w:r>
          <w:r>
            <w:fldChar w:fldCharType="begin"/>
          </w:r>
          <w:r>
            <w:instrText xml:space="preserve"> PAGEREF _Toc222913178 \h </w:instrText>
          </w:r>
          <w:r>
            <w:fldChar w:fldCharType="separate"/>
          </w:r>
          <w:r>
            <w:t>37</w:t>
          </w:r>
          <w:r>
            <w:fldChar w:fldCharType="end"/>
          </w:r>
          <w:r>
            <w:fldChar w:fldCharType="end"/>
          </w:r>
        </w:p>
        <w:p w14:paraId="26CD308D">
          <w:pPr>
            <w:pStyle w:val="28"/>
            <w:rPr>
              <w:rFonts w:asciiTheme="minorHAnsi" w:hAnsiTheme="minorHAnsi"/>
              <w:kern w:val="2"/>
              <w:sz w:val="21"/>
              <w:szCs w:val="22"/>
              <w:lang w:eastAsia="zh-CN"/>
            </w:rPr>
          </w:pPr>
          <w:r>
            <w:fldChar w:fldCharType="begin"/>
          </w:r>
          <w:r>
            <w:instrText xml:space="preserve"> HYPERLINK \l "_Toc222913179" </w:instrText>
          </w:r>
          <w:r>
            <w:fldChar w:fldCharType="separate"/>
          </w:r>
          <w:r>
            <w:rPr>
              <w:rStyle w:val="33"/>
            </w:rPr>
            <w:t>5.4供应链与生产流程优化</w:t>
          </w:r>
          <w:r>
            <w:tab/>
          </w:r>
          <w:r>
            <w:fldChar w:fldCharType="begin"/>
          </w:r>
          <w:r>
            <w:instrText xml:space="preserve"> PAGEREF _Toc222913179 \h </w:instrText>
          </w:r>
          <w:r>
            <w:fldChar w:fldCharType="separate"/>
          </w:r>
          <w:r>
            <w:t>37</w:t>
          </w:r>
          <w:r>
            <w:fldChar w:fldCharType="end"/>
          </w:r>
          <w:r>
            <w:fldChar w:fldCharType="end"/>
          </w:r>
        </w:p>
        <w:p w14:paraId="4AF64651">
          <w:pPr>
            <w:pStyle w:val="16"/>
            <w:rPr>
              <w:rFonts w:asciiTheme="minorHAnsi" w:hAnsiTheme="minorHAnsi"/>
              <w:kern w:val="2"/>
              <w:sz w:val="21"/>
              <w:szCs w:val="22"/>
              <w:lang w:eastAsia="zh-CN"/>
            </w:rPr>
          </w:pPr>
          <w:r>
            <w:fldChar w:fldCharType="begin"/>
          </w:r>
          <w:r>
            <w:instrText xml:space="preserve"> HYPERLINK \l "_Toc222913180" </w:instrText>
          </w:r>
          <w:r>
            <w:fldChar w:fldCharType="separate"/>
          </w:r>
          <w:r>
            <w:rPr>
              <w:rStyle w:val="33"/>
            </w:rPr>
            <w:t>5.4.1供应链调整与标准化生产</w:t>
          </w:r>
          <w:r>
            <w:tab/>
          </w:r>
          <w:r>
            <w:fldChar w:fldCharType="begin"/>
          </w:r>
          <w:r>
            <w:instrText xml:space="preserve"> PAGEREF _Toc222913180 \h </w:instrText>
          </w:r>
          <w:r>
            <w:fldChar w:fldCharType="separate"/>
          </w:r>
          <w:r>
            <w:t>37</w:t>
          </w:r>
          <w:r>
            <w:fldChar w:fldCharType="end"/>
          </w:r>
          <w:r>
            <w:fldChar w:fldCharType="end"/>
          </w:r>
        </w:p>
        <w:p w14:paraId="55B8C126">
          <w:pPr>
            <w:pStyle w:val="16"/>
            <w:rPr>
              <w:rFonts w:asciiTheme="minorHAnsi" w:hAnsiTheme="minorHAnsi"/>
              <w:kern w:val="2"/>
              <w:sz w:val="21"/>
              <w:szCs w:val="22"/>
              <w:lang w:eastAsia="zh-CN"/>
            </w:rPr>
          </w:pPr>
          <w:r>
            <w:fldChar w:fldCharType="begin"/>
          </w:r>
          <w:r>
            <w:instrText xml:space="preserve"> HYPERLINK \l "_Toc222913181" </w:instrText>
          </w:r>
          <w:r>
            <w:fldChar w:fldCharType="separate"/>
          </w:r>
          <w:r>
            <w:rPr>
              <w:rStyle w:val="33"/>
            </w:rPr>
            <w:t>5.4.2产业链优化与合作伙伴协同平台</w:t>
          </w:r>
          <w:r>
            <w:tab/>
          </w:r>
          <w:r>
            <w:fldChar w:fldCharType="begin"/>
          </w:r>
          <w:r>
            <w:instrText xml:space="preserve"> PAGEREF _Toc222913181 \h </w:instrText>
          </w:r>
          <w:r>
            <w:fldChar w:fldCharType="separate"/>
          </w:r>
          <w:r>
            <w:t>38</w:t>
          </w:r>
          <w:r>
            <w:fldChar w:fldCharType="end"/>
          </w:r>
          <w:r>
            <w:fldChar w:fldCharType="end"/>
          </w:r>
        </w:p>
        <w:p w14:paraId="0BBA004E">
          <w:pPr>
            <w:pStyle w:val="16"/>
            <w:rPr>
              <w:rFonts w:asciiTheme="minorHAnsi" w:hAnsiTheme="minorHAnsi"/>
              <w:kern w:val="2"/>
              <w:sz w:val="21"/>
              <w:szCs w:val="22"/>
              <w:lang w:eastAsia="zh-CN"/>
            </w:rPr>
          </w:pPr>
          <w:r>
            <w:fldChar w:fldCharType="begin"/>
          </w:r>
          <w:r>
            <w:instrText xml:space="preserve"> HYPERLINK \l "_Toc222913182" </w:instrText>
          </w:r>
          <w:r>
            <w:fldChar w:fldCharType="separate"/>
          </w:r>
          <w:r>
            <w:rPr>
              <w:rStyle w:val="33"/>
            </w:rPr>
            <w:t>5.4.3 数字化工具提升管理效率</w:t>
          </w:r>
          <w:r>
            <w:tab/>
          </w:r>
          <w:r>
            <w:fldChar w:fldCharType="begin"/>
          </w:r>
          <w:r>
            <w:instrText xml:space="preserve"> PAGEREF _Toc222913182 \h </w:instrText>
          </w:r>
          <w:r>
            <w:fldChar w:fldCharType="separate"/>
          </w:r>
          <w:r>
            <w:t>38</w:t>
          </w:r>
          <w:r>
            <w:fldChar w:fldCharType="end"/>
          </w:r>
          <w:r>
            <w:fldChar w:fldCharType="end"/>
          </w:r>
        </w:p>
        <w:p w14:paraId="7C844B97">
          <w:pPr>
            <w:pStyle w:val="28"/>
            <w:rPr>
              <w:rFonts w:asciiTheme="minorHAnsi" w:hAnsiTheme="minorHAnsi"/>
              <w:kern w:val="2"/>
              <w:sz w:val="21"/>
              <w:szCs w:val="22"/>
              <w:lang w:eastAsia="zh-CN"/>
            </w:rPr>
          </w:pPr>
          <w:r>
            <w:fldChar w:fldCharType="begin"/>
          </w:r>
          <w:r>
            <w:instrText xml:space="preserve"> HYPERLINK \l "_Toc222913183" </w:instrText>
          </w:r>
          <w:r>
            <w:fldChar w:fldCharType="separate"/>
          </w:r>
          <w:r>
            <w:rPr>
              <w:rStyle w:val="33"/>
            </w:rPr>
            <w:t>5.5构建可持续发展伙伴关系</w:t>
          </w:r>
          <w:r>
            <w:tab/>
          </w:r>
          <w:r>
            <w:fldChar w:fldCharType="begin"/>
          </w:r>
          <w:r>
            <w:instrText xml:space="preserve"> PAGEREF _Toc222913183 \h </w:instrText>
          </w:r>
          <w:r>
            <w:fldChar w:fldCharType="separate"/>
          </w:r>
          <w:r>
            <w:t>38</w:t>
          </w:r>
          <w:r>
            <w:fldChar w:fldCharType="end"/>
          </w:r>
          <w:r>
            <w:fldChar w:fldCharType="end"/>
          </w:r>
        </w:p>
        <w:p w14:paraId="1D26F765">
          <w:pPr>
            <w:pStyle w:val="16"/>
            <w:rPr>
              <w:rFonts w:asciiTheme="minorHAnsi" w:hAnsiTheme="minorHAnsi"/>
              <w:kern w:val="2"/>
              <w:sz w:val="21"/>
              <w:szCs w:val="22"/>
              <w:lang w:eastAsia="zh-CN"/>
            </w:rPr>
          </w:pPr>
          <w:r>
            <w:fldChar w:fldCharType="begin"/>
          </w:r>
          <w:r>
            <w:instrText xml:space="preserve"> HYPERLINK \l "_Toc222913184" </w:instrText>
          </w:r>
          <w:r>
            <w:fldChar w:fldCharType="separate"/>
          </w:r>
          <w:r>
            <w:rPr>
              <w:rStyle w:val="33"/>
            </w:rPr>
            <w:t>5.5.1 与试验机厂家的深度合作模式</w:t>
          </w:r>
          <w:r>
            <w:tab/>
          </w:r>
          <w:r>
            <w:fldChar w:fldCharType="begin"/>
          </w:r>
          <w:r>
            <w:instrText xml:space="preserve"> PAGEREF _Toc222913184 \h </w:instrText>
          </w:r>
          <w:r>
            <w:fldChar w:fldCharType="separate"/>
          </w:r>
          <w:r>
            <w:t>38</w:t>
          </w:r>
          <w:r>
            <w:fldChar w:fldCharType="end"/>
          </w:r>
          <w:r>
            <w:fldChar w:fldCharType="end"/>
          </w:r>
        </w:p>
        <w:p w14:paraId="56E77E90">
          <w:pPr>
            <w:pStyle w:val="16"/>
            <w:rPr>
              <w:rFonts w:asciiTheme="minorHAnsi" w:hAnsiTheme="minorHAnsi"/>
              <w:kern w:val="2"/>
              <w:sz w:val="21"/>
              <w:szCs w:val="22"/>
              <w:lang w:eastAsia="zh-CN"/>
            </w:rPr>
          </w:pPr>
          <w:r>
            <w:fldChar w:fldCharType="begin"/>
          </w:r>
          <w:r>
            <w:instrText xml:space="preserve"> HYPERLINK \l "_Toc222913185" </w:instrText>
          </w:r>
          <w:r>
            <w:fldChar w:fldCharType="separate"/>
          </w:r>
          <w:r>
            <w:rPr>
              <w:rStyle w:val="33"/>
            </w:rPr>
            <w:t>5.5.2 地区合作伙伴培育与管理体系</w:t>
          </w:r>
          <w:r>
            <w:tab/>
          </w:r>
          <w:r>
            <w:fldChar w:fldCharType="begin"/>
          </w:r>
          <w:r>
            <w:instrText xml:space="preserve"> PAGEREF _Toc222913185 \h </w:instrText>
          </w:r>
          <w:r>
            <w:fldChar w:fldCharType="separate"/>
          </w:r>
          <w:r>
            <w:t>38</w:t>
          </w:r>
          <w:r>
            <w:fldChar w:fldCharType="end"/>
          </w:r>
          <w:r>
            <w:fldChar w:fldCharType="end"/>
          </w:r>
        </w:p>
        <w:p w14:paraId="18DDC806">
          <w:pPr>
            <w:pStyle w:val="16"/>
            <w:rPr>
              <w:rFonts w:asciiTheme="minorHAnsi" w:hAnsiTheme="minorHAnsi"/>
              <w:kern w:val="2"/>
              <w:sz w:val="21"/>
              <w:szCs w:val="22"/>
              <w:lang w:eastAsia="zh-CN"/>
            </w:rPr>
          </w:pPr>
          <w:r>
            <w:fldChar w:fldCharType="begin"/>
          </w:r>
          <w:r>
            <w:instrText xml:space="preserve"> HYPERLINK \l "_Toc222913186" </w:instrText>
          </w:r>
          <w:r>
            <w:fldChar w:fldCharType="separate"/>
          </w:r>
          <w:r>
            <w:rPr>
              <w:rStyle w:val="33"/>
            </w:rPr>
            <w:t>5.5.3 产学研合作与行业标准共建</w:t>
          </w:r>
          <w:r>
            <w:tab/>
          </w:r>
          <w:r>
            <w:fldChar w:fldCharType="begin"/>
          </w:r>
          <w:r>
            <w:instrText xml:space="preserve"> PAGEREF _Toc222913186 \h </w:instrText>
          </w:r>
          <w:r>
            <w:fldChar w:fldCharType="separate"/>
          </w:r>
          <w:r>
            <w:t>39</w:t>
          </w:r>
          <w:r>
            <w:fldChar w:fldCharType="end"/>
          </w:r>
          <w:r>
            <w:fldChar w:fldCharType="end"/>
          </w:r>
        </w:p>
        <w:p w14:paraId="6E18F00F">
          <w:pPr>
            <w:pStyle w:val="28"/>
            <w:rPr>
              <w:rFonts w:asciiTheme="minorHAnsi" w:hAnsiTheme="minorHAnsi"/>
              <w:kern w:val="2"/>
              <w:sz w:val="21"/>
              <w:szCs w:val="22"/>
              <w:lang w:eastAsia="zh-CN"/>
            </w:rPr>
          </w:pPr>
          <w:r>
            <w:fldChar w:fldCharType="begin"/>
          </w:r>
          <w:r>
            <w:instrText xml:space="preserve"> HYPERLINK \l "_Toc222913187" </w:instrText>
          </w:r>
          <w:r>
            <w:fldChar w:fldCharType="separate"/>
          </w:r>
          <w:r>
            <w:rPr>
              <w:rStyle w:val="33"/>
            </w:rPr>
            <w:t>5.6 实施路径的时间规划与关键里程碑</w:t>
          </w:r>
          <w:r>
            <w:tab/>
          </w:r>
          <w:r>
            <w:fldChar w:fldCharType="begin"/>
          </w:r>
          <w:r>
            <w:instrText xml:space="preserve"> PAGEREF _Toc222913187 \h </w:instrText>
          </w:r>
          <w:r>
            <w:fldChar w:fldCharType="separate"/>
          </w:r>
          <w:r>
            <w:t>39</w:t>
          </w:r>
          <w:r>
            <w:fldChar w:fldCharType="end"/>
          </w:r>
          <w:r>
            <w:fldChar w:fldCharType="end"/>
          </w:r>
        </w:p>
        <w:p w14:paraId="4703E451">
          <w:pPr>
            <w:pStyle w:val="16"/>
            <w:rPr>
              <w:rFonts w:asciiTheme="minorHAnsi" w:hAnsiTheme="minorHAnsi"/>
              <w:kern w:val="2"/>
              <w:sz w:val="21"/>
              <w:szCs w:val="22"/>
              <w:lang w:eastAsia="zh-CN"/>
            </w:rPr>
          </w:pPr>
          <w:r>
            <w:fldChar w:fldCharType="begin"/>
          </w:r>
          <w:r>
            <w:instrText xml:space="preserve"> HYPERLINK \l "_Toc222913188" </w:instrText>
          </w:r>
          <w:r>
            <w:fldChar w:fldCharType="separate"/>
          </w:r>
          <w:r>
            <w:rPr>
              <w:rStyle w:val="33"/>
            </w:rPr>
            <w:t>5.6.1基础建设期</w:t>
          </w:r>
          <w:r>
            <w:tab/>
          </w:r>
          <w:r>
            <w:fldChar w:fldCharType="begin"/>
          </w:r>
          <w:r>
            <w:instrText xml:space="preserve"> PAGEREF _Toc222913188 \h </w:instrText>
          </w:r>
          <w:r>
            <w:fldChar w:fldCharType="separate"/>
          </w:r>
          <w:r>
            <w:t>39</w:t>
          </w:r>
          <w:r>
            <w:fldChar w:fldCharType="end"/>
          </w:r>
          <w:r>
            <w:fldChar w:fldCharType="end"/>
          </w:r>
        </w:p>
        <w:p w14:paraId="782D307E">
          <w:pPr>
            <w:pStyle w:val="16"/>
            <w:rPr>
              <w:rFonts w:asciiTheme="minorHAnsi" w:hAnsiTheme="minorHAnsi"/>
              <w:kern w:val="2"/>
              <w:sz w:val="21"/>
              <w:szCs w:val="22"/>
              <w:lang w:eastAsia="zh-CN"/>
            </w:rPr>
          </w:pPr>
          <w:r>
            <w:fldChar w:fldCharType="begin"/>
          </w:r>
          <w:r>
            <w:instrText xml:space="preserve"> HYPERLINK \l "_Toc222913189" </w:instrText>
          </w:r>
          <w:r>
            <w:fldChar w:fldCharType="separate"/>
          </w:r>
          <w:r>
            <w:rPr>
              <w:rStyle w:val="33"/>
            </w:rPr>
            <w:t>5.6.2全面推进期</w:t>
          </w:r>
          <w:r>
            <w:tab/>
          </w:r>
          <w:r>
            <w:fldChar w:fldCharType="begin"/>
          </w:r>
          <w:r>
            <w:instrText xml:space="preserve"> PAGEREF _Toc222913189 \h </w:instrText>
          </w:r>
          <w:r>
            <w:fldChar w:fldCharType="separate"/>
          </w:r>
          <w:r>
            <w:t>39</w:t>
          </w:r>
          <w:r>
            <w:fldChar w:fldCharType="end"/>
          </w:r>
          <w:r>
            <w:fldChar w:fldCharType="end"/>
          </w:r>
        </w:p>
        <w:p w14:paraId="661EA848">
          <w:pPr>
            <w:pStyle w:val="16"/>
            <w:rPr>
              <w:rFonts w:asciiTheme="minorHAnsi" w:hAnsiTheme="minorHAnsi"/>
              <w:kern w:val="2"/>
              <w:sz w:val="21"/>
              <w:szCs w:val="22"/>
              <w:lang w:eastAsia="zh-CN"/>
            </w:rPr>
          </w:pPr>
          <w:r>
            <w:fldChar w:fldCharType="begin"/>
          </w:r>
          <w:r>
            <w:instrText xml:space="preserve"> HYPERLINK \l "_Toc222913190" </w:instrText>
          </w:r>
          <w:r>
            <w:fldChar w:fldCharType="separate"/>
          </w:r>
          <w:r>
            <w:rPr>
              <w:rStyle w:val="33"/>
            </w:rPr>
            <w:t>5.6.3成果巩固期</w:t>
          </w:r>
          <w:r>
            <w:tab/>
          </w:r>
          <w:r>
            <w:fldChar w:fldCharType="begin"/>
          </w:r>
          <w:r>
            <w:instrText xml:space="preserve"> PAGEREF _Toc222913190 \h </w:instrText>
          </w:r>
          <w:r>
            <w:fldChar w:fldCharType="separate"/>
          </w:r>
          <w:r>
            <w:t>39</w:t>
          </w:r>
          <w:r>
            <w:fldChar w:fldCharType="end"/>
          </w:r>
          <w:r>
            <w:fldChar w:fldCharType="end"/>
          </w:r>
        </w:p>
        <w:p w14:paraId="3352FAA1">
          <w:pPr>
            <w:pStyle w:val="28"/>
            <w:rPr>
              <w:rFonts w:asciiTheme="minorHAnsi" w:hAnsiTheme="minorHAnsi"/>
              <w:kern w:val="2"/>
              <w:sz w:val="21"/>
              <w:szCs w:val="22"/>
              <w:lang w:eastAsia="zh-CN"/>
            </w:rPr>
          </w:pPr>
          <w:r>
            <w:fldChar w:fldCharType="begin"/>
          </w:r>
          <w:r>
            <w:instrText xml:space="preserve"> HYPERLINK \l "_Toc222913191" </w:instrText>
          </w:r>
          <w:r>
            <w:fldChar w:fldCharType="separate"/>
          </w:r>
          <w:r>
            <w:rPr>
              <w:rStyle w:val="33"/>
            </w:rPr>
            <w:t>5.7 预期成效与风险评估</w:t>
          </w:r>
          <w:r>
            <w:tab/>
          </w:r>
          <w:r>
            <w:fldChar w:fldCharType="begin"/>
          </w:r>
          <w:r>
            <w:instrText xml:space="preserve"> PAGEREF _Toc222913191 \h </w:instrText>
          </w:r>
          <w:r>
            <w:fldChar w:fldCharType="separate"/>
          </w:r>
          <w:r>
            <w:t>40</w:t>
          </w:r>
          <w:r>
            <w:fldChar w:fldCharType="end"/>
          </w:r>
          <w:r>
            <w:fldChar w:fldCharType="end"/>
          </w:r>
        </w:p>
        <w:p w14:paraId="77AEF97A">
          <w:pPr>
            <w:pStyle w:val="16"/>
            <w:rPr>
              <w:rFonts w:asciiTheme="minorHAnsi" w:hAnsiTheme="minorHAnsi"/>
              <w:kern w:val="2"/>
              <w:sz w:val="21"/>
              <w:szCs w:val="22"/>
              <w:lang w:eastAsia="zh-CN"/>
            </w:rPr>
          </w:pPr>
          <w:r>
            <w:fldChar w:fldCharType="begin"/>
          </w:r>
          <w:r>
            <w:instrText xml:space="preserve"> HYPERLINK \l "_Toc222913192" </w:instrText>
          </w:r>
          <w:r>
            <w:fldChar w:fldCharType="separate"/>
          </w:r>
          <w:r>
            <w:rPr>
              <w:rStyle w:val="33"/>
            </w:rPr>
            <w:t>5.7.1 预期成效</w:t>
          </w:r>
          <w:r>
            <w:tab/>
          </w:r>
          <w:r>
            <w:fldChar w:fldCharType="begin"/>
          </w:r>
          <w:r>
            <w:instrText xml:space="preserve"> PAGEREF _Toc222913192 \h </w:instrText>
          </w:r>
          <w:r>
            <w:fldChar w:fldCharType="separate"/>
          </w:r>
          <w:r>
            <w:t>40</w:t>
          </w:r>
          <w:r>
            <w:fldChar w:fldCharType="end"/>
          </w:r>
          <w:r>
            <w:fldChar w:fldCharType="end"/>
          </w:r>
        </w:p>
        <w:p w14:paraId="5A1F5A65">
          <w:pPr>
            <w:pStyle w:val="16"/>
            <w:rPr>
              <w:rFonts w:asciiTheme="minorHAnsi" w:hAnsiTheme="minorHAnsi"/>
              <w:kern w:val="2"/>
              <w:sz w:val="21"/>
              <w:szCs w:val="22"/>
              <w:lang w:eastAsia="zh-CN"/>
            </w:rPr>
          </w:pPr>
          <w:r>
            <w:fldChar w:fldCharType="begin"/>
          </w:r>
          <w:r>
            <w:instrText xml:space="preserve"> HYPERLINK \l "_Toc222913193" </w:instrText>
          </w:r>
          <w:r>
            <w:fldChar w:fldCharType="separate"/>
          </w:r>
          <w:r>
            <w:rPr>
              <w:rStyle w:val="33"/>
            </w:rPr>
            <w:t>5.7.2 风险与应对</w:t>
          </w:r>
          <w:r>
            <w:tab/>
          </w:r>
          <w:r>
            <w:fldChar w:fldCharType="begin"/>
          </w:r>
          <w:r>
            <w:instrText xml:space="preserve"> PAGEREF _Toc222913193 \h </w:instrText>
          </w:r>
          <w:r>
            <w:fldChar w:fldCharType="separate"/>
          </w:r>
          <w:r>
            <w:t>40</w:t>
          </w:r>
          <w:r>
            <w:fldChar w:fldCharType="end"/>
          </w:r>
          <w:r>
            <w:fldChar w:fldCharType="end"/>
          </w:r>
        </w:p>
        <w:p w14:paraId="445E9339">
          <w:pPr>
            <w:pStyle w:val="22"/>
            <w:rPr>
              <w:rFonts w:asciiTheme="minorHAnsi" w:hAnsiTheme="minorHAnsi" w:eastAsiaTheme="minorEastAsia" w:cstheme="minorBidi"/>
              <w:kern w:val="2"/>
              <w:sz w:val="21"/>
              <w:szCs w:val="22"/>
              <w:lang w:eastAsia="zh-CN"/>
            </w:rPr>
          </w:pPr>
          <w:r>
            <w:fldChar w:fldCharType="begin"/>
          </w:r>
          <w:r>
            <w:instrText xml:space="preserve"> HYPERLINK \l "_Toc222913194" </w:instrText>
          </w:r>
          <w:r>
            <w:fldChar w:fldCharType="separate"/>
          </w:r>
          <w:r>
            <w:rPr>
              <w:rStyle w:val="33"/>
            </w:rPr>
            <w:t>第六章 HSM战略转型的成效评估</w:t>
          </w:r>
          <w:r>
            <w:tab/>
          </w:r>
          <w:r>
            <w:fldChar w:fldCharType="begin"/>
          </w:r>
          <w:r>
            <w:instrText xml:space="preserve"> PAGEREF _Toc222913194 \h </w:instrText>
          </w:r>
          <w:r>
            <w:fldChar w:fldCharType="separate"/>
          </w:r>
          <w:r>
            <w:t>41</w:t>
          </w:r>
          <w:r>
            <w:fldChar w:fldCharType="end"/>
          </w:r>
          <w:r>
            <w:fldChar w:fldCharType="end"/>
          </w:r>
        </w:p>
        <w:p w14:paraId="38B34FF3">
          <w:pPr>
            <w:pStyle w:val="28"/>
            <w:rPr>
              <w:rFonts w:asciiTheme="minorHAnsi" w:hAnsiTheme="minorHAnsi"/>
              <w:kern w:val="2"/>
              <w:sz w:val="21"/>
              <w:szCs w:val="22"/>
              <w:lang w:eastAsia="zh-CN"/>
            </w:rPr>
          </w:pPr>
          <w:r>
            <w:fldChar w:fldCharType="begin"/>
          </w:r>
          <w:r>
            <w:instrText xml:space="preserve"> HYPERLINK \l "_Toc222913195" </w:instrText>
          </w:r>
          <w:r>
            <w:fldChar w:fldCharType="separate"/>
          </w:r>
          <w:r>
            <w:rPr>
              <w:rStyle w:val="33"/>
            </w:rPr>
            <w:t>6.1 转型成效评估框架构建</w:t>
          </w:r>
          <w:r>
            <w:tab/>
          </w:r>
          <w:r>
            <w:fldChar w:fldCharType="begin"/>
          </w:r>
          <w:r>
            <w:instrText xml:space="preserve"> PAGEREF _Toc222913195 \h </w:instrText>
          </w:r>
          <w:r>
            <w:fldChar w:fldCharType="separate"/>
          </w:r>
          <w:r>
            <w:t>41</w:t>
          </w:r>
          <w:r>
            <w:fldChar w:fldCharType="end"/>
          </w:r>
          <w:r>
            <w:fldChar w:fldCharType="end"/>
          </w:r>
        </w:p>
        <w:p w14:paraId="219ED2CB">
          <w:pPr>
            <w:pStyle w:val="28"/>
            <w:rPr>
              <w:rFonts w:asciiTheme="minorHAnsi" w:hAnsiTheme="minorHAnsi"/>
              <w:kern w:val="2"/>
              <w:sz w:val="21"/>
              <w:szCs w:val="22"/>
              <w:lang w:eastAsia="zh-CN"/>
            </w:rPr>
          </w:pPr>
          <w:r>
            <w:fldChar w:fldCharType="begin"/>
          </w:r>
          <w:r>
            <w:instrText xml:space="preserve"> HYPERLINK \l "_Toc222913196" </w:instrText>
          </w:r>
          <w:r>
            <w:fldChar w:fldCharType="separate"/>
          </w:r>
          <w:r>
            <w:rPr>
              <w:rStyle w:val="33"/>
            </w:rPr>
            <w:t>6.2 财务绩效成效分析</w:t>
          </w:r>
          <w:r>
            <w:tab/>
          </w:r>
          <w:r>
            <w:fldChar w:fldCharType="begin"/>
          </w:r>
          <w:r>
            <w:instrText xml:space="preserve"> PAGEREF _Toc222913196 \h </w:instrText>
          </w:r>
          <w:r>
            <w:fldChar w:fldCharType="separate"/>
          </w:r>
          <w:r>
            <w:t>42</w:t>
          </w:r>
          <w:r>
            <w:fldChar w:fldCharType="end"/>
          </w:r>
          <w:r>
            <w:fldChar w:fldCharType="end"/>
          </w:r>
        </w:p>
        <w:p w14:paraId="505BC43F">
          <w:pPr>
            <w:pStyle w:val="28"/>
            <w:rPr>
              <w:rFonts w:asciiTheme="minorHAnsi" w:hAnsiTheme="minorHAnsi"/>
              <w:kern w:val="2"/>
              <w:sz w:val="21"/>
              <w:szCs w:val="22"/>
              <w:lang w:eastAsia="zh-CN"/>
            </w:rPr>
          </w:pPr>
          <w:r>
            <w:fldChar w:fldCharType="begin"/>
          </w:r>
          <w:r>
            <w:instrText xml:space="preserve"> HYPERLINK \l "_Toc222913197" </w:instrText>
          </w:r>
          <w:r>
            <w:fldChar w:fldCharType="separate"/>
          </w:r>
          <w:r>
            <w:rPr>
              <w:rStyle w:val="33"/>
            </w:rPr>
            <w:t>6.3 市场地位与品牌影响力</w:t>
          </w:r>
          <w:r>
            <w:tab/>
          </w:r>
          <w:r>
            <w:fldChar w:fldCharType="begin"/>
          </w:r>
          <w:r>
            <w:instrText xml:space="preserve"> PAGEREF _Toc222913197 \h </w:instrText>
          </w:r>
          <w:r>
            <w:fldChar w:fldCharType="separate"/>
          </w:r>
          <w:r>
            <w:t>43</w:t>
          </w:r>
          <w:r>
            <w:fldChar w:fldCharType="end"/>
          </w:r>
          <w:r>
            <w:fldChar w:fldCharType="end"/>
          </w:r>
        </w:p>
        <w:p w14:paraId="2BCAF2DC">
          <w:pPr>
            <w:pStyle w:val="28"/>
            <w:rPr>
              <w:rFonts w:asciiTheme="minorHAnsi" w:hAnsiTheme="minorHAnsi"/>
              <w:kern w:val="2"/>
              <w:sz w:val="21"/>
              <w:szCs w:val="22"/>
              <w:lang w:eastAsia="zh-CN"/>
            </w:rPr>
          </w:pPr>
          <w:r>
            <w:fldChar w:fldCharType="begin"/>
          </w:r>
          <w:r>
            <w:instrText xml:space="preserve"> HYPERLINK \l "_Toc222913198" </w:instrText>
          </w:r>
          <w:r>
            <w:fldChar w:fldCharType="separate"/>
          </w:r>
          <w:r>
            <w:rPr>
              <w:rStyle w:val="33"/>
            </w:rPr>
            <w:t>6.4 技术创新成效评估</w:t>
          </w:r>
          <w:r>
            <w:tab/>
          </w:r>
          <w:r>
            <w:fldChar w:fldCharType="begin"/>
          </w:r>
          <w:r>
            <w:instrText xml:space="preserve"> PAGEREF _Toc222913198 \h </w:instrText>
          </w:r>
          <w:r>
            <w:fldChar w:fldCharType="separate"/>
          </w:r>
          <w:r>
            <w:t>44</w:t>
          </w:r>
          <w:r>
            <w:fldChar w:fldCharType="end"/>
          </w:r>
          <w:r>
            <w:fldChar w:fldCharType="end"/>
          </w:r>
        </w:p>
        <w:p w14:paraId="4832E244">
          <w:pPr>
            <w:pStyle w:val="28"/>
            <w:rPr>
              <w:rFonts w:asciiTheme="minorHAnsi" w:hAnsiTheme="minorHAnsi"/>
              <w:kern w:val="2"/>
              <w:sz w:val="21"/>
              <w:szCs w:val="22"/>
              <w:lang w:eastAsia="zh-CN"/>
            </w:rPr>
          </w:pPr>
          <w:r>
            <w:fldChar w:fldCharType="begin"/>
          </w:r>
          <w:r>
            <w:instrText xml:space="preserve"> HYPERLINK \l "_Toc222913199" </w:instrText>
          </w:r>
          <w:r>
            <w:fldChar w:fldCharType="separate"/>
          </w:r>
          <w:r>
            <w:rPr>
              <w:rStyle w:val="33"/>
            </w:rPr>
            <w:t>6.5 组织能力与文化变革</w:t>
          </w:r>
          <w:r>
            <w:tab/>
          </w:r>
          <w:r>
            <w:fldChar w:fldCharType="begin"/>
          </w:r>
          <w:r>
            <w:instrText xml:space="preserve"> PAGEREF _Toc222913199 \h </w:instrText>
          </w:r>
          <w:r>
            <w:fldChar w:fldCharType="separate"/>
          </w:r>
          <w:r>
            <w:t>45</w:t>
          </w:r>
          <w:r>
            <w:fldChar w:fldCharType="end"/>
          </w:r>
          <w:r>
            <w:fldChar w:fldCharType="end"/>
          </w:r>
        </w:p>
        <w:p w14:paraId="7868E045">
          <w:pPr>
            <w:pStyle w:val="28"/>
            <w:rPr>
              <w:rFonts w:asciiTheme="minorHAnsi" w:hAnsiTheme="minorHAnsi"/>
              <w:kern w:val="2"/>
              <w:sz w:val="21"/>
              <w:szCs w:val="22"/>
              <w:lang w:eastAsia="zh-CN"/>
            </w:rPr>
          </w:pPr>
          <w:r>
            <w:fldChar w:fldCharType="begin"/>
          </w:r>
          <w:r>
            <w:instrText xml:space="preserve"> HYPERLINK \l "_Toc222913200" </w:instrText>
          </w:r>
          <w:r>
            <w:fldChar w:fldCharType="separate"/>
          </w:r>
          <w:r>
            <w:rPr>
              <w:rStyle w:val="33"/>
            </w:rPr>
            <w:t>6.6 可持续发展能力评估</w:t>
          </w:r>
          <w:r>
            <w:tab/>
          </w:r>
          <w:r>
            <w:fldChar w:fldCharType="begin"/>
          </w:r>
          <w:r>
            <w:instrText xml:space="preserve"> PAGEREF _Toc222913200 \h </w:instrText>
          </w:r>
          <w:r>
            <w:fldChar w:fldCharType="separate"/>
          </w:r>
          <w:r>
            <w:t>46</w:t>
          </w:r>
          <w:r>
            <w:fldChar w:fldCharType="end"/>
          </w:r>
          <w:r>
            <w:fldChar w:fldCharType="end"/>
          </w:r>
        </w:p>
        <w:p w14:paraId="3CF6AB12">
          <w:pPr>
            <w:pStyle w:val="28"/>
            <w:rPr>
              <w:rFonts w:asciiTheme="minorHAnsi" w:hAnsiTheme="minorHAnsi"/>
              <w:kern w:val="2"/>
              <w:sz w:val="21"/>
              <w:szCs w:val="22"/>
              <w:lang w:eastAsia="zh-CN"/>
            </w:rPr>
          </w:pPr>
          <w:r>
            <w:fldChar w:fldCharType="begin"/>
          </w:r>
          <w:r>
            <w:instrText xml:space="preserve"> HYPERLINK \l "_Toc222913201" </w:instrText>
          </w:r>
          <w:r>
            <w:fldChar w:fldCharType="separate"/>
          </w:r>
          <w:r>
            <w:rPr>
              <w:rStyle w:val="33"/>
            </w:rPr>
            <w:t>6.7 转型成效综合评价</w:t>
          </w:r>
          <w:r>
            <w:tab/>
          </w:r>
          <w:r>
            <w:fldChar w:fldCharType="begin"/>
          </w:r>
          <w:r>
            <w:instrText xml:space="preserve"> PAGEREF _Toc222913201 \h </w:instrText>
          </w:r>
          <w:r>
            <w:fldChar w:fldCharType="separate"/>
          </w:r>
          <w:r>
            <w:t>47</w:t>
          </w:r>
          <w:r>
            <w:fldChar w:fldCharType="end"/>
          </w:r>
          <w:r>
            <w:fldChar w:fldCharType="end"/>
          </w:r>
        </w:p>
        <w:p w14:paraId="6CEF584D">
          <w:pPr>
            <w:pStyle w:val="22"/>
            <w:rPr>
              <w:rFonts w:asciiTheme="minorHAnsi" w:hAnsiTheme="minorHAnsi" w:eastAsiaTheme="minorEastAsia" w:cstheme="minorBidi"/>
              <w:kern w:val="2"/>
              <w:sz w:val="21"/>
              <w:szCs w:val="22"/>
              <w:lang w:eastAsia="zh-CN"/>
            </w:rPr>
          </w:pPr>
          <w:r>
            <w:fldChar w:fldCharType="begin"/>
          </w:r>
          <w:r>
            <w:instrText xml:space="preserve"> HYPERLINK \l "_Toc222913202" </w:instrText>
          </w:r>
          <w:r>
            <w:fldChar w:fldCharType="separate"/>
          </w:r>
          <w:r>
            <w:rPr>
              <w:rStyle w:val="33"/>
            </w:rPr>
            <w:t>第七章 结论与建议</w:t>
          </w:r>
          <w:r>
            <w:tab/>
          </w:r>
          <w:r>
            <w:fldChar w:fldCharType="begin"/>
          </w:r>
          <w:r>
            <w:instrText xml:space="preserve"> PAGEREF _Toc222913202 \h </w:instrText>
          </w:r>
          <w:r>
            <w:fldChar w:fldCharType="separate"/>
          </w:r>
          <w:r>
            <w:t>49</w:t>
          </w:r>
          <w:r>
            <w:fldChar w:fldCharType="end"/>
          </w:r>
          <w:r>
            <w:fldChar w:fldCharType="end"/>
          </w:r>
        </w:p>
        <w:p w14:paraId="4B6B5FEF">
          <w:pPr>
            <w:pStyle w:val="28"/>
            <w:rPr>
              <w:rFonts w:asciiTheme="minorHAnsi" w:hAnsiTheme="minorHAnsi"/>
              <w:kern w:val="2"/>
              <w:sz w:val="21"/>
              <w:szCs w:val="22"/>
              <w:lang w:eastAsia="zh-CN"/>
            </w:rPr>
          </w:pPr>
          <w:r>
            <w:fldChar w:fldCharType="begin"/>
          </w:r>
          <w:r>
            <w:instrText xml:space="preserve"> HYPERLINK \l "_Toc222913203" </w:instrText>
          </w:r>
          <w:r>
            <w:fldChar w:fldCharType="separate"/>
          </w:r>
          <w:r>
            <w:rPr>
              <w:rStyle w:val="33"/>
            </w:rPr>
            <w:t>7.1 主要研究发现</w:t>
          </w:r>
          <w:r>
            <w:tab/>
          </w:r>
          <w:r>
            <w:fldChar w:fldCharType="begin"/>
          </w:r>
          <w:r>
            <w:instrText xml:space="preserve"> PAGEREF _Toc222913203 \h </w:instrText>
          </w:r>
          <w:r>
            <w:fldChar w:fldCharType="separate"/>
          </w:r>
          <w:r>
            <w:t>49</w:t>
          </w:r>
          <w:r>
            <w:fldChar w:fldCharType="end"/>
          </w:r>
          <w:r>
            <w:fldChar w:fldCharType="end"/>
          </w:r>
        </w:p>
        <w:p w14:paraId="50B6A8C4">
          <w:pPr>
            <w:pStyle w:val="28"/>
            <w:rPr>
              <w:rFonts w:asciiTheme="minorHAnsi" w:hAnsiTheme="minorHAnsi"/>
              <w:kern w:val="2"/>
              <w:sz w:val="21"/>
              <w:szCs w:val="22"/>
              <w:lang w:eastAsia="zh-CN"/>
            </w:rPr>
          </w:pPr>
          <w:r>
            <w:fldChar w:fldCharType="begin"/>
          </w:r>
          <w:r>
            <w:instrText xml:space="preserve"> HYPERLINK \l "_Toc222913204" </w:instrText>
          </w:r>
          <w:r>
            <w:fldChar w:fldCharType="separate"/>
          </w:r>
          <w:r>
            <w:rPr>
              <w:rStyle w:val="33"/>
            </w:rPr>
            <w:t>7.2 管理实践建议</w:t>
          </w:r>
          <w:r>
            <w:tab/>
          </w:r>
          <w:r>
            <w:fldChar w:fldCharType="begin"/>
          </w:r>
          <w:r>
            <w:instrText xml:space="preserve"> PAGEREF _Toc222913204 \h </w:instrText>
          </w:r>
          <w:r>
            <w:fldChar w:fldCharType="separate"/>
          </w:r>
          <w:r>
            <w:t>49</w:t>
          </w:r>
          <w:r>
            <w:fldChar w:fldCharType="end"/>
          </w:r>
          <w:r>
            <w:fldChar w:fldCharType="end"/>
          </w:r>
        </w:p>
        <w:p w14:paraId="7D9DB53D">
          <w:pPr>
            <w:pStyle w:val="28"/>
            <w:rPr>
              <w:rFonts w:asciiTheme="minorHAnsi" w:hAnsiTheme="minorHAnsi"/>
              <w:kern w:val="2"/>
              <w:sz w:val="21"/>
              <w:szCs w:val="22"/>
              <w:lang w:eastAsia="zh-CN"/>
            </w:rPr>
          </w:pPr>
          <w:r>
            <w:fldChar w:fldCharType="begin"/>
          </w:r>
          <w:r>
            <w:instrText xml:space="preserve"> HYPERLINK \l "_Toc222913205" </w:instrText>
          </w:r>
          <w:r>
            <w:fldChar w:fldCharType="separate"/>
          </w:r>
          <w:r>
            <w:rPr>
              <w:rStyle w:val="33"/>
            </w:rPr>
            <w:t>7.3 行业政策建议</w:t>
          </w:r>
          <w:r>
            <w:tab/>
          </w:r>
          <w:r>
            <w:fldChar w:fldCharType="begin"/>
          </w:r>
          <w:r>
            <w:instrText xml:space="preserve"> PAGEREF _Toc222913205 \h </w:instrText>
          </w:r>
          <w:r>
            <w:fldChar w:fldCharType="separate"/>
          </w:r>
          <w:r>
            <w:t>50</w:t>
          </w:r>
          <w:r>
            <w:fldChar w:fldCharType="end"/>
          </w:r>
          <w:r>
            <w:fldChar w:fldCharType="end"/>
          </w:r>
        </w:p>
        <w:p w14:paraId="0AB5A06F">
          <w:pPr>
            <w:pStyle w:val="28"/>
            <w:rPr>
              <w:rFonts w:asciiTheme="minorHAnsi" w:hAnsiTheme="minorHAnsi"/>
              <w:kern w:val="2"/>
              <w:sz w:val="21"/>
              <w:szCs w:val="22"/>
              <w:lang w:eastAsia="zh-CN"/>
            </w:rPr>
          </w:pPr>
          <w:r>
            <w:fldChar w:fldCharType="begin"/>
          </w:r>
          <w:r>
            <w:instrText xml:space="preserve"> HYPERLINK \l "_Toc222913206" </w:instrText>
          </w:r>
          <w:r>
            <w:fldChar w:fldCharType="separate"/>
          </w:r>
          <w:r>
            <w:rPr>
              <w:rStyle w:val="33"/>
            </w:rPr>
            <w:t>7.4 研究总结与展望</w:t>
          </w:r>
          <w:r>
            <w:tab/>
          </w:r>
          <w:r>
            <w:fldChar w:fldCharType="begin"/>
          </w:r>
          <w:r>
            <w:instrText xml:space="preserve"> PAGEREF _Toc222913206 \h </w:instrText>
          </w:r>
          <w:r>
            <w:fldChar w:fldCharType="separate"/>
          </w:r>
          <w:r>
            <w:t>50</w:t>
          </w:r>
          <w:r>
            <w:fldChar w:fldCharType="end"/>
          </w:r>
          <w:r>
            <w:fldChar w:fldCharType="end"/>
          </w:r>
        </w:p>
        <w:p w14:paraId="3A4F0757">
          <w:pPr>
            <w:pStyle w:val="22"/>
            <w:rPr>
              <w:rFonts w:asciiTheme="minorHAnsi" w:hAnsiTheme="minorHAnsi" w:eastAsiaTheme="minorEastAsia" w:cstheme="minorBidi"/>
              <w:kern w:val="2"/>
              <w:sz w:val="21"/>
              <w:szCs w:val="22"/>
              <w:lang w:eastAsia="zh-CN"/>
            </w:rPr>
          </w:pPr>
          <w:r>
            <w:fldChar w:fldCharType="begin"/>
          </w:r>
          <w:r>
            <w:instrText xml:space="preserve"> HYPERLINK \l "_Toc222913207" </w:instrText>
          </w:r>
          <w:r>
            <w:fldChar w:fldCharType="separate"/>
          </w:r>
          <w:r>
            <w:rPr>
              <w:rStyle w:val="33"/>
            </w:rPr>
            <w:t>参考文献</w:t>
          </w:r>
          <w:r>
            <w:tab/>
          </w:r>
          <w:r>
            <w:fldChar w:fldCharType="begin"/>
          </w:r>
          <w:r>
            <w:instrText xml:space="preserve"> PAGEREF _Toc222913207 \h </w:instrText>
          </w:r>
          <w:r>
            <w:fldChar w:fldCharType="separate"/>
          </w:r>
          <w:r>
            <w:t>52</w:t>
          </w:r>
          <w:r>
            <w:fldChar w:fldCharType="end"/>
          </w:r>
          <w:r>
            <w:fldChar w:fldCharType="end"/>
          </w:r>
        </w:p>
        <w:p w14:paraId="313F57F3">
          <w:pPr>
            <w:pStyle w:val="22"/>
            <w:rPr>
              <w:rFonts w:asciiTheme="minorHAnsi" w:hAnsiTheme="minorHAnsi" w:eastAsiaTheme="minorEastAsia" w:cstheme="minorBidi"/>
              <w:kern w:val="2"/>
              <w:sz w:val="21"/>
              <w:szCs w:val="22"/>
              <w:lang w:eastAsia="zh-CN"/>
            </w:rPr>
          </w:pPr>
          <w:r>
            <w:fldChar w:fldCharType="begin"/>
          </w:r>
          <w:r>
            <w:instrText xml:space="preserve"> HYPERLINK \l "_Toc222913208" </w:instrText>
          </w:r>
          <w:r>
            <w:fldChar w:fldCharType="separate"/>
          </w:r>
          <w:r>
            <w:rPr>
              <w:rStyle w:val="33"/>
            </w:rPr>
            <w:t>致谢</w:t>
          </w:r>
          <w:r>
            <w:tab/>
          </w:r>
          <w:r>
            <w:fldChar w:fldCharType="begin"/>
          </w:r>
          <w:r>
            <w:instrText xml:space="preserve"> PAGEREF _Toc222913208 \h </w:instrText>
          </w:r>
          <w:r>
            <w:fldChar w:fldCharType="separate"/>
          </w:r>
          <w:r>
            <w:t>54</w:t>
          </w:r>
          <w:r>
            <w:fldChar w:fldCharType="end"/>
          </w:r>
          <w:r>
            <w:fldChar w:fldCharType="end"/>
          </w:r>
        </w:p>
        <w:p w14:paraId="4925833C">
          <w:pPr>
            <w:pStyle w:val="22"/>
            <w:rPr>
              <w:rFonts w:asciiTheme="minorHAnsi" w:hAnsiTheme="minorHAnsi" w:eastAsiaTheme="minorEastAsia" w:cstheme="minorBidi"/>
              <w:kern w:val="2"/>
              <w:sz w:val="21"/>
              <w:szCs w:val="22"/>
              <w:lang w:eastAsia="zh-CN"/>
            </w:rPr>
          </w:pPr>
          <w:r>
            <w:fldChar w:fldCharType="begin"/>
          </w:r>
          <w:r>
            <w:instrText xml:space="preserve"> HYPERLINK \l "_Toc222913209" </w:instrText>
          </w:r>
          <w:r>
            <w:fldChar w:fldCharType="separate"/>
          </w:r>
          <w:r>
            <w:rPr>
              <w:rStyle w:val="33"/>
            </w:rPr>
            <w:t>北京大学学位论文原创性声明和使用授权说明</w:t>
          </w:r>
          <w:r>
            <w:tab/>
          </w:r>
          <w:r>
            <w:fldChar w:fldCharType="begin"/>
          </w:r>
          <w:r>
            <w:instrText xml:space="preserve"> PAGEREF _Toc222913209 \h </w:instrText>
          </w:r>
          <w:r>
            <w:fldChar w:fldCharType="separate"/>
          </w:r>
          <w:r>
            <w:t>55</w:t>
          </w:r>
          <w:r>
            <w:fldChar w:fldCharType="end"/>
          </w:r>
          <w:r>
            <w:fldChar w:fldCharType="end"/>
          </w:r>
        </w:p>
        <w:p w14:paraId="39132D8D">
          <w:r>
            <w:fldChar w:fldCharType="end"/>
          </w:r>
        </w:p>
      </w:sdtContent>
    </w:sdt>
    <w:p w14:paraId="0F9D5D70"/>
    <w:p w14:paraId="43E007AB">
      <w:pPr>
        <w:sectPr>
          <w:footerReference r:id="rId13" w:type="default"/>
          <w:footerReference r:id="rId14" w:type="even"/>
          <w:pgSz w:w="11905" w:h="16838"/>
          <w:pgMar w:top="1701" w:right="1474" w:bottom="1417" w:left="1474" w:header="1134" w:footer="992" w:gutter="0"/>
          <w:pgNumType w:fmt="upperRoman"/>
          <w:cols w:space="0" w:num="1"/>
          <w:docGrid w:type="linesAndChars" w:linePitch="327" w:charSpace="0"/>
        </w:sectPr>
      </w:pPr>
    </w:p>
    <w:p w14:paraId="6CD6CFE0">
      <w:pPr>
        <w:pStyle w:val="2"/>
      </w:pPr>
      <w:bookmarkStart w:id="12" w:name="_Toc222913120"/>
      <w:r>
        <w:rPr>
          <w:rFonts w:hint="eastAsia"/>
        </w:rPr>
        <w:t>第一章 绪论</w:t>
      </w:r>
      <w:bookmarkEnd w:id="10"/>
      <w:bookmarkEnd w:id="12"/>
    </w:p>
    <w:p w14:paraId="4B0D3158">
      <w:pPr>
        <w:pStyle w:val="3"/>
      </w:pPr>
      <w:bookmarkStart w:id="13" w:name="_Toc222822750"/>
      <w:bookmarkStart w:id="14" w:name="_Toc222913121"/>
      <w:bookmarkStart w:id="15" w:name="研究背景"/>
      <w:r>
        <w:rPr>
          <w:rFonts w:hint="eastAsia"/>
        </w:rPr>
        <w:t>1.1研究背景</w:t>
      </w:r>
      <w:bookmarkEnd w:id="13"/>
      <w:bookmarkEnd w:id="14"/>
    </w:p>
    <w:p w14:paraId="2B24C21C">
      <w:pPr>
        <w:pStyle w:val="36"/>
        <w:spacing w:before="0" w:after="0" w:line="400" w:lineRule="exact"/>
        <w:ind w:firstLine="480" w:firstLineChars="200"/>
        <w:jc w:val="both"/>
        <w:rPr>
          <w:rFonts w:ascii="Times New Roman" w:hAnsi="Times New Roman"/>
        </w:rPr>
      </w:pPr>
      <w:r>
        <w:rPr>
          <w:rFonts w:ascii="Times New Roman" w:hAnsi="Times New Roman"/>
        </w:rPr>
        <w:t>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14:paraId="1A50B9B6">
      <w:pPr>
        <w:pStyle w:val="36"/>
        <w:spacing w:before="0" w:after="0" w:line="400" w:lineRule="exact"/>
        <w:ind w:firstLine="480" w:firstLineChars="200"/>
        <w:jc w:val="both"/>
        <w:rPr>
          <w:rFonts w:ascii="Times New Roman" w:hAnsi="Times New Roman"/>
        </w:rPr>
      </w:pPr>
      <w:r>
        <w:rPr>
          <w:rFonts w:ascii="Times New Roman" w:hAnsi="Times New Roman"/>
        </w:rPr>
        <w:t>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14:paraId="252DFE66">
      <w:pPr>
        <w:pStyle w:val="36"/>
        <w:spacing w:before="0" w:after="0" w:line="400" w:lineRule="exact"/>
        <w:ind w:firstLine="480" w:firstLineChars="200"/>
        <w:jc w:val="both"/>
        <w:rPr>
          <w:rFonts w:ascii="Times New Roman" w:hAnsi="Times New Roman"/>
        </w:rPr>
      </w:pPr>
      <w:r>
        <w:rPr>
          <w:rFonts w:ascii="Times New Roman" w:hAnsi="Times New Roman"/>
        </w:rPr>
        <w:t>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14:paraId="44D8A5C7">
      <w:pPr>
        <w:pStyle w:val="36"/>
        <w:spacing w:before="0" w:after="0" w:line="400" w:lineRule="exact"/>
        <w:ind w:firstLine="480" w:firstLineChars="200"/>
        <w:jc w:val="both"/>
        <w:rPr>
          <w:rFonts w:ascii="Times New Roman" w:hAnsi="Times New Roman"/>
        </w:rPr>
      </w:pPr>
      <w:r>
        <w:rPr>
          <w:rFonts w:ascii="Times New Roman" w:hAnsi="Times New Roman"/>
        </w:rPr>
        <w:t>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14:paraId="3B00FBF3">
      <w:pPr>
        <w:pStyle w:val="36"/>
        <w:spacing w:before="0" w:after="0" w:line="400" w:lineRule="exact"/>
        <w:ind w:firstLine="480" w:firstLineChars="200"/>
        <w:jc w:val="both"/>
        <w:rPr>
          <w:rFonts w:ascii="Times New Roman" w:hAnsi="Times New Roman"/>
        </w:rPr>
      </w:pPr>
      <w:r>
        <w:rPr>
          <w:rFonts w:ascii="Times New Roman" w:hAnsi="Times New Roman"/>
        </w:rPr>
        <w:t>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15"/>
    <w:p w14:paraId="79D9F243">
      <w:pPr>
        <w:pStyle w:val="3"/>
      </w:pPr>
      <w:bookmarkStart w:id="16" w:name="_Toc222822751"/>
      <w:bookmarkStart w:id="17" w:name="_Toc222913122"/>
      <w:bookmarkStart w:id="18" w:name="研究意义"/>
      <w:r>
        <w:t>1.2 研究意义</w:t>
      </w:r>
      <w:bookmarkEnd w:id="16"/>
      <w:bookmarkEnd w:id="17"/>
    </w:p>
    <w:p w14:paraId="7BFEEDC4">
      <w:pPr>
        <w:pStyle w:val="36"/>
        <w:spacing w:before="0" w:after="0" w:line="400" w:lineRule="exact"/>
        <w:ind w:firstLine="480" w:firstLineChars="200"/>
        <w:jc w:val="both"/>
        <w:rPr>
          <w:rFonts w:ascii="Times New Roman" w:hAnsi="Times New Roman"/>
        </w:rPr>
      </w:pPr>
      <w:r>
        <w:rPr>
          <w:rFonts w:ascii="Times New Roman" w:hAnsi="Times New Roman"/>
        </w:rPr>
        <w:t>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14:paraId="47BA78C4">
      <w:pPr>
        <w:pStyle w:val="36"/>
        <w:spacing w:before="0" w:after="0" w:line="400" w:lineRule="exact"/>
        <w:ind w:firstLine="480" w:firstLineChars="200"/>
        <w:jc w:val="both"/>
        <w:rPr>
          <w:rFonts w:ascii="Times New Roman" w:hAnsi="Times New Roman"/>
        </w:rPr>
      </w:pPr>
      <w:r>
        <w:rPr>
          <w:rFonts w:ascii="Times New Roman" w:hAnsi="Times New Roman"/>
        </w:rPr>
        <w:t>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14:paraId="7702AB70">
      <w:pPr>
        <w:pStyle w:val="36"/>
        <w:spacing w:before="0" w:after="0" w:line="400" w:lineRule="exact"/>
        <w:ind w:firstLine="480" w:firstLineChars="200"/>
        <w:jc w:val="both"/>
        <w:rPr>
          <w:rFonts w:ascii="Times New Roman" w:hAnsi="Times New Roman"/>
        </w:rPr>
      </w:pPr>
      <w:r>
        <w:rPr>
          <w:rFonts w:ascii="Times New Roman" w:hAnsi="Times New Roman"/>
        </w:rPr>
        <w:t>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14:paraId="5F1C36F2">
      <w:pPr>
        <w:pStyle w:val="36"/>
        <w:spacing w:before="0" w:after="0" w:line="400" w:lineRule="exact"/>
        <w:ind w:firstLine="480" w:firstLineChars="200"/>
        <w:jc w:val="both"/>
        <w:rPr>
          <w:rFonts w:ascii="Times New Roman" w:hAnsi="Times New Roman"/>
        </w:rPr>
      </w:pPr>
      <w:r>
        <w:rPr>
          <w:rFonts w:ascii="Times New Roman" w:hAnsi="Times New Roman"/>
        </w:rPr>
        <w:t>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18"/>
    <w:p w14:paraId="0F208E2B">
      <w:pPr>
        <w:pStyle w:val="3"/>
      </w:pPr>
      <w:bookmarkStart w:id="19" w:name="_Toc222822752"/>
      <w:bookmarkStart w:id="20" w:name="_Toc222913123"/>
      <w:bookmarkStart w:id="21" w:name="研究内容与方法"/>
      <w:r>
        <w:t>1.3 研究内容与方法</w:t>
      </w:r>
      <w:bookmarkEnd w:id="19"/>
      <w:bookmarkEnd w:id="20"/>
    </w:p>
    <w:p w14:paraId="6B7AF4C2">
      <w:pPr>
        <w:pStyle w:val="36"/>
        <w:spacing w:before="0" w:after="0" w:line="400" w:lineRule="exact"/>
        <w:ind w:firstLine="480" w:firstLineChars="200"/>
        <w:jc w:val="both"/>
        <w:rPr>
          <w:rFonts w:ascii="Times New Roman" w:hAnsi="Times New Roman"/>
        </w:rPr>
      </w:pPr>
      <w:r>
        <w:rPr>
          <w:rFonts w:ascii="Times New Roman" w:hAnsi="Times New Roman"/>
        </w:rPr>
        <w:t>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14:paraId="297491BE">
      <w:pPr>
        <w:pStyle w:val="36"/>
        <w:spacing w:before="0" w:after="0" w:line="400" w:lineRule="exact"/>
        <w:ind w:firstLine="480" w:firstLineChars="200"/>
        <w:jc w:val="both"/>
        <w:rPr>
          <w:rFonts w:ascii="Times New Roman" w:hAnsi="Times New Roman"/>
        </w:rPr>
      </w:pPr>
      <w:r>
        <w:rPr>
          <w:rFonts w:ascii="Times New Roman" w:hAnsi="Times New Roman"/>
        </w:rPr>
        <w:t>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1"/>
    <w:p w14:paraId="561067F2">
      <w:pPr>
        <w:pStyle w:val="3"/>
      </w:pPr>
      <w:bookmarkStart w:id="22" w:name="_Toc222822753"/>
      <w:bookmarkStart w:id="23" w:name="_Toc222913124"/>
      <w:bookmarkStart w:id="24" w:name="论文结构安排"/>
      <w:r>
        <w:t>1.4 论文结构安排</w:t>
      </w:r>
      <w:bookmarkEnd w:id="22"/>
      <w:bookmarkEnd w:id="23"/>
    </w:p>
    <w:p w14:paraId="513B6E12">
      <w:pPr>
        <w:pStyle w:val="36"/>
        <w:spacing w:before="0" w:after="0" w:line="400" w:lineRule="exact"/>
        <w:ind w:firstLine="480" w:firstLineChars="200"/>
        <w:jc w:val="both"/>
        <w:rPr>
          <w:rFonts w:ascii="Times New Roman" w:hAnsi="Times New Roman"/>
        </w:rPr>
      </w:pPr>
      <w:r>
        <w:rPr>
          <w:rFonts w:ascii="Times New Roman" w:hAnsi="Times New Roman"/>
        </w:rPr>
        <w:t>本论文共分为七章，各章主要内容如下：</w:t>
      </w:r>
    </w:p>
    <w:p w14:paraId="152FFD33">
      <w:pPr>
        <w:pStyle w:val="36"/>
        <w:spacing w:before="0" w:after="0" w:line="400" w:lineRule="exact"/>
        <w:ind w:firstLine="480" w:firstLineChars="200"/>
        <w:jc w:val="both"/>
        <w:rPr>
          <w:rFonts w:ascii="Times New Roman" w:hAnsi="Times New Roman"/>
        </w:rPr>
      </w:pPr>
      <w:r>
        <w:rPr>
          <w:rFonts w:ascii="Times New Roman" w:hAnsi="Times New Roman"/>
        </w:rPr>
        <w:t>第一章 绪论：介绍研究背景、意义、内容与方法，明确研究框架。</w:t>
      </w:r>
    </w:p>
    <w:p w14:paraId="40552FE7">
      <w:pPr>
        <w:pStyle w:val="36"/>
        <w:spacing w:before="0" w:after="0" w:line="400" w:lineRule="exact"/>
        <w:ind w:firstLine="480" w:firstLineChars="200"/>
        <w:jc w:val="both"/>
        <w:rPr>
          <w:rFonts w:ascii="Times New Roman" w:hAnsi="Times New Roman"/>
        </w:rPr>
      </w:pPr>
      <w:r>
        <w:rPr>
          <w:rFonts w:ascii="Times New Roman" w:hAnsi="Times New Roman"/>
        </w:rPr>
        <w:t>第二章 理论基础与文献综述：梳理企业战略转型、视觉力学传感器行业、相关研究进展等理论基础。</w:t>
      </w:r>
    </w:p>
    <w:p w14:paraId="31A95C9A">
      <w:pPr>
        <w:pStyle w:val="36"/>
        <w:spacing w:before="0" w:after="0" w:line="400" w:lineRule="exact"/>
        <w:ind w:firstLine="480" w:firstLineChars="200"/>
        <w:jc w:val="both"/>
        <w:rPr>
          <w:rFonts w:ascii="Times New Roman" w:hAnsi="Times New Roman"/>
        </w:rPr>
      </w:pPr>
      <w:r>
        <w:rPr>
          <w:rFonts w:ascii="Times New Roman" w:hAnsi="Times New Roman"/>
        </w:rPr>
        <w:t>第三章 HSM公司概况与行业环境分析：介绍HSM发展历程，分析行业环境和竞争格局。</w:t>
      </w:r>
    </w:p>
    <w:p w14:paraId="61195B4C">
      <w:pPr>
        <w:pStyle w:val="36"/>
        <w:spacing w:before="0" w:after="0" w:line="400" w:lineRule="exact"/>
        <w:ind w:firstLine="480" w:firstLineChars="200"/>
        <w:jc w:val="both"/>
        <w:rPr>
          <w:rFonts w:ascii="Times New Roman" w:hAnsi="Times New Roman"/>
        </w:rPr>
      </w:pPr>
      <w:r>
        <w:rPr>
          <w:rFonts w:ascii="Times New Roman" w:hAnsi="Times New Roman"/>
        </w:rPr>
        <w:t>第四章 HSM战略转型的动因分析：从内外两个维度分析战略转型的驱动因素。</w:t>
      </w:r>
    </w:p>
    <w:p w14:paraId="445F5561">
      <w:pPr>
        <w:pStyle w:val="36"/>
        <w:spacing w:before="0" w:after="0" w:line="400" w:lineRule="exact"/>
        <w:ind w:firstLine="480" w:firstLineChars="200"/>
        <w:jc w:val="both"/>
        <w:rPr>
          <w:rFonts w:ascii="Times New Roman" w:hAnsi="Times New Roman"/>
        </w:rPr>
      </w:pPr>
      <w:r>
        <w:rPr>
          <w:rFonts w:ascii="Times New Roman" w:hAnsi="Times New Roman"/>
        </w:rPr>
        <w:t>第五章 HSM战略转型的实施路径：详细研究技术、市场、组织、数字化四个维度的转型举措。</w:t>
      </w:r>
    </w:p>
    <w:p w14:paraId="393E1FC8">
      <w:pPr>
        <w:pStyle w:val="36"/>
        <w:spacing w:before="0" w:after="0" w:line="400" w:lineRule="exact"/>
        <w:ind w:firstLine="480" w:firstLineChars="200"/>
        <w:jc w:val="both"/>
        <w:rPr>
          <w:rFonts w:ascii="Times New Roman" w:hAnsi="Times New Roman"/>
        </w:rPr>
      </w:pPr>
      <w:r>
        <w:rPr>
          <w:rFonts w:ascii="Times New Roman" w:hAnsi="Times New Roman"/>
        </w:rPr>
        <w:t>第六章 HSM战略转型的成效评估：从多维度评估转型成效，分析成功经验和不足。</w:t>
      </w:r>
    </w:p>
    <w:p w14:paraId="3835356F">
      <w:pPr>
        <w:pStyle w:val="36"/>
        <w:spacing w:before="0" w:after="0" w:line="400" w:lineRule="exact"/>
        <w:ind w:firstLine="480" w:firstLineChars="200"/>
        <w:jc w:val="both"/>
        <w:rPr>
          <w:rFonts w:ascii="Times New Roman" w:hAnsi="Times New Roman"/>
        </w:rPr>
      </w:pPr>
      <w:r>
        <w:rPr>
          <w:rFonts w:ascii="Times New Roman" w:hAnsi="Times New Roman"/>
        </w:rPr>
        <w:t>第七章 结论与建议：总结研究结论，提出管理启示和政策建议。</w:t>
      </w:r>
    </w:p>
    <w:p w14:paraId="361FED21">
      <w:pPr>
        <w:pStyle w:val="36"/>
        <w:spacing w:before="0" w:after="0" w:line="400" w:lineRule="exact"/>
        <w:ind w:firstLine="480" w:firstLineChars="200"/>
        <w:jc w:val="both"/>
        <w:rPr>
          <w:rFonts w:ascii="Times New Roman" w:hAnsi="Times New Roman"/>
        </w:rPr>
        <w:sectPr>
          <w:headerReference r:id="rId15" w:type="default"/>
          <w:footerReference r:id="rId17" w:type="default"/>
          <w:headerReference r:id="rId16" w:type="even"/>
          <w:footerReference r:id="rId18" w:type="even"/>
          <w:pgSz w:w="11905" w:h="16838"/>
          <w:pgMar w:top="1701" w:right="1474" w:bottom="1417" w:left="1474" w:header="1134" w:footer="992" w:gutter="0"/>
          <w:pgNumType w:start="1"/>
          <w:cols w:space="0" w:num="1"/>
          <w:docGrid w:type="linesAndChars" w:linePitch="327" w:charSpace="0"/>
        </w:sectPr>
      </w:pPr>
      <w:r>
        <w:rPr>
          <w:rFonts w:ascii="Times New Roman" w:hAnsi="Times New Roman"/>
        </w:rPr>
        <w:t>本章小结：本章作为论文的开篇，明确了研究背景和意义，界定了研究内容和范围，介绍了研究方法和论文结构，为后续研究奠定了坚实基础。</w:t>
      </w:r>
    </w:p>
    <w:bookmarkEnd w:id="11"/>
    <w:bookmarkEnd w:id="24"/>
    <w:p w14:paraId="13C9275F">
      <w:pPr>
        <w:pStyle w:val="2"/>
      </w:pPr>
      <w:bookmarkStart w:id="25" w:name="_Toc222822754"/>
      <w:bookmarkStart w:id="26" w:name="_Toc222913125"/>
      <w:bookmarkStart w:id="27" w:name="第二章-理论基础与文献综述"/>
      <w:r>
        <w:t>第二章 理论基础与文献综述</w:t>
      </w:r>
      <w:bookmarkEnd w:id="25"/>
      <w:bookmarkEnd w:id="26"/>
    </w:p>
    <w:p w14:paraId="5C26B94B">
      <w:pPr>
        <w:pStyle w:val="3"/>
      </w:pPr>
      <w:bookmarkStart w:id="28" w:name="_Toc222913126"/>
      <w:bookmarkStart w:id="29" w:name="_Toc222822755"/>
      <w:bookmarkStart w:id="30" w:name="企业战略转型理论"/>
      <w:r>
        <w:t>2.1 企业战略转型理论</w:t>
      </w:r>
      <w:bookmarkEnd w:id="28"/>
      <w:bookmarkEnd w:id="29"/>
    </w:p>
    <w:p w14:paraId="42EE6899">
      <w:pPr>
        <w:pStyle w:val="36"/>
        <w:spacing w:before="0" w:after="0" w:line="400" w:lineRule="exact"/>
        <w:ind w:firstLine="480" w:firstLineChars="200"/>
        <w:jc w:val="both"/>
        <w:rPr>
          <w:rFonts w:ascii="Times New Roman" w:hAnsi="Times New Roman"/>
        </w:rPr>
      </w:pPr>
      <w:r>
        <w:rPr>
          <w:rFonts w:ascii="Times New Roman" w:hAnsi="Times New Roman"/>
        </w:rPr>
        <w:t>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14:paraId="2F338816">
      <w:pPr>
        <w:pStyle w:val="36"/>
        <w:spacing w:before="0" w:after="0" w:line="400" w:lineRule="exact"/>
        <w:ind w:firstLine="480" w:firstLineChars="200"/>
        <w:jc w:val="both"/>
        <w:rPr>
          <w:rFonts w:ascii="Times New Roman" w:hAnsi="Times New Roman"/>
        </w:rPr>
      </w:pPr>
      <w:r>
        <w:rPr>
          <w:rFonts w:ascii="Times New Roman" w:hAnsi="Times New Roman"/>
        </w:rPr>
        <w:t>战略转型的内涵与类型。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14:paraId="30AE0AA9">
      <w:pPr>
        <w:pStyle w:val="36"/>
        <w:spacing w:before="0" w:after="0" w:line="400" w:lineRule="exact"/>
        <w:ind w:firstLine="480" w:firstLineChars="200"/>
        <w:jc w:val="both"/>
        <w:rPr>
          <w:rFonts w:ascii="Times New Roman" w:hAnsi="Times New Roman"/>
        </w:rPr>
      </w:pPr>
      <w:r>
        <w:rPr>
          <w:rFonts w:ascii="Times New Roman" w:hAnsi="Times New Roman"/>
        </w:rPr>
        <w:t>战略转型的理论基础。企业战略转型的理论基础主要包括资源基础观、动态能力理论和组织学习理论等。（1）资源基础观（Resource-Based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14:paraId="58E1F985">
      <w:pPr>
        <w:pStyle w:val="36"/>
        <w:spacing w:before="0" w:after="0" w:line="400" w:lineRule="exact"/>
        <w:ind w:firstLine="480" w:firstLineChars="200"/>
        <w:jc w:val="both"/>
        <w:rPr>
          <w:rFonts w:ascii="Times New Roman" w:hAnsi="Times New Roman"/>
        </w:rPr>
      </w:pPr>
      <w:r>
        <w:rPr>
          <w:rFonts w:ascii="Times New Roman" w:hAnsi="Times New Roman"/>
        </w:rPr>
        <w:t>战略转型的动力机制。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14:paraId="0D9D9FB7">
      <w:pPr>
        <w:pStyle w:val="36"/>
        <w:spacing w:before="0" w:after="0" w:line="400" w:lineRule="exact"/>
        <w:ind w:firstLine="480" w:firstLineChars="200"/>
        <w:jc w:val="both"/>
        <w:rPr>
          <w:rFonts w:ascii="Times New Roman" w:hAnsi="Times New Roman"/>
        </w:rPr>
      </w:pPr>
      <w:r>
        <w:rPr>
          <w:rFonts w:ascii="Times New Roman" w:hAnsi="Times New Roman"/>
        </w:rPr>
        <w:t>战略转型的实施路径。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14:paraId="10043BCF">
      <w:pPr>
        <w:pStyle w:val="36"/>
        <w:spacing w:before="0" w:after="0" w:line="400" w:lineRule="exact"/>
        <w:ind w:firstLine="480" w:firstLineChars="200"/>
        <w:jc w:val="both"/>
        <w:rPr>
          <w:rFonts w:ascii="Times New Roman" w:hAnsi="Times New Roman"/>
        </w:rPr>
      </w:pPr>
      <w:r>
        <w:rPr>
          <w:rFonts w:ascii="Times New Roman" w:hAnsi="Times New Roman"/>
        </w:rPr>
        <w:t>战略转型的评估框架。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30"/>
    <w:p w14:paraId="58D7D806">
      <w:pPr>
        <w:pStyle w:val="3"/>
      </w:pPr>
      <w:bookmarkStart w:id="31" w:name="_Toc222913127"/>
      <w:bookmarkStart w:id="32" w:name="_Toc222822756"/>
      <w:bookmarkStart w:id="33" w:name="视觉力学传感器行业概述"/>
      <w:r>
        <w:t>2.2 视觉力学传感器行业概述</w:t>
      </w:r>
      <w:bookmarkEnd w:id="31"/>
      <w:bookmarkEnd w:id="32"/>
    </w:p>
    <w:p w14:paraId="1DBF7489">
      <w:pPr>
        <w:pStyle w:val="36"/>
        <w:spacing w:before="0" w:after="0" w:line="400" w:lineRule="exact"/>
        <w:ind w:firstLine="480" w:firstLineChars="200"/>
        <w:jc w:val="both"/>
        <w:rPr>
          <w:rFonts w:ascii="Times New Roman" w:hAnsi="Times New Roman"/>
        </w:rPr>
      </w:pPr>
      <w:r>
        <w:rPr>
          <w:rFonts w:ascii="Times New Roman" w:hAnsi="Times New Roman"/>
        </w:rPr>
        <w:t>DIC视觉传感器技术发展。数字图像相关（Digital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14:paraId="57ABCAAA">
      <w:pPr>
        <w:pStyle w:val="36"/>
        <w:spacing w:before="0" w:after="0" w:line="400" w:lineRule="exact"/>
        <w:ind w:firstLine="480" w:firstLineChars="200"/>
        <w:jc w:val="both"/>
        <w:rPr>
          <w:rFonts w:ascii="Times New Roman" w:hAnsi="Times New Roman"/>
        </w:rPr>
      </w:pPr>
      <w:r>
        <w:rPr>
          <w:rFonts w:ascii="Times New Roman" w:hAnsi="Times New Roman"/>
        </w:rPr>
        <w:t>全球与中国市场规模分析。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14:paraId="62EC7B4C">
      <w:pPr>
        <w:pStyle w:val="36"/>
        <w:spacing w:before="0" w:after="0" w:line="400" w:lineRule="exact"/>
        <w:ind w:firstLine="480" w:firstLineChars="200"/>
        <w:jc w:val="both"/>
        <w:rPr>
          <w:rFonts w:ascii="Times New Roman" w:hAnsi="Times New Roman"/>
        </w:rPr>
      </w:pPr>
      <w:r>
        <w:rPr>
          <w:rFonts w:ascii="Times New Roman" w:hAnsi="Times New Roman"/>
        </w:rPr>
        <w:t>产业链结构与竞争格局。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14:paraId="50AE641D">
      <w:pPr>
        <w:pStyle w:val="36"/>
        <w:spacing w:before="0" w:after="0" w:line="400" w:lineRule="exact"/>
        <w:ind w:firstLine="480" w:firstLineChars="200"/>
        <w:jc w:val="both"/>
        <w:rPr>
          <w:rFonts w:ascii="Times New Roman" w:hAnsi="Times New Roman"/>
        </w:rPr>
      </w:pPr>
      <w:r>
        <w:rPr>
          <w:rFonts w:ascii="Times New Roman" w:hAnsi="Times New Roman"/>
        </w:rPr>
        <w:t>技术发展趋势与挑战。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3"/>
    <w:p w14:paraId="077AB482">
      <w:pPr>
        <w:pStyle w:val="3"/>
      </w:pPr>
      <w:bookmarkStart w:id="34" w:name="_Toc222913128"/>
      <w:bookmarkStart w:id="35" w:name="_Toc222822757"/>
      <w:bookmarkStart w:id="36" w:name="相关研究综述"/>
      <w:r>
        <w:t>2.3 相关研究综述</w:t>
      </w:r>
      <w:bookmarkEnd w:id="34"/>
      <w:bookmarkEnd w:id="35"/>
    </w:p>
    <w:p w14:paraId="3650B24B">
      <w:pPr>
        <w:pStyle w:val="36"/>
        <w:spacing w:before="0" w:after="0" w:line="400" w:lineRule="exact"/>
        <w:ind w:firstLine="480" w:firstLineChars="200"/>
        <w:jc w:val="both"/>
        <w:rPr>
          <w:rFonts w:ascii="Times New Roman" w:hAnsi="Times New Roman"/>
        </w:rPr>
      </w:pPr>
      <w:r>
        <w:rPr>
          <w:rFonts w:ascii="Times New Roman" w:hAnsi="Times New Roman"/>
        </w:rPr>
        <w:t>硬科技企业战略转型研究。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14:paraId="1D6D7BA5">
      <w:pPr>
        <w:pStyle w:val="36"/>
        <w:spacing w:before="0" w:after="0" w:line="400" w:lineRule="exact"/>
        <w:ind w:firstLine="480" w:firstLineChars="200"/>
        <w:jc w:val="both"/>
        <w:rPr>
          <w:rFonts w:ascii="Times New Roman" w:hAnsi="Times New Roman"/>
        </w:rPr>
      </w:pPr>
      <w:r>
        <w:rPr>
          <w:rFonts w:ascii="Times New Roman" w:hAnsi="Times New Roman"/>
        </w:rPr>
        <w:t>传感器企业创新发展研究。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14:paraId="5C2D500F">
      <w:pPr>
        <w:pStyle w:val="36"/>
        <w:spacing w:before="0" w:after="0" w:line="400" w:lineRule="exact"/>
        <w:ind w:firstLine="480" w:firstLineChars="200"/>
        <w:jc w:val="both"/>
        <w:rPr>
          <w:rFonts w:ascii="Times New Roman" w:hAnsi="Times New Roman"/>
        </w:rPr>
      </w:pPr>
      <w:r>
        <w:rPr>
          <w:rFonts w:ascii="Times New Roman" w:hAnsi="Times New Roman"/>
        </w:rPr>
        <w:t>数字化转型案例研究。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14:paraId="250E8BB7">
      <w:pPr>
        <w:pStyle w:val="36"/>
        <w:spacing w:before="0" w:after="0" w:line="400" w:lineRule="exact"/>
        <w:ind w:firstLine="480" w:firstLineChars="200"/>
        <w:jc w:val="both"/>
        <w:rPr>
          <w:rFonts w:ascii="Times New Roman" w:hAnsi="Times New Roman"/>
        </w:rPr>
      </w:pPr>
      <w:r>
        <w:rPr>
          <w:rFonts w:ascii="Times New Roman" w:hAnsi="Times New Roman"/>
        </w:rPr>
        <w:t>研究评述与本文创新点。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14:paraId="377812A3">
      <w:pPr>
        <w:pStyle w:val="36"/>
        <w:spacing w:before="0" w:after="0" w:line="400" w:lineRule="exact"/>
        <w:ind w:firstLine="480" w:firstLineChars="200"/>
        <w:jc w:val="both"/>
        <w:rPr>
          <w:rFonts w:ascii="Times New Roman" w:hAnsi="Times New Roman"/>
        </w:rPr>
        <w:sectPr>
          <w:headerReference r:id="rId19" w:type="default"/>
          <w:headerReference r:id="rId20" w:type="even"/>
          <w:pgSz w:w="11905" w:h="16838"/>
          <w:pgMar w:top="1701" w:right="1474" w:bottom="1417" w:left="1474" w:header="1134" w:footer="992" w:gutter="0"/>
          <w:cols w:space="0" w:num="1"/>
          <w:docGrid w:type="linesAndChars" w:linePitch="327" w:charSpace="0"/>
        </w:sectPr>
      </w:pPr>
      <w:r>
        <w:rPr>
          <w:rFonts w:ascii="Times New Roman" w:hAnsi="Times New Roman"/>
        </w:rPr>
        <w:t>本章小结：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p>
    <w:bookmarkEnd w:id="27"/>
    <w:bookmarkEnd w:id="36"/>
    <w:p w14:paraId="3C977E0E">
      <w:pPr>
        <w:pStyle w:val="2"/>
      </w:pPr>
      <w:bookmarkStart w:id="37" w:name="_Toc222913129"/>
      <w:bookmarkStart w:id="38" w:name="_Toc222822758"/>
      <w:bookmarkStart w:id="39" w:name="第三章-hsm公司外部环境分析"/>
      <w:r>
        <w:t>第三章 HSM公司外部环境分析</w:t>
      </w:r>
      <w:bookmarkEnd w:id="37"/>
      <w:bookmarkEnd w:id="38"/>
    </w:p>
    <w:p w14:paraId="23851997">
      <w:pPr>
        <w:pStyle w:val="3"/>
      </w:pPr>
      <w:bookmarkStart w:id="40" w:name="_Toc222913130"/>
      <w:bookmarkStart w:id="41" w:name="_Toc222822759"/>
      <w:bookmarkStart w:id="42" w:name="hsm外部宏观环境pest分析"/>
      <w:r>
        <w:t>3.1 HSM外部宏观环境PEST分析</w:t>
      </w:r>
      <w:bookmarkEnd w:id="40"/>
      <w:bookmarkEnd w:id="41"/>
    </w:p>
    <w:p w14:paraId="119BA672">
      <w:pPr>
        <w:pStyle w:val="36"/>
        <w:spacing w:before="0" w:after="0" w:line="400" w:lineRule="exact"/>
        <w:ind w:firstLine="480" w:firstLineChars="200"/>
        <w:jc w:val="both"/>
        <w:rPr>
          <w:rFonts w:ascii="Times New Roman" w:hAnsi="Times New Roman"/>
        </w:rPr>
      </w:pPr>
      <w:r>
        <w:rPr>
          <w:rFonts w:ascii="Times New Roman" w:hAnsi="Times New Roman"/>
        </w:rPr>
        <w:t>PEST分析（政治、经济、社会、技术）是评估企业外部宏观环境的重要工具。本部分将从四个维度分析视觉力学传感器行业的发展环境及其对HSM公司的影响。</w:t>
      </w:r>
    </w:p>
    <w:p w14:paraId="1BE55D08">
      <w:pPr>
        <w:pStyle w:val="5"/>
      </w:pPr>
      <w:bookmarkStart w:id="43" w:name="_Toc222822760"/>
      <w:bookmarkStart w:id="44" w:name="_Toc222913131"/>
      <w:bookmarkStart w:id="45" w:name="政治环境"/>
      <w:r>
        <w:t>3.1.1 政治环境</w:t>
      </w:r>
      <w:bookmarkEnd w:id="43"/>
      <w:bookmarkEnd w:id="44"/>
    </w:p>
    <w:p w14:paraId="18D7E0B0">
      <w:pPr>
        <w:pStyle w:val="36"/>
        <w:spacing w:before="0" w:after="0" w:line="400" w:lineRule="exact"/>
        <w:ind w:firstLine="480" w:firstLineChars="200"/>
        <w:jc w:val="both"/>
        <w:rPr>
          <w:rFonts w:ascii="Times New Roman" w:hAnsi="Times New Roman"/>
        </w:rPr>
      </w:pPr>
      <w:r>
        <w:rPr>
          <w:rFonts w:ascii="Times New Roman" w:hAnsi="Times New Roman"/>
        </w:rPr>
        <w:t>政策支持体系完善。国家层面高度重视传感器产业发展，国务院《“十四五”智能制造发展规划》明确提出支持高端传感器研发和产业化，将传感器作为智能制造的核心基础部件。工业和信息化部《“十四五”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14:paraId="7F362254">
      <w:pPr>
        <w:pStyle w:val="36"/>
        <w:spacing w:before="0" w:after="0" w:line="400" w:lineRule="exact"/>
        <w:ind w:firstLine="480" w:firstLineChars="200"/>
        <w:jc w:val="both"/>
        <w:rPr>
          <w:rFonts w:ascii="Times New Roman" w:hAnsi="Times New Roman"/>
        </w:rPr>
      </w:pPr>
      <w:r>
        <w:rPr>
          <w:rFonts w:ascii="Times New Roman" w:hAnsi="Times New Roman"/>
        </w:rPr>
        <w:t>国产替代战略推动。在中美科技竞争常态化的背景下，国产替代上升为国家战略。各级政府出台优先采购国产设备的政策，支持自主创新技术产品。交通运输部《“十四五”公路养护管理发展规划》明确提出推进桥梁隧道智能监测技术应用，优先采用国产设备和系统。这一政策导向为HSM等国内视觉监测企业创造了市场机遇，特别是在基础设施安全监测领域。</w:t>
      </w:r>
    </w:p>
    <w:p w14:paraId="0602036E">
      <w:pPr>
        <w:pStyle w:val="36"/>
        <w:spacing w:before="0" w:after="0" w:line="400" w:lineRule="exact"/>
        <w:ind w:firstLine="480" w:firstLineChars="200"/>
        <w:jc w:val="both"/>
        <w:rPr>
          <w:rFonts w:ascii="Times New Roman" w:hAnsi="Times New Roman"/>
        </w:rPr>
      </w:pPr>
      <w:r>
        <w:rPr>
          <w:rFonts w:ascii="Times New Roman" w:hAnsi="Times New Roman"/>
        </w:rPr>
        <w:t>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14:paraId="32DC75A7">
      <w:pPr>
        <w:pStyle w:val="36"/>
        <w:spacing w:before="0" w:after="0" w:line="400" w:lineRule="exact"/>
        <w:ind w:firstLine="480" w:firstLineChars="200"/>
        <w:jc w:val="both"/>
        <w:rPr>
          <w:rFonts w:ascii="Times New Roman" w:hAnsi="Times New Roman"/>
        </w:rPr>
      </w:pPr>
      <w:r>
        <w:rPr>
          <w:rFonts w:ascii="Times New Roman" w:hAnsi="Times New Roman"/>
        </w:rPr>
        <w:t>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45"/>
    <w:p w14:paraId="300F44D5">
      <w:pPr>
        <w:pStyle w:val="5"/>
      </w:pPr>
      <w:bookmarkStart w:id="46" w:name="_Toc222913132"/>
      <w:bookmarkStart w:id="47" w:name="_Toc222822761"/>
      <w:bookmarkStart w:id="48" w:name="经济环境"/>
      <w:r>
        <w:t>3.1.2 经济环境</w:t>
      </w:r>
      <w:bookmarkEnd w:id="46"/>
      <w:bookmarkEnd w:id="47"/>
    </w:p>
    <w:p w14:paraId="14E40AE0">
      <w:pPr>
        <w:pStyle w:val="36"/>
        <w:spacing w:before="0" w:after="0" w:line="400" w:lineRule="exact"/>
        <w:ind w:firstLine="480" w:firstLineChars="200"/>
        <w:jc w:val="both"/>
        <w:rPr>
          <w:rFonts w:ascii="Times New Roman" w:hAnsi="Times New Roman"/>
        </w:rPr>
      </w:pPr>
      <w:r>
        <w:rPr>
          <w:rFonts w:ascii="Times New Roman" w:hAnsi="Times New Roman"/>
        </w:rPr>
        <w:t>行业增长与资本环境。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14:paraId="67904DB3">
      <w:pPr>
        <w:pStyle w:val="36"/>
        <w:spacing w:before="0" w:after="0" w:line="400" w:lineRule="exact"/>
        <w:ind w:firstLine="480" w:firstLineChars="200"/>
        <w:jc w:val="both"/>
        <w:rPr>
          <w:rFonts w:ascii="Times New Roman" w:hAnsi="Times New Roman"/>
        </w:rPr>
      </w:pPr>
      <w:r>
        <w:rPr>
          <w:rFonts w:ascii="Times New Roman" w:hAnsi="Times New Roman"/>
        </w:rPr>
        <w:t>下游需求韧性分析。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14:paraId="76A35459">
      <w:pPr>
        <w:pStyle w:val="36"/>
        <w:spacing w:before="0" w:after="0" w:line="400" w:lineRule="exact"/>
        <w:ind w:firstLine="480" w:firstLineChars="200"/>
        <w:jc w:val="both"/>
        <w:rPr>
          <w:rFonts w:ascii="Times New Roman" w:hAnsi="Times New Roman"/>
        </w:rPr>
      </w:pPr>
      <w:r>
        <w:rPr>
          <w:rFonts w:ascii="Times New Roman" w:hAnsi="Times New Roman"/>
        </w:rPr>
        <w:t>资本关注度提升。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14:paraId="0188C2CB">
      <w:pPr>
        <w:pStyle w:val="36"/>
        <w:spacing w:before="0" w:after="0" w:line="400" w:lineRule="exact"/>
        <w:ind w:firstLine="480" w:firstLineChars="200"/>
        <w:jc w:val="both"/>
        <w:rPr>
          <w:rFonts w:ascii="Times New Roman" w:hAnsi="Times New Roman"/>
        </w:rPr>
      </w:pPr>
      <w:r>
        <w:rPr>
          <w:rFonts w:ascii="Times New Roman" w:hAnsi="Times New Roman"/>
        </w:rPr>
        <w:t>对HSM的具体影响：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48"/>
    <w:p w14:paraId="56BD9B00">
      <w:pPr>
        <w:pStyle w:val="5"/>
      </w:pPr>
      <w:bookmarkStart w:id="49" w:name="_Toc222822762"/>
      <w:bookmarkStart w:id="50" w:name="_Toc222913133"/>
      <w:bookmarkStart w:id="51" w:name="社会环境"/>
      <w:r>
        <w:t>3.1.3 社会环境</w:t>
      </w:r>
      <w:bookmarkEnd w:id="49"/>
      <w:bookmarkEnd w:id="50"/>
    </w:p>
    <w:p w14:paraId="1D47EF3E">
      <w:pPr>
        <w:pStyle w:val="36"/>
        <w:spacing w:before="0" w:after="0" w:line="400" w:lineRule="exact"/>
        <w:ind w:firstLine="480" w:firstLineChars="200"/>
        <w:jc w:val="both"/>
        <w:rPr>
          <w:rFonts w:ascii="Times New Roman" w:hAnsi="Times New Roman"/>
        </w:rPr>
      </w:pPr>
      <w:r>
        <w:rPr>
          <w:rFonts w:ascii="Times New Roman" w:hAnsi="Times New Roman"/>
        </w:rPr>
        <w:t>技术认知与接受度提升。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14:paraId="2D640BF7">
      <w:pPr>
        <w:pStyle w:val="36"/>
        <w:spacing w:before="0" w:after="0" w:line="400" w:lineRule="exact"/>
        <w:ind w:firstLine="480" w:firstLineChars="200"/>
        <w:jc w:val="both"/>
        <w:rPr>
          <w:rFonts w:ascii="Times New Roman" w:hAnsi="Times New Roman"/>
        </w:rPr>
      </w:pPr>
      <w:r>
        <w:rPr>
          <w:rFonts w:ascii="Times New Roman" w:hAnsi="Times New Roman"/>
        </w:rPr>
        <w:t>人才供给状况改善。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14:paraId="49948FE2">
      <w:pPr>
        <w:pStyle w:val="36"/>
        <w:spacing w:before="0" w:after="0" w:line="400" w:lineRule="exact"/>
        <w:ind w:firstLine="480" w:firstLineChars="200"/>
        <w:jc w:val="both"/>
        <w:rPr>
          <w:rFonts w:ascii="Times New Roman" w:hAnsi="Times New Roman"/>
        </w:rPr>
      </w:pPr>
      <w:r>
        <w:rPr>
          <w:rFonts w:ascii="Times New Roman" w:hAnsi="Times New Roman"/>
        </w:rPr>
        <w:t>安全与合规意识增强。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14:paraId="345841AB">
      <w:pPr>
        <w:pStyle w:val="36"/>
        <w:spacing w:before="0" w:after="0" w:line="400" w:lineRule="exact"/>
        <w:ind w:firstLine="480" w:firstLineChars="200"/>
        <w:jc w:val="both"/>
        <w:rPr>
          <w:rFonts w:ascii="Times New Roman" w:hAnsi="Times New Roman"/>
        </w:rPr>
      </w:pPr>
      <w:r>
        <w:rPr>
          <w:rFonts w:ascii="Times New Roman" w:hAnsi="Times New Roman"/>
        </w:rPr>
        <w:t>对HSM的具体影响：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51"/>
    <w:p w14:paraId="3D0F8E8F">
      <w:pPr>
        <w:pStyle w:val="5"/>
      </w:pPr>
      <w:bookmarkStart w:id="52" w:name="_Toc222822763"/>
      <w:bookmarkStart w:id="53" w:name="_Toc222913134"/>
      <w:bookmarkStart w:id="54" w:name="技术环境"/>
      <w:r>
        <w:t>3.1.4 技术环境</w:t>
      </w:r>
      <w:bookmarkEnd w:id="52"/>
      <w:bookmarkEnd w:id="53"/>
    </w:p>
    <w:p w14:paraId="10D8720C">
      <w:pPr>
        <w:pStyle w:val="36"/>
        <w:spacing w:before="0" w:after="0" w:line="400" w:lineRule="exact"/>
        <w:ind w:firstLine="480" w:firstLineChars="200"/>
        <w:jc w:val="both"/>
        <w:rPr>
          <w:rFonts w:ascii="Times New Roman" w:hAnsi="Times New Roman"/>
        </w:rPr>
      </w:pPr>
      <w:r>
        <w:rPr>
          <w:rFonts w:ascii="Times New Roman" w:hAnsi="Times New Roman"/>
        </w:rPr>
        <w:t>技术融合趋势明显。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14:paraId="2912E19A">
      <w:pPr>
        <w:pStyle w:val="36"/>
        <w:spacing w:before="0" w:after="0" w:line="400" w:lineRule="exact"/>
        <w:ind w:firstLine="480" w:firstLineChars="200"/>
        <w:jc w:val="both"/>
        <w:rPr>
          <w:rFonts w:ascii="Times New Roman" w:hAnsi="Times New Roman"/>
        </w:rPr>
      </w:pPr>
      <w:r>
        <w:rPr>
          <w:rFonts w:ascii="Times New Roman" w:hAnsi="Times New Roman"/>
        </w:rPr>
        <w:t>技术迭代加速。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14:paraId="2D16FEC3">
      <w:pPr>
        <w:pStyle w:val="36"/>
        <w:spacing w:before="0" w:after="0" w:line="400" w:lineRule="exact"/>
        <w:ind w:firstLine="480" w:firstLineChars="200"/>
        <w:jc w:val="both"/>
        <w:rPr>
          <w:rFonts w:ascii="Times New Roman" w:hAnsi="Times New Roman"/>
        </w:rPr>
      </w:pPr>
      <w:r>
        <w:rPr>
          <w:rFonts w:ascii="Times New Roman" w:hAnsi="Times New Roman"/>
        </w:rPr>
        <w:t>标准化与模块化发展。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14:paraId="395A9745">
      <w:pPr>
        <w:pStyle w:val="36"/>
        <w:spacing w:before="0" w:after="0" w:line="400" w:lineRule="exact"/>
        <w:ind w:firstLine="480" w:firstLineChars="200"/>
        <w:jc w:val="both"/>
        <w:rPr>
          <w:rFonts w:ascii="Times New Roman" w:hAnsi="Times New Roman"/>
        </w:rPr>
      </w:pPr>
      <w:r>
        <w:rPr>
          <w:rFonts w:ascii="Times New Roman" w:hAnsi="Times New Roman"/>
        </w:rPr>
        <w:t>对HSM的具体影响：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54"/>
    <w:p w14:paraId="5A71D697">
      <w:pPr>
        <w:pStyle w:val="5"/>
      </w:pPr>
      <w:bookmarkStart w:id="55" w:name="_Toc222822764"/>
      <w:bookmarkStart w:id="56" w:name="_Toc222913135"/>
      <w:bookmarkStart w:id="57" w:name="小结"/>
      <w:r>
        <w:t>3.1.5 小结</w:t>
      </w:r>
      <w:bookmarkEnd w:id="55"/>
      <w:bookmarkEnd w:id="56"/>
    </w:p>
    <w:p w14:paraId="789DADD5">
      <w:pPr>
        <w:pStyle w:val="36"/>
        <w:spacing w:before="0" w:after="0" w:line="400" w:lineRule="exact"/>
        <w:ind w:firstLine="480" w:firstLineChars="200"/>
        <w:jc w:val="both"/>
        <w:rPr>
          <w:rFonts w:ascii="Times New Roman" w:hAnsi="Times New Roman"/>
        </w:rPr>
      </w:pPr>
      <w:r>
        <w:rPr>
          <w:rFonts w:ascii="Times New Roman" w:hAnsi="Times New Roman"/>
        </w:rPr>
        <w:t>HSM面临的外部宏观环境呈现机遇大于挑战的格局。政策支持、市场需求增长、社会认知提升、技术融合创新等多重利好因素叠加，为视觉力学传感器行业创造了良好的发展环境。具体而言：</w:t>
      </w:r>
    </w:p>
    <w:p w14:paraId="24E4C9CC">
      <w:pPr>
        <w:pStyle w:val="36"/>
        <w:spacing w:before="0" w:after="0" w:line="400" w:lineRule="exact"/>
        <w:ind w:firstLine="480" w:firstLineChars="200"/>
        <w:jc w:val="both"/>
        <w:rPr>
          <w:rFonts w:ascii="Times New Roman" w:hAnsi="Times New Roman"/>
        </w:rPr>
      </w:pPr>
      <w:r>
        <w:rPr>
          <w:rFonts w:ascii="Times New Roman" w:hAnsi="Times New Roman"/>
        </w:rPr>
        <w:t>机遇方面：（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14:paraId="4DB6362A">
      <w:pPr>
        <w:pStyle w:val="36"/>
        <w:spacing w:before="0" w:after="0" w:line="400" w:lineRule="exact"/>
        <w:ind w:firstLine="480" w:firstLineChars="200"/>
        <w:jc w:val="both"/>
        <w:rPr>
          <w:rFonts w:ascii="Times New Roman" w:hAnsi="Times New Roman"/>
        </w:rPr>
      </w:pPr>
      <w:r>
        <w:rPr>
          <w:rFonts w:ascii="Times New Roman" w:hAnsi="Times New Roman"/>
        </w:rPr>
        <w:t>挑战方面：（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14:paraId="4E187C5E">
      <w:pPr>
        <w:pStyle w:val="36"/>
        <w:spacing w:before="0" w:after="0" w:line="400" w:lineRule="exact"/>
        <w:ind w:firstLine="480" w:firstLineChars="200"/>
        <w:jc w:val="both"/>
      </w:pPr>
      <w:r>
        <w:rPr>
          <w:rFonts w:ascii="Times New Roman" w:hAnsi="Times New Roman"/>
        </w:rPr>
        <w:t>对HSM的战略启示：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bookmarkEnd w:id="42"/>
    <w:bookmarkEnd w:id="57"/>
    <w:p w14:paraId="73DA5D05">
      <w:pPr>
        <w:pStyle w:val="3"/>
      </w:pPr>
      <w:bookmarkStart w:id="58" w:name="_Toc222913136"/>
      <w:bookmarkStart w:id="59" w:name="_Toc222822765"/>
      <w:bookmarkStart w:id="60" w:name="视觉力学传感器行业总体环境分析"/>
      <w:r>
        <w:t>3.2 视觉力学传感器行业总体环境分析</w:t>
      </w:r>
      <w:bookmarkEnd w:id="58"/>
      <w:bookmarkEnd w:id="59"/>
    </w:p>
    <w:p w14:paraId="122D5CD7">
      <w:pPr>
        <w:pStyle w:val="5"/>
      </w:pPr>
      <w:bookmarkStart w:id="61" w:name="_Toc222913137"/>
      <w:bookmarkStart w:id="62" w:name="_Toc222822766"/>
      <w:bookmarkStart w:id="63" w:name="全球与中国市场对比分析"/>
      <w:r>
        <w:t>3.2.1 全球与中国市场对比分析</w:t>
      </w:r>
      <w:bookmarkEnd w:id="61"/>
      <w:bookmarkEnd w:id="62"/>
    </w:p>
    <w:p w14:paraId="72B0F490">
      <w:pPr>
        <w:pStyle w:val="36"/>
        <w:spacing w:before="0" w:after="0" w:line="400" w:lineRule="exact"/>
        <w:ind w:firstLine="480" w:firstLineChars="200"/>
        <w:jc w:val="both"/>
        <w:rPr>
          <w:rFonts w:ascii="Times New Roman" w:hAnsi="Times New Roman"/>
        </w:rPr>
      </w:pPr>
      <w:r>
        <w:rPr>
          <w:rFonts w:ascii="Times New Roman" w:hAnsi="Times New Roman"/>
        </w:rPr>
        <w:t>视觉力学传感器行业在全球范围内保持稳定增长，中国市场增速显著高于全球平均水平，成为全球最大的单一市场。</w:t>
      </w:r>
    </w:p>
    <w:p w14:paraId="4F7E18B9">
      <w:pPr>
        <w:pStyle w:val="4"/>
        <w:spacing w:before="240" w:after="120"/>
        <w:jc w:val="center"/>
        <w:rPr>
          <w:rFonts w:ascii="Times New Roman" w:hAnsi="Times New Roman"/>
          <w:sz w:val="22"/>
        </w:rPr>
      </w:pPr>
      <w:r>
        <w:rPr>
          <w:rFonts w:ascii="Times New Roman" w:hAnsi="Times New Roman"/>
          <w:sz w:val="22"/>
        </w:rPr>
        <w:t>表3</w:t>
      </w:r>
      <w:r>
        <w:rPr>
          <w:rFonts w:hint="eastAsia" w:ascii="Times New Roman" w:hAnsi="Times New Roman"/>
          <w:sz w:val="22"/>
          <w:lang w:eastAsia="zh-CN"/>
        </w:rPr>
        <w:t>.</w:t>
      </w:r>
      <w:r>
        <w:rPr>
          <w:rFonts w:ascii="Times New Roman" w:hAnsi="Times New Roman"/>
          <w:sz w:val="22"/>
        </w:rPr>
        <w:t>1 全球与中国DIC视觉传感器市场规模及增速对比表（2024-2031年）</w:t>
      </w:r>
    </w:p>
    <w:tbl>
      <w:tblPr>
        <w:tblStyle w:val="41"/>
        <w:tblW w:w="5000" w:type="pct"/>
        <w:tblInd w:w="0" w:type="dxa"/>
        <w:tblBorders>
          <w:top w:val="none" w:color="auto" w:sz="4" w:space="0"/>
          <w:left w:val="none" w:color="auto" w:sz="4" w:space="0"/>
          <w:bottom w:val="single" w:color="auto"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56"/>
        <w:gridCol w:w="1785"/>
        <w:gridCol w:w="1473"/>
        <w:gridCol w:w="1887"/>
        <w:gridCol w:w="1455"/>
        <w:gridCol w:w="1917"/>
      </w:tblGrid>
      <w:tr w14:paraId="582A779D">
        <w:tblPrEx>
          <w:tblBorders>
            <w:top w:val="none" w:color="auto" w:sz="4"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1D30AF4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年份</w:t>
            </w:r>
          </w:p>
        </w:tc>
        <w:tc>
          <w:tcPr>
            <w:tcW w:w="973" w:type="pct"/>
            <w:tcBorders>
              <w:top w:val="single" w:color="000000" w:sz="12" w:space="0"/>
              <w:left w:val="nil"/>
              <w:bottom w:val="single" w:color="000000" w:sz="4" w:space="0"/>
              <w:right w:val="nil"/>
            </w:tcBorders>
            <w:shd w:val="clear" w:color="auto" w:fill="FFFFFF"/>
            <w:vAlign w:val="center"/>
          </w:tcPr>
          <w:p w14:paraId="2031F60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全球市场规模（亿元）</w:t>
            </w:r>
          </w:p>
        </w:tc>
        <w:tc>
          <w:tcPr>
            <w:tcW w:w="803" w:type="pct"/>
            <w:tcBorders>
              <w:top w:val="single" w:color="000000" w:sz="12" w:space="0"/>
              <w:left w:val="nil"/>
              <w:bottom w:val="single" w:color="000000" w:sz="4" w:space="0"/>
              <w:right w:val="nil"/>
            </w:tcBorders>
            <w:shd w:val="clear" w:color="auto" w:fill="FFFFFF"/>
            <w:vAlign w:val="center"/>
          </w:tcPr>
          <w:p w14:paraId="4BF05E2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全球增速（%）</w:t>
            </w:r>
          </w:p>
        </w:tc>
        <w:tc>
          <w:tcPr>
            <w:tcW w:w="0" w:type="auto"/>
            <w:tcBorders>
              <w:top w:val="single" w:color="000000" w:sz="12" w:space="0"/>
              <w:left w:val="nil"/>
              <w:bottom w:val="single" w:color="000000" w:sz="4" w:space="0"/>
              <w:right w:val="nil"/>
            </w:tcBorders>
            <w:shd w:val="clear" w:color="auto" w:fill="FFFFFF"/>
            <w:vAlign w:val="center"/>
          </w:tcPr>
          <w:p w14:paraId="394C731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中国市场规模（亿元）</w:t>
            </w:r>
          </w:p>
        </w:tc>
        <w:tc>
          <w:tcPr>
            <w:tcW w:w="0" w:type="auto"/>
            <w:tcBorders>
              <w:top w:val="single" w:color="000000" w:sz="12" w:space="0"/>
              <w:left w:val="nil"/>
              <w:bottom w:val="single" w:color="000000" w:sz="4" w:space="0"/>
              <w:right w:val="nil"/>
            </w:tcBorders>
            <w:shd w:val="clear" w:color="auto" w:fill="FFFFFF"/>
            <w:vAlign w:val="center"/>
          </w:tcPr>
          <w:p w14:paraId="5FE3DF2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中国增速（%）</w:t>
            </w:r>
          </w:p>
        </w:tc>
        <w:tc>
          <w:tcPr>
            <w:tcW w:w="0" w:type="auto"/>
            <w:tcBorders>
              <w:top w:val="single" w:color="000000" w:sz="12" w:space="0"/>
              <w:left w:val="nil"/>
              <w:bottom w:val="single" w:color="000000" w:sz="4" w:space="0"/>
              <w:right w:val="nil"/>
            </w:tcBorders>
            <w:shd w:val="clear" w:color="auto" w:fill="FFFFFF"/>
            <w:vAlign w:val="center"/>
          </w:tcPr>
          <w:p w14:paraId="0CCDC5B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中国占全球份额（%）</w:t>
            </w:r>
          </w:p>
        </w:tc>
      </w:tr>
      <w:tr w14:paraId="4D4419B7">
        <w:tblPrEx>
          <w:tblBorders>
            <w:top w:val="none" w:color="auto" w:sz="4"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3B1C39E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2024</w:t>
            </w:r>
          </w:p>
        </w:tc>
        <w:tc>
          <w:tcPr>
            <w:tcW w:w="973" w:type="pct"/>
            <w:tcBorders>
              <w:top w:val="single" w:color="000000" w:sz="4" w:space="0"/>
              <w:left w:val="nil"/>
              <w:bottom w:val="nil"/>
              <w:right w:val="nil"/>
            </w:tcBorders>
            <w:shd w:val="clear" w:color="auto" w:fill="FFFFFF"/>
            <w:vAlign w:val="center"/>
          </w:tcPr>
          <w:p w14:paraId="60FA52C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85</w:t>
            </w:r>
          </w:p>
        </w:tc>
        <w:tc>
          <w:tcPr>
            <w:tcW w:w="803" w:type="pct"/>
            <w:tcBorders>
              <w:top w:val="single" w:color="000000" w:sz="4" w:space="0"/>
              <w:left w:val="nil"/>
              <w:bottom w:val="nil"/>
              <w:right w:val="nil"/>
            </w:tcBorders>
            <w:shd w:val="clear" w:color="auto" w:fill="FFFFFF"/>
            <w:vAlign w:val="center"/>
          </w:tcPr>
          <w:p w14:paraId="3A7FB1B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w:t>
            </w:r>
          </w:p>
        </w:tc>
        <w:tc>
          <w:tcPr>
            <w:tcW w:w="0" w:type="auto"/>
            <w:tcBorders>
              <w:top w:val="single" w:color="000000" w:sz="4" w:space="0"/>
              <w:left w:val="nil"/>
              <w:bottom w:val="nil"/>
              <w:right w:val="nil"/>
            </w:tcBorders>
            <w:shd w:val="clear" w:color="auto" w:fill="FFFFFF"/>
            <w:vAlign w:val="center"/>
          </w:tcPr>
          <w:p w14:paraId="44BC7D3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30</w:t>
            </w:r>
          </w:p>
        </w:tc>
        <w:tc>
          <w:tcPr>
            <w:tcW w:w="0" w:type="auto"/>
            <w:tcBorders>
              <w:top w:val="single" w:color="000000" w:sz="4" w:space="0"/>
              <w:left w:val="nil"/>
              <w:bottom w:val="nil"/>
              <w:right w:val="nil"/>
            </w:tcBorders>
            <w:shd w:val="clear" w:color="auto" w:fill="FFFFFF"/>
            <w:vAlign w:val="center"/>
          </w:tcPr>
          <w:p w14:paraId="1874397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w:t>
            </w:r>
          </w:p>
        </w:tc>
        <w:tc>
          <w:tcPr>
            <w:tcW w:w="0" w:type="auto"/>
            <w:tcBorders>
              <w:top w:val="single" w:color="000000" w:sz="4" w:space="0"/>
              <w:left w:val="nil"/>
              <w:bottom w:val="nil"/>
              <w:right w:val="nil"/>
            </w:tcBorders>
            <w:shd w:val="clear" w:color="auto" w:fill="FFFFFF"/>
            <w:vAlign w:val="center"/>
          </w:tcPr>
          <w:p w14:paraId="3EA4B0D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35.3</w:t>
            </w:r>
          </w:p>
        </w:tc>
      </w:tr>
      <w:tr w14:paraId="2CC0D72D">
        <w:tblPrEx>
          <w:tblBorders>
            <w:top w:val="none" w:color="auto" w:sz="4"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5954497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2025</w:t>
            </w:r>
          </w:p>
        </w:tc>
        <w:tc>
          <w:tcPr>
            <w:tcW w:w="973" w:type="pct"/>
            <w:tcBorders>
              <w:top w:val="nil"/>
              <w:left w:val="nil"/>
              <w:bottom w:val="nil"/>
              <w:right w:val="nil"/>
            </w:tcBorders>
            <w:shd w:val="clear" w:color="auto" w:fill="FFFFFF"/>
            <w:vAlign w:val="center"/>
          </w:tcPr>
          <w:p w14:paraId="6BDCF4E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92</w:t>
            </w:r>
          </w:p>
        </w:tc>
        <w:tc>
          <w:tcPr>
            <w:tcW w:w="803" w:type="pct"/>
            <w:tcBorders>
              <w:top w:val="nil"/>
              <w:left w:val="nil"/>
              <w:bottom w:val="nil"/>
              <w:right w:val="nil"/>
            </w:tcBorders>
            <w:shd w:val="clear" w:color="auto" w:fill="FFFFFF"/>
            <w:vAlign w:val="center"/>
          </w:tcPr>
          <w:p w14:paraId="7B2BBD6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8.2</w:t>
            </w:r>
          </w:p>
        </w:tc>
        <w:tc>
          <w:tcPr>
            <w:tcW w:w="0" w:type="auto"/>
            <w:tcBorders>
              <w:top w:val="nil"/>
              <w:left w:val="nil"/>
              <w:bottom w:val="nil"/>
              <w:right w:val="nil"/>
            </w:tcBorders>
            <w:shd w:val="clear" w:color="auto" w:fill="FFFFFF"/>
            <w:vAlign w:val="center"/>
          </w:tcPr>
          <w:p w14:paraId="2C6B249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33</w:t>
            </w:r>
          </w:p>
        </w:tc>
        <w:tc>
          <w:tcPr>
            <w:tcW w:w="0" w:type="auto"/>
            <w:tcBorders>
              <w:top w:val="nil"/>
              <w:left w:val="nil"/>
              <w:bottom w:val="nil"/>
              <w:right w:val="nil"/>
            </w:tcBorders>
            <w:shd w:val="clear" w:color="auto" w:fill="FFFFFF"/>
            <w:vAlign w:val="center"/>
          </w:tcPr>
          <w:p w14:paraId="5854084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10.0</w:t>
            </w:r>
          </w:p>
        </w:tc>
        <w:tc>
          <w:tcPr>
            <w:tcW w:w="0" w:type="auto"/>
            <w:tcBorders>
              <w:top w:val="nil"/>
              <w:left w:val="nil"/>
              <w:bottom w:val="nil"/>
              <w:right w:val="nil"/>
            </w:tcBorders>
            <w:shd w:val="clear" w:color="auto" w:fill="FFFFFF"/>
            <w:vAlign w:val="center"/>
          </w:tcPr>
          <w:p w14:paraId="231CC36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35.9</w:t>
            </w:r>
          </w:p>
        </w:tc>
      </w:tr>
      <w:tr w14:paraId="4AE98883">
        <w:tblPrEx>
          <w:tblBorders>
            <w:top w:val="none" w:color="auto" w:sz="4"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3A508D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2026</w:t>
            </w:r>
          </w:p>
        </w:tc>
        <w:tc>
          <w:tcPr>
            <w:tcW w:w="973" w:type="pct"/>
            <w:tcBorders>
              <w:top w:val="nil"/>
              <w:left w:val="nil"/>
              <w:bottom w:val="nil"/>
              <w:right w:val="nil"/>
            </w:tcBorders>
            <w:shd w:val="clear" w:color="auto" w:fill="FFFFFF"/>
            <w:vAlign w:val="center"/>
          </w:tcPr>
          <w:p w14:paraId="182FD97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100</w:t>
            </w:r>
          </w:p>
        </w:tc>
        <w:tc>
          <w:tcPr>
            <w:tcW w:w="803" w:type="pct"/>
            <w:tcBorders>
              <w:top w:val="nil"/>
              <w:left w:val="nil"/>
              <w:bottom w:val="nil"/>
              <w:right w:val="nil"/>
            </w:tcBorders>
            <w:shd w:val="clear" w:color="auto" w:fill="FFFFFF"/>
            <w:vAlign w:val="center"/>
          </w:tcPr>
          <w:p w14:paraId="7374317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8.7</w:t>
            </w:r>
          </w:p>
        </w:tc>
        <w:tc>
          <w:tcPr>
            <w:tcW w:w="0" w:type="auto"/>
            <w:tcBorders>
              <w:top w:val="nil"/>
              <w:left w:val="nil"/>
              <w:bottom w:val="nil"/>
              <w:right w:val="nil"/>
            </w:tcBorders>
            <w:shd w:val="clear" w:color="auto" w:fill="FFFFFF"/>
            <w:vAlign w:val="center"/>
          </w:tcPr>
          <w:p w14:paraId="4381B08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37</w:t>
            </w:r>
          </w:p>
        </w:tc>
        <w:tc>
          <w:tcPr>
            <w:tcW w:w="0" w:type="auto"/>
            <w:tcBorders>
              <w:top w:val="nil"/>
              <w:left w:val="nil"/>
              <w:bottom w:val="nil"/>
              <w:right w:val="nil"/>
            </w:tcBorders>
            <w:shd w:val="clear" w:color="auto" w:fill="FFFFFF"/>
            <w:vAlign w:val="center"/>
          </w:tcPr>
          <w:p w14:paraId="30E996F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12.1</w:t>
            </w:r>
          </w:p>
        </w:tc>
        <w:tc>
          <w:tcPr>
            <w:tcW w:w="0" w:type="auto"/>
            <w:tcBorders>
              <w:top w:val="nil"/>
              <w:left w:val="nil"/>
              <w:bottom w:val="nil"/>
              <w:right w:val="nil"/>
            </w:tcBorders>
            <w:shd w:val="clear" w:color="auto" w:fill="FFFFFF"/>
            <w:vAlign w:val="center"/>
          </w:tcPr>
          <w:p w14:paraId="00B3CC6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37.0</w:t>
            </w:r>
          </w:p>
        </w:tc>
      </w:tr>
      <w:tr w14:paraId="390BF875">
        <w:tblPrEx>
          <w:tblBorders>
            <w:top w:val="none" w:color="auto" w:sz="4"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3633886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2027</w:t>
            </w:r>
          </w:p>
        </w:tc>
        <w:tc>
          <w:tcPr>
            <w:tcW w:w="973" w:type="pct"/>
            <w:tcBorders>
              <w:top w:val="nil"/>
              <w:left w:val="nil"/>
              <w:bottom w:val="nil"/>
              <w:right w:val="nil"/>
            </w:tcBorders>
            <w:shd w:val="clear" w:color="auto" w:fill="FFFFFF"/>
            <w:vAlign w:val="center"/>
          </w:tcPr>
          <w:p w14:paraId="3CC33AE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108</w:t>
            </w:r>
          </w:p>
        </w:tc>
        <w:tc>
          <w:tcPr>
            <w:tcW w:w="803" w:type="pct"/>
            <w:tcBorders>
              <w:top w:val="nil"/>
              <w:left w:val="nil"/>
              <w:bottom w:val="nil"/>
              <w:right w:val="nil"/>
            </w:tcBorders>
            <w:shd w:val="clear" w:color="auto" w:fill="FFFFFF"/>
            <w:vAlign w:val="center"/>
          </w:tcPr>
          <w:p w14:paraId="0117A54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8.0</w:t>
            </w:r>
          </w:p>
        </w:tc>
        <w:tc>
          <w:tcPr>
            <w:tcW w:w="0" w:type="auto"/>
            <w:tcBorders>
              <w:top w:val="nil"/>
              <w:left w:val="nil"/>
              <w:bottom w:val="nil"/>
              <w:right w:val="nil"/>
            </w:tcBorders>
            <w:shd w:val="clear" w:color="auto" w:fill="FFFFFF"/>
            <w:vAlign w:val="center"/>
          </w:tcPr>
          <w:p w14:paraId="2127E5C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41</w:t>
            </w:r>
          </w:p>
        </w:tc>
        <w:tc>
          <w:tcPr>
            <w:tcW w:w="0" w:type="auto"/>
            <w:tcBorders>
              <w:top w:val="nil"/>
              <w:left w:val="nil"/>
              <w:bottom w:val="nil"/>
              <w:right w:val="nil"/>
            </w:tcBorders>
            <w:shd w:val="clear" w:color="auto" w:fill="FFFFFF"/>
            <w:vAlign w:val="center"/>
          </w:tcPr>
          <w:p w14:paraId="1A8B59D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10.8</w:t>
            </w:r>
          </w:p>
        </w:tc>
        <w:tc>
          <w:tcPr>
            <w:tcW w:w="0" w:type="auto"/>
            <w:tcBorders>
              <w:top w:val="nil"/>
              <w:left w:val="nil"/>
              <w:bottom w:val="nil"/>
              <w:right w:val="nil"/>
            </w:tcBorders>
            <w:shd w:val="clear" w:color="auto" w:fill="FFFFFF"/>
            <w:vAlign w:val="center"/>
          </w:tcPr>
          <w:p w14:paraId="424357B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38.0</w:t>
            </w:r>
          </w:p>
        </w:tc>
      </w:tr>
      <w:tr w14:paraId="74342D52">
        <w:tblPrEx>
          <w:tblBorders>
            <w:top w:val="none" w:color="auto" w:sz="4"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6CA1501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2028</w:t>
            </w:r>
          </w:p>
        </w:tc>
        <w:tc>
          <w:tcPr>
            <w:tcW w:w="973" w:type="pct"/>
            <w:tcBorders>
              <w:top w:val="nil"/>
              <w:left w:val="nil"/>
              <w:bottom w:val="single" w:color="000000" w:sz="12" w:space="0"/>
              <w:right w:val="nil"/>
            </w:tcBorders>
            <w:shd w:val="clear" w:color="auto" w:fill="FFFFFF"/>
            <w:vAlign w:val="center"/>
          </w:tcPr>
          <w:p w14:paraId="17AE53A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117</w:t>
            </w:r>
          </w:p>
        </w:tc>
        <w:tc>
          <w:tcPr>
            <w:tcW w:w="803" w:type="pct"/>
            <w:tcBorders>
              <w:top w:val="nil"/>
              <w:left w:val="nil"/>
              <w:bottom w:val="single" w:color="000000" w:sz="12" w:space="0"/>
              <w:right w:val="nil"/>
            </w:tcBorders>
            <w:shd w:val="clear" w:color="auto" w:fill="FFFFFF"/>
            <w:vAlign w:val="center"/>
          </w:tcPr>
          <w:p w14:paraId="0274BA3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8.3</w:t>
            </w:r>
          </w:p>
        </w:tc>
        <w:tc>
          <w:tcPr>
            <w:tcW w:w="0" w:type="auto"/>
            <w:tcBorders>
              <w:top w:val="nil"/>
              <w:left w:val="nil"/>
              <w:bottom w:val="single" w:color="000000" w:sz="12" w:space="0"/>
              <w:right w:val="nil"/>
            </w:tcBorders>
            <w:shd w:val="clear" w:color="auto" w:fill="FFFFFF"/>
            <w:vAlign w:val="center"/>
          </w:tcPr>
          <w:p w14:paraId="2AAA6A3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46</w:t>
            </w:r>
          </w:p>
        </w:tc>
        <w:tc>
          <w:tcPr>
            <w:tcW w:w="0" w:type="auto"/>
            <w:tcBorders>
              <w:top w:val="nil"/>
              <w:left w:val="nil"/>
              <w:bottom w:val="single" w:color="000000" w:sz="12" w:space="0"/>
              <w:right w:val="nil"/>
            </w:tcBorders>
            <w:shd w:val="clear" w:color="auto" w:fill="FFFFFF"/>
            <w:vAlign w:val="center"/>
          </w:tcPr>
          <w:p w14:paraId="7F91EFE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12.2</w:t>
            </w:r>
          </w:p>
        </w:tc>
        <w:tc>
          <w:tcPr>
            <w:tcW w:w="0" w:type="auto"/>
            <w:tcBorders>
              <w:top w:val="nil"/>
              <w:left w:val="nil"/>
              <w:bottom w:val="single" w:color="000000" w:sz="12" w:space="0"/>
              <w:right w:val="nil"/>
            </w:tcBorders>
            <w:shd w:val="clear" w:color="auto" w:fill="FFFFFF"/>
            <w:vAlign w:val="center"/>
          </w:tcPr>
          <w:p w14:paraId="2EF8E46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39.3</w:t>
            </w:r>
          </w:p>
        </w:tc>
      </w:tr>
    </w:tbl>
    <w:p w14:paraId="60A7BF21"/>
    <w:p w14:paraId="7B02A440">
      <w:pPr>
        <w:pStyle w:val="4"/>
        <w:spacing w:before="240" w:after="120"/>
        <w:jc w:val="center"/>
        <w:rPr>
          <w:rFonts w:ascii="Times New Roman" w:hAnsi="Times New Roman"/>
          <w:sz w:val="22"/>
        </w:rPr>
      </w:pPr>
      <w:r>
        <w:rPr>
          <w:rFonts w:hint="eastAsia" w:ascii="Times New Roman" w:hAnsi="Times New Roman"/>
          <w:sz w:val="22"/>
          <w:lang w:eastAsia="zh-CN"/>
        </w:rPr>
        <w:t>续</w:t>
      </w:r>
      <w:r>
        <w:rPr>
          <w:rFonts w:ascii="Times New Roman" w:hAnsi="Times New Roman"/>
          <w:sz w:val="22"/>
        </w:rPr>
        <w:t>表3</w:t>
      </w:r>
      <w:r>
        <w:rPr>
          <w:rFonts w:hint="eastAsia" w:ascii="Times New Roman" w:hAnsi="Times New Roman"/>
          <w:sz w:val="22"/>
          <w:lang w:eastAsia="zh-CN"/>
        </w:rPr>
        <w:t>.</w:t>
      </w:r>
      <w:r>
        <w:rPr>
          <w:rFonts w:ascii="Times New Roman" w:hAnsi="Times New Roman"/>
          <w:sz w:val="22"/>
        </w:rPr>
        <w:t>1 全球与中国DIC视觉传感器市场规模及增速对比表（2024-2031年）</w:t>
      </w:r>
    </w:p>
    <w:tbl>
      <w:tblPr>
        <w:tblStyle w:val="41"/>
        <w:tblW w:w="5000" w:type="pct"/>
        <w:tblInd w:w="0" w:type="dxa"/>
        <w:tblLayout w:type="autofit"/>
        <w:tblCellMar>
          <w:top w:w="0" w:type="dxa"/>
          <w:left w:w="108" w:type="dxa"/>
          <w:bottom w:w="0" w:type="dxa"/>
          <w:right w:w="108" w:type="dxa"/>
        </w:tblCellMar>
      </w:tblPr>
      <w:tblGrid>
        <w:gridCol w:w="656"/>
        <w:gridCol w:w="1785"/>
        <w:gridCol w:w="1473"/>
        <w:gridCol w:w="1887"/>
        <w:gridCol w:w="1455"/>
        <w:gridCol w:w="1917"/>
      </w:tblGrid>
      <w:tr w14:paraId="4A2A50B7">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42B1BBD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年份</w:t>
            </w:r>
          </w:p>
        </w:tc>
        <w:tc>
          <w:tcPr>
            <w:tcW w:w="973" w:type="pct"/>
            <w:tcBorders>
              <w:top w:val="single" w:color="000000" w:sz="12" w:space="0"/>
              <w:left w:val="nil"/>
              <w:bottom w:val="single" w:color="000000" w:sz="4" w:space="0"/>
              <w:right w:val="nil"/>
            </w:tcBorders>
            <w:shd w:val="clear" w:color="auto" w:fill="FFFFFF"/>
            <w:vAlign w:val="center"/>
          </w:tcPr>
          <w:p w14:paraId="1E0D9B4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全球市场规模（亿元）</w:t>
            </w:r>
          </w:p>
        </w:tc>
        <w:tc>
          <w:tcPr>
            <w:tcW w:w="803" w:type="pct"/>
            <w:tcBorders>
              <w:top w:val="single" w:color="000000" w:sz="12" w:space="0"/>
              <w:left w:val="nil"/>
              <w:bottom w:val="single" w:color="000000" w:sz="4" w:space="0"/>
              <w:right w:val="nil"/>
            </w:tcBorders>
            <w:shd w:val="clear" w:color="auto" w:fill="FFFFFF"/>
            <w:vAlign w:val="center"/>
          </w:tcPr>
          <w:p w14:paraId="3344D95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全球增速（%）</w:t>
            </w:r>
          </w:p>
        </w:tc>
        <w:tc>
          <w:tcPr>
            <w:tcW w:w="0" w:type="auto"/>
            <w:tcBorders>
              <w:top w:val="single" w:color="000000" w:sz="12" w:space="0"/>
              <w:left w:val="nil"/>
              <w:bottom w:val="single" w:color="000000" w:sz="4" w:space="0"/>
              <w:right w:val="nil"/>
            </w:tcBorders>
            <w:shd w:val="clear" w:color="auto" w:fill="FFFFFF"/>
            <w:vAlign w:val="center"/>
          </w:tcPr>
          <w:p w14:paraId="0BFFEC0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中国市场规模（亿元）</w:t>
            </w:r>
          </w:p>
        </w:tc>
        <w:tc>
          <w:tcPr>
            <w:tcW w:w="0" w:type="auto"/>
            <w:tcBorders>
              <w:top w:val="single" w:color="000000" w:sz="12" w:space="0"/>
              <w:left w:val="nil"/>
              <w:bottom w:val="single" w:color="000000" w:sz="4" w:space="0"/>
              <w:right w:val="nil"/>
            </w:tcBorders>
            <w:shd w:val="clear" w:color="auto" w:fill="FFFFFF"/>
            <w:vAlign w:val="center"/>
          </w:tcPr>
          <w:p w14:paraId="564546D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中国增速（%）</w:t>
            </w:r>
          </w:p>
        </w:tc>
        <w:tc>
          <w:tcPr>
            <w:tcW w:w="0" w:type="auto"/>
            <w:tcBorders>
              <w:top w:val="single" w:color="000000" w:sz="12" w:space="0"/>
              <w:left w:val="nil"/>
              <w:bottom w:val="single" w:color="000000" w:sz="4" w:space="0"/>
              <w:right w:val="nil"/>
            </w:tcBorders>
            <w:shd w:val="clear" w:color="auto" w:fill="FFFFFF"/>
            <w:vAlign w:val="center"/>
          </w:tcPr>
          <w:p w14:paraId="7CB6BBC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中国占全球份额（%）</w:t>
            </w:r>
          </w:p>
        </w:tc>
      </w:tr>
      <w:tr w14:paraId="36C037FA">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7F09E0D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2029</w:t>
            </w:r>
          </w:p>
        </w:tc>
        <w:tc>
          <w:tcPr>
            <w:tcW w:w="973" w:type="pct"/>
            <w:tcBorders>
              <w:top w:val="single" w:color="000000" w:sz="4" w:space="0"/>
              <w:left w:val="nil"/>
              <w:bottom w:val="nil"/>
              <w:right w:val="nil"/>
            </w:tcBorders>
            <w:shd w:val="clear" w:color="auto" w:fill="FFFFFF"/>
            <w:vAlign w:val="center"/>
          </w:tcPr>
          <w:p w14:paraId="7F53009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127</w:t>
            </w:r>
          </w:p>
        </w:tc>
        <w:tc>
          <w:tcPr>
            <w:tcW w:w="803" w:type="pct"/>
            <w:tcBorders>
              <w:top w:val="single" w:color="000000" w:sz="4" w:space="0"/>
              <w:left w:val="nil"/>
              <w:bottom w:val="nil"/>
              <w:right w:val="nil"/>
            </w:tcBorders>
            <w:shd w:val="clear" w:color="auto" w:fill="FFFFFF"/>
            <w:vAlign w:val="center"/>
          </w:tcPr>
          <w:p w14:paraId="61A0157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8.5</w:t>
            </w:r>
          </w:p>
        </w:tc>
        <w:tc>
          <w:tcPr>
            <w:tcW w:w="0" w:type="auto"/>
            <w:tcBorders>
              <w:top w:val="single" w:color="000000" w:sz="4" w:space="0"/>
              <w:left w:val="nil"/>
              <w:bottom w:val="nil"/>
              <w:right w:val="nil"/>
            </w:tcBorders>
            <w:shd w:val="clear" w:color="auto" w:fill="FFFFFF"/>
            <w:vAlign w:val="center"/>
          </w:tcPr>
          <w:p w14:paraId="29CDAFB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51</w:t>
            </w:r>
          </w:p>
        </w:tc>
        <w:tc>
          <w:tcPr>
            <w:tcW w:w="0" w:type="auto"/>
            <w:tcBorders>
              <w:top w:val="single" w:color="000000" w:sz="4" w:space="0"/>
              <w:left w:val="nil"/>
              <w:bottom w:val="nil"/>
              <w:right w:val="nil"/>
            </w:tcBorders>
            <w:shd w:val="clear" w:color="auto" w:fill="FFFFFF"/>
            <w:vAlign w:val="center"/>
          </w:tcPr>
          <w:p w14:paraId="1094BB8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10.9</w:t>
            </w:r>
          </w:p>
        </w:tc>
        <w:tc>
          <w:tcPr>
            <w:tcW w:w="0" w:type="auto"/>
            <w:tcBorders>
              <w:top w:val="single" w:color="000000" w:sz="4" w:space="0"/>
              <w:left w:val="nil"/>
              <w:bottom w:val="nil"/>
              <w:right w:val="nil"/>
            </w:tcBorders>
            <w:shd w:val="clear" w:color="auto" w:fill="FFFFFF"/>
            <w:vAlign w:val="center"/>
          </w:tcPr>
          <w:p w14:paraId="4C14CF9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40.2</w:t>
            </w:r>
          </w:p>
        </w:tc>
      </w:tr>
      <w:tr w14:paraId="3B3AAB22">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6CFF68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2030</w:t>
            </w:r>
          </w:p>
        </w:tc>
        <w:tc>
          <w:tcPr>
            <w:tcW w:w="973" w:type="pct"/>
            <w:tcBorders>
              <w:top w:val="nil"/>
              <w:left w:val="nil"/>
              <w:bottom w:val="nil"/>
              <w:right w:val="nil"/>
            </w:tcBorders>
            <w:shd w:val="clear" w:color="auto" w:fill="FFFFFF"/>
            <w:vAlign w:val="center"/>
          </w:tcPr>
          <w:p w14:paraId="49B6D2B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138</w:t>
            </w:r>
          </w:p>
        </w:tc>
        <w:tc>
          <w:tcPr>
            <w:tcW w:w="803" w:type="pct"/>
            <w:tcBorders>
              <w:top w:val="nil"/>
              <w:left w:val="nil"/>
              <w:bottom w:val="nil"/>
              <w:right w:val="nil"/>
            </w:tcBorders>
            <w:shd w:val="clear" w:color="auto" w:fill="FFFFFF"/>
            <w:vAlign w:val="center"/>
          </w:tcPr>
          <w:p w14:paraId="52E3FD5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8.7</w:t>
            </w:r>
          </w:p>
        </w:tc>
        <w:tc>
          <w:tcPr>
            <w:tcW w:w="0" w:type="auto"/>
            <w:tcBorders>
              <w:top w:val="nil"/>
              <w:left w:val="nil"/>
              <w:bottom w:val="nil"/>
              <w:right w:val="nil"/>
            </w:tcBorders>
            <w:shd w:val="clear" w:color="auto" w:fill="FFFFFF"/>
            <w:vAlign w:val="center"/>
          </w:tcPr>
          <w:p w14:paraId="38ABF03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56</w:t>
            </w:r>
          </w:p>
        </w:tc>
        <w:tc>
          <w:tcPr>
            <w:tcW w:w="0" w:type="auto"/>
            <w:tcBorders>
              <w:top w:val="nil"/>
              <w:left w:val="nil"/>
              <w:bottom w:val="nil"/>
              <w:right w:val="nil"/>
            </w:tcBorders>
            <w:shd w:val="clear" w:color="auto" w:fill="FFFFFF"/>
            <w:vAlign w:val="center"/>
          </w:tcPr>
          <w:p w14:paraId="1868A10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9.8</w:t>
            </w:r>
          </w:p>
        </w:tc>
        <w:tc>
          <w:tcPr>
            <w:tcW w:w="0" w:type="auto"/>
            <w:tcBorders>
              <w:top w:val="nil"/>
              <w:left w:val="nil"/>
              <w:bottom w:val="nil"/>
              <w:right w:val="nil"/>
            </w:tcBorders>
            <w:shd w:val="clear" w:color="auto" w:fill="FFFFFF"/>
            <w:vAlign w:val="center"/>
          </w:tcPr>
          <w:p w14:paraId="4BA7916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40.6</w:t>
            </w:r>
          </w:p>
        </w:tc>
      </w:tr>
      <w:tr w14:paraId="74049C1A">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7CC2D59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2031</w:t>
            </w:r>
          </w:p>
        </w:tc>
        <w:tc>
          <w:tcPr>
            <w:tcW w:w="973" w:type="pct"/>
            <w:tcBorders>
              <w:top w:val="nil"/>
              <w:left w:val="nil"/>
              <w:bottom w:val="single" w:color="000000" w:sz="12" w:space="0"/>
              <w:right w:val="nil"/>
            </w:tcBorders>
            <w:shd w:val="clear" w:color="auto" w:fill="FFFFFF"/>
            <w:vAlign w:val="center"/>
          </w:tcPr>
          <w:p w14:paraId="35B69BD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150</w:t>
            </w:r>
          </w:p>
        </w:tc>
        <w:tc>
          <w:tcPr>
            <w:tcW w:w="803" w:type="pct"/>
            <w:tcBorders>
              <w:top w:val="nil"/>
              <w:left w:val="nil"/>
              <w:bottom w:val="single" w:color="000000" w:sz="12" w:space="0"/>
              <w:right w:val="nil"/>
            </w:tcBorders>
            <w:shd w:val="clear" w:color="auto" w:fill="FFFFFF"/>
            <w:vAlign w:val="center"/>
          </w:tcPr>
          <w:p w14:paraId="5E9BD86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8.7</w:t>
            </w:r>
          </w:p>
        </w:tc>
        <w:tc>
          <w:tcPr>
            <w:tcW w:w="0" w:type="auto"/>
            <w:tcBorders>
              <w:top w:val="nil"/>
              <w:left w:val="nil"/>
              <w:bottom w:val="single" w:color="000000" w:sz="12" w:space="0"/>
              <w:right w:val="nil"/>
            </w:tcBorders>
            <w:shd w:val="clear" w:color="auto" w:fill="FFFFFF"/>
            <w:vAlign w:val="center"/>
          </w:tcPr>
          <w:p w14:paraId="1063209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60</w:t>
            </w:r>
          </w:p>
        </w:tc>
        <w:tc>
          <w:tcPr>
            <w:tcW w:w="0" w:type="auto"/>
            <w:tcBorders>
              <w:top w:val="nil"/>
              <w:left w:val="nil"/>
              <w:bottom w:val="single" w:color="000000" w:sz="12" w:space="0"/>
              <w:right w:val="nil"/>
            </w:tcBorders>
            <w:shd w:val="clear" w:color="auto" w:fill="FFFFFF"/>
            <w:vAlign w:val="center"/>
          </w:tcPr>
          <w:p w14:paraId="1116512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7.1</w:t>
            </w:r>
          </w:p>
        </w:tc>
        <w:tc>
          <w:tcPr>
            <w:tcW w:w="0" w:type="auto"/>
            <w:tcBorders>
              <w:top w:val="nil"/>
              <w:left w:val="nil"/>
              <w:bottom w:val="single" w:color="000000" w:sz="12" w:space="0"/>
              <w:right w:val="nil"/>
            </w:tcBorders>
            <w:shd w:val="clear" w:color="auto" w:fill="FFFFFF"/>
            <w:vAlign w:val="center"/>
          </w:tcPr>
          <w:p w14:paraId="3769474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40.0</w:t>
            </w:r>
          </w:p>
        </w:tc>
      </w:tr>
    </w:tbl>
    <w:p w14:paraId="5A80180F">
      <w:pPr>
        <w:pStyle w:val="4"/>
        <w:spacing w:before="120" w:after="240"/>
        <w:rPr>
          <w:rFonts w:ascii="Times New Roman" w:hAnsi="Times New Roman"/>
          <w:sz w:val="21"/>
        </w:rPr>
      </w:pPr>
      <w:r>
        <w:rPr>
          <w:rFonts w:ascii="Times New Roman" w:hAnsi="Times New Roman"/>
          <w:sz w:val="21"/>
        </w:rPr>
        <w:t>数据来源：综合QYResearch《2026-2032全球及中国隔离器芯片行业研究报告》、百谏方略（DIResearch）隔离器芯片市场调研数据测算</w:t>
      </w:r>
    </w:p>
    <w:p w14:paraId="5D7198A2">
      <w:pPr>
        <w:pStyle w:val="36"/>
        <w:spacing w:before="0" w:after="0" w:line="400" w:lineRule="exact"/>
        <w:ind w:firstLine="480" w:firstLineChars="200"/>
        <w:jc w:val="both"/>
        <w:rPr>
          <w:rFonts w:ascii="Times New Roman" w:hAnsi="Times New Roman"/>
          <w:lang w:eastAsia="zh-CN"/>
        </w:rPr>
      </w:pPr>
      <w:r>
        <w:rPr>
          <w:rFonts w:ascii="Times New Roman" w:hAnsi="Times New Roman"/>
        </w:rPr>
        <w:t>市场特征分析：</w:t>
      </w:r>
    </w:p>
    <w:p w14:paraId="751DCE35">
      <w:pPr>
        <w:pStyle w:val="36"/>
        <w:spacing w:before="0" w:after="0" w:line="400" w:lineRule="exact"/>
        <w:ind w:firstLine="480" w:firstLineChars="200"/>
        <w:jc w:val="both"/>
        <w:rPr>
          <w:rFonts w:ascii="Times New Roman" w:hAnsi="Times New Roman"/>
          <w:lang w:eastAsia="zh-CN"/>
        </w:rPr>
      </w:pPr>
      <w:r>
        <w:rPr>
          <w:rFonts w:ascii="Times New Roman" w:hAnsi="Times New Roman"/>
        </w:rPr>
        <w:t>全球市场：呈现稳健增长态势，年复合增长率8.5%。北美市场技术研发领先，高端应用需求旺盛；欧洲市场工业基础雄厚，质量检测要求严格；亚太市场制造业集中，市场规模增长最快。</w:t>
      </w:r>
    </w:p>
    <w:p w14:paraId="06D27C52">
      <w:pPr>
        <w:pStyle w:val="36"/>
        <w:spacing w:before="0" w:after="0" w:line="400" w:lineRule="exact"/>
        <w:ind w:firstLine="480" w:firstLineChars="200"/>
        <w:jc w:val="both"/>
        <w:rPr>
          <w:rFonts w:ascii="Times New Roman" w:hAnsi="Times New Roman"/>
        </w:rPr>
      </w:pPr>
      <w:r>
        <w:rPr>
          <w:rFonts w:ascii="Times New Roman" w:hAnsi="Times New Roman"/>
        </w:rPr>
        <w:t>中国市场：增长速度快于全球，年复合增长率达10%。政策支持力度大，国家高度重视传感器产业发展；应用场景丰富，制造业转型升级为视觉传感器提供广阔应用空间；产业链完整，从原材料到终端应用的完整产业链体系基本形成。</w:t>
      </w:r>
    </w:p>
    <w:p w14:paraId="424F4321">
      <w:pPr>
        <w:pStyle w:val="36"/>
        <w:spacing w:before="0" w:after="0" w:line="400" w:lineRule="exact"/>
        <w:ind w:firstLine="480" w:firstLineChars="200"/>
        <w:jc w:val="both"/>
        <w:rPr>
          <w:rFonts w:ascii="Times New Roman" w:hAnsi="Times New Roman"/>
        </w:rPr>
      </w:pPr>
      <w:r>
        <w:rPr>
          <w:rFonts w:ascii="Times New Roman" w:hAnsi="Times New Roman"/>
        </w:rPr>
        <w:t>市场驱动因素：（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63"/>
    <w:p w14:paraId="7D10ACAE">
      <w:pPr>
        <w:pStyle w:val="5"/>
      </w:pPr>
      <w:bookmarkStart w:id="64" w:name="_Toc222822767"/>
      <w:bookmarkStart w:id="65" w:name="_Toc222913138"/>
      <w:bookmarkStart w:id="66" w:name="主要竞争对手分析"/>
      <w:r>
        <w:t>3.2.2 主要竞争对手分析</w:t>
      </w:r>
      <w:bookmarkEnd w:id="64"/>
      <w:bookmarkEnd w:id="65"/>
    </w:p>
    <w:p w14:paraId="171325BA">
      <w:pPr>
        <w:pStyle w:val="36"/>
        <w:spacing w:before="0" w:after="0" w:line="400" w:lineRule="exact"/>
        <w:ind w:firstLine="480" w:firstLineChars="200"/>
        <w:jc w:val="both"/>
        <w:rPr>
          <w:rFonts w:ascii="Times New Roman" w:hAnsi="Times New Roman"/>
        </w:rPr>
      </w:pPr>
      <w:r>
        <w:rPr>
          <w:rFonts w:ascii="Times New Roman" w:hAnsi="Times New Roman"/>
        </w:rPr>
        <w:t>视觉力学传感器行业竞争格局呈现梯队化特征，国际巨头占据高端市场，国内企业在细分领域形成差异化竞争。</w:t>
      </w:r>
    </w:p>
    <w:p w14:paraId="1C1F0DB5">
      <w:pPr>
        <w:pStyle w:val="4"/>
        <w:spacing w:before="240" w:after="120"/>
        <w:jc w:val="center"/>
        <w:rPr>
          <w:rFonts w:ascii="Times New Roman" w:hAnsi="Times New Roman"/>
          <w:sz w:val="22"/>
        </w:rPr>
      </w:pPr>
      <w:r>
        <w:rPr>
          <w:rFonts w:ascii="Times New Roman" w:hAnsi="Times New Roman"/>
          <w:sz w:val="22"/>
        </w:rPr>
        <w:t>表3</w:t>
      </w:r>
      <w:r>
        <w:rPr>
          <w:rFonts w:hint="eastAsia" w:ascii="Times New Roman" w:hAnsi="Times New Roman"/>
          <w:sz w:val="22"/>
          <w:lang w:eastAsia="zh-CN"/>
        </w:rPr>
        <w:t>.</w:t>
      </w:r>
      <w:r>
        <w:rPr>
          <w:rFonts w:ascii="Times New Roman" w:hAnsi="Times New Roman"/>
          <w:sz w:val="22"/>
        </w:rPr>
        <w:t>2 视觉力学传感器主要企业概览对比表</w:t>
      </w:r>
    </w:p>
    <w:tbl>
      <w:tblPr>
        <w:tblStyle w:val="41"/>
        <w:tblW w:w="4882" w:type="pct"/>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393"/>
        <w:gridCol w:w="479"/>
        <w:gridCol w:w="1085"/>
        <w:gridCol w:w="966"/>
        <w:gridCol w:w="1983"/>
        <w:gridCol w:w="2162"/>
        <w:gridCol w:w="889"/>
      </w:tblGrid>
      <w:tr w14:paraId="7228614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777" w:type="pct"/>
            <w:tcBorders>
              <w:top w:val="single" w:color="000000" w:sz="12" w:space="0"/>
              <w:left w:val="nil"/>
              <w:bottom w:val="single" w:color="000000" w:sz="4" w:space="0"/>
              <w:right w:val="nil"/>
              <w:tl2br w:val="nil"/>
            </w:tcBorders>
            <w:shd w:val="clear" w:color="auto" w:fill="FFFFFF"/>
            <w:vAlign w:val="center"/>
          </w:tcPr>
          <w:p w14:paraId="3ECB749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企业名称</w:t>
            </w:r>
          </w:p>
        </w:tc>
        <w:tc>
          <w:tcPr>
            <w:tcW w:w="267" w:type="pct"/>
            <w:tcBorders>
              <w:top w:val="single" w:color="000000" w:sz="12" w:space="0"/>
              <w:left w:val="nil"/>
              <w:bottom w:val="single" w:color="000000" w:sz="4" w:space="0"/>
              <w:right w:val="nil"/>
            </w:tcBorders>
            <w:shd w:val="clear" w:color="auto" w:fill="FFFFFF"/>
            <w:vAlign w:val="center"/>
          </w:tcPr>
          <w:p w14:paraId="142FA7F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国别</w:t>
            </w:r>
          </w:p>
        </w:tc>
        <w:tc>
          <w:tcPr>
            <w:tcW w:w="605" w:type="pct"/>
            <w:tcBorders>
              <w:top w:val="single" w:color="000000" w:sz="12" w:space="0"/>
              <w:left w:val="nil"/>
              <w:bottom w:val="single" w:color="000000" w:sz="4" w:space="0"/>
              <w:right w:val="nil"/>
            </w:tcBorders>
            <w:shd w:val="clear" w:color="auto" w:fill="FFFFFF"/>
            <w:vAlign w:val="center"/>
          </w:tcPr>
          <w:p w14:paraId="7CF3006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核心技术/产品</w:t>
            </w:r>
          </w:p>
        </w:tc>
        <w:tc>
          <w:tcPr>
            <w:tcW w:w="539" w:type="pct"/>
            <w:tcBorders>
              <w:top w:val="single" w:color="000000" w:sz="12" w:space="0"/>
              <w:left w:val="nil"/>
              <w:bottom w:val="single" w:color="000000" w:sz="4" w:space="0"/>
              <w:right w:val="nil"/>
            </w:tcBorders>
            <w:shd w:val="clear" w:color="auto" w:fill="FFFFFF"/>
            <w:vAlign w:val="center"/>
          </w:tcPr>
          <w:p w14:paraId="7F46C68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市场定位</w:t>
            </w:r>
          </w:p>
        </w:tc>
        <w:tc>
          <w:tcPr>
            <w:tcW w:w="1106" w:type="pct"/>
            <w:tcBorders>
              <w:top w:val="single" w:color="000000" w:sz="12" w:space="0"/>
              <w:left w:val="nil"/>
              <w:bottom w:val="single" w:color="000000" w:sz="4" w:space="0"/>
              <w:right w:val="nil"/>
            </w:tcBorders>
            <w:shd w:val="clear" w:color="auto" w:fill="FFFFFF"/>
            <w:vAlign w:val="center"/>
          </w:tcPr>
          <w:p w14:paraId="01845A7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核心优势</w:t>
            </w:r>
          </w:p>
        </w:tc>
        <w:tc>
          <w:tcPr>
            <w:tcW w:w="1206" w:type="pct"/>
            <w:tcBorders>
              <w:top w:val="single" w:color="000000" w:sz="12" w:space="0"/>
              <w:left w:val="nil"/>
              <w:bottom w:val="single" w:color="000000" w:sz="4" w:space="0"/>
              <w:right w:val="nil"/>
            </w:tcBorders>
            <w:shd w:val="clear" w:color="auto" w:fill="FFFFFF"/>
            <w:vAlign w:val="center"/>
          </w:tcPr>
          <w:p w14:paraId="6BA5376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主要劣势</w:t>
            </w:r>
          </w:p>
        </w:tc>
        <w:tc>
          <w:tcPr>
            <w:tcW w:w="496" w:type="pct"/>
            <w:tcBorders>
              <w:top w:val="single" w:color="000000" w:sz="12" w:space="0"/>
              <w:left w:val="nil"/>
              <w:bottom w:val="single" w:color="000000" w:sz="4" w:space="0"/>
              <w:right w:val="nil"/>
            </w:tcBorders>
            <w:shd w:val="clear" w:color="auto" w:fill="FFFFFF"/>
            <w:vAlign w:val="center"/>
          </w:tcPr>
          <w:p w14:paraId="44BCF0E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竞争压力</w:t>
            </w:r>
          </w:p>
        </w:tc>
      </w:tr>
      <w:tr w14:paraId="7B12C2F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05" w:hRule="atLeast"/>
        </w:trPr>
        <w:tc>
          <w:tcPr>
            <w:tcW w:w="777" w:type="pct"/>
            <w:tcBorders>
              <w:top w:val="single" w:color="000000" w:sz="4" w:space="0"/>
              <w:left w:val="nil"/>
              <w:bottom w:val="nil"/>
              <w:right w:val="nil"/>
            </w:tcBorders>
            <w:shd w:val="clear" w:color="auto" w:fill="FFFFFF"/>
            <w:vAlign w:val="center"/>
          </w:tcPr>
          <w:p w14:paraId="4ABF0ADB">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国际竞争对手</w:t>
            </w:r>
          </w:p>
        </w:tc>
        <w:tc>
          <w:tcPr>
            <w:tcW w:w="267" w:type="pct"/>
            <w:tcBorders>
              <w:top w:val="single" w:color="000000" w:sz="4" w:space="0"/>
              <w:left w:val="nil"/>
              <w:bottom w:val="nil"/>
              <w:right w:val="nil"/>
            </w:tcBorders>
            <w:shd w:val="clear" w:color="auto" w:fill="FFFFFF"/>
            <w:vAlign w:val="center"/>
          </w:tcPr>
          <w:p w14:paraId="261815E8">
            <w:pPr>
              <w:pStyle w:val="37"/>
              <w:spacing w:before="60" w:after="60"/>
              <w:jc w:val="center"/>
              <w:rPr>
                <w:rFonts w:ascii="Times New Roman" w:hAnsi="Times New Roman" w:eastAsia="宋体"/>
                <w:b w:val="0"/>
                <w:color w:val="000000"/>
                <w:sz w:val="22"/>
              </w:rPr>
            </w:pPr>
          </w:p>
        </w:tc>
        <w:tc>
          <w:tcPr>
            <w:tcW w:w="605" w:type="pct"/>
            <w:tcBorders>
              <w:top w:val="single" w:color="000000" w:sz="4" w:space="0"/>
              <w:left w:val="nil"/>
              <w:bottom w:val="nil"/>
              <w:right w:val="nil"/>
            </w:tcBorders>
            <w:shd w:val="clear" w:color="auto" w:fill="FFFFFF"/>
            <w:vAlign w:val="center"/>
          </w:tcPr>
          <w:p w14:paraId="6F5D149D">
            <w:pPr>
              <w:pStyle w:val="37"/>
              <w:spacing w:before="60" w:after="60"/>
              <w:jc w:val="center"/>
              <w:rPr>
                <w:rFonts w:ascii="Times New Roman" w:hAnsi="Times New Roman" w:eastAsia="宋体"/>
                <w:b w:val="0"/>
                <w:color w:val="000000"/>
                <w:sz w:val="22"/>
              </w:rPr>
            </w:pPr>
          </w:p>
        </w:tc>
        <w:tc>
          <w:tcPr>
            <w:tcW w:w="539" w:type="pct"/>
            <w:tcBorders>
              <w:top w:val="single" w:color="000000" w:sz="4" w:space="0"/>
              <w:left w:val="nil"/>
              <w:bottom w:val="nil"/>
              <w:right w:val="nil"/>
            </w:tcBorders>
            <w:shd w:val="clear" w:color="auto" w:fill="FFFFFF"/>
            <w:vAlign w:val="center"/>
          </w:tcPr>
          <w:p w14:paraId="3C88D097">
            <w:pPr>
              <w:pStyle w:val="37"/>
              <w:spacing w:before="60" w:after="60"/>
              <w:jc w:val="center"/>
              <w:rPr>
                <w:rFonts w:ascii="Times New Roman" w:hAnsi="Times New Roman" w:eastAsia="宋体"/>
                <w:b w:val="0"/>
                <w:color w:val="000000"/>
                <w:sz w:val="22"/>
              </w:rPr>
            </w:pPr>
          </w:p>
        </w:tc>
        <w:tc>
          <w:tcPr>
            <w:tcW w:w="1106" w:type="pct"/>
            <w:tcBorders>
              <w:top w:val="single" w:color="000000" w:sz="4" w:space="0"/>
              <w:left w:val="nil"/>
              <w:bottom w:val="nil"/>
              <w:right w:val="nil"/>
            </w:tcBorders>
            <w:shd w:val="clear" w:color="auto" w:fill="FFFFFF"/>
            <w:vAlign w:val="center"/>
          </w:tcPr>
          <w:p w14:paraId="0A01570A">
            <w:pPr>
              <w:pStyle w:val="37"/>
              <w:spacing w:before="60" w:after="60"/>
              <w:jc w:val="center"/>
              <w:rPr>
                <w:rFonts w:ascii="Times New Roman" w:hAnsi="Times New Roman" w:eastAsia="宋体"/>
                <w:b w:val="0"/>
                <w:color w:val="000000"/>
                <w:sz w:val="22"/>
              </w:rPr>
            </w:pPr>
          </w:p>
        </w:tc>
        <w:tc>
          <w:tcPr>
            <w:tcW w:w="1206" w:type="pct"/>
            <w:tcBorders>
              <w:top w:val="single" w:color="000000" w:sz="4" w:space="0"/>
              <w:left w:val="nil"/>
              <w:bottom w:val="nil"/>
              <w:right w:val="nil"/>
            </w:tcBorders>
            <w:shd w:val="clear" w:color="auto" w:fill="FFFFFF"/>
            <w:vAlign w:val="center"/>
          </w:tcPr>
          <w:p w14:paraId="2D5D621C">
            <w:pPr>
              <w:pStyle w:val="37"/>
              <w:spacing w:before="60" w:after="60"/>
              <w:jc w:val="center"/>
              <w:rPr>
                <w:rFonts w:ascii="Times New Roman" w:hAnsi="Times New Roman" w:eastAsia="宋体"/>
                <w:b w:val="0"/>
                <w:color w:val="000000"/>
                <w:sz w:val="22"/>
              </w:rPr>
            </w:pPr>
          </w:p>
        </w:tc>
        <w:tc>
          <w:tcPr>
            <w:tcW w:w="496" w:type="pct"/>
            <w:tcBorders>
              <w:top w:val="single" w:color="000000" w:sz="4" w:space="0"/>
              <w:left w:val="nil"/>
              <w:bottom w:val="nil"/>
              <w:right w:val="nil"/>
            </w:tcBorders>
            <w:shd w:val="clear" w:color="auto" w:fill="FFFFFF"/>
            <w:vAlign w:val="center"/>
          </w:tcPr>
          <w:p w14:paraId="2FC87C8D">
            <w:pPr>
              <w:pStyle w:val="37"/>
              <w:spacing w:before="60" w:after="60"/>
              <w:jc w:val="center"/>
              <w:rPr>
                <w:rFonts w:ascii="Times New Roman" w:hAnsi="Times New Roman" w:eastAsia="宋体"/>
                <w:b w:val="0"/>
                <w:color w:val="000000"/>
                <w:sz w:val="22"/>
              </w:rPr>
            </w:pPr>
          </w:p>
        </w:tc>
      </w:tr>
      <w:tr w14:paraId="1697573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05" w:hRule="atLeast"/>
        </w:trPr>
        <w:tc>
          <w:tcPr>
            <w:tcW w:w="777" w:type="pct"/>
            <w:tcBorders>
              <w:top w:val="nil"/>
              <w:left w:val="nil"/>
              <w:bottom w:val="nil"/>
              <w:right w:val="nil"/>
            </w:tcBorders>
            <w:shd w:val="clear" w:color="auto" w:fill="FFFFFF"/>
            <w:vAlign w:val="center"/>
          </w:tcPr>
          <w:p w14:paraId="50177920">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德国GOM公司</w:t>
            </w:r>
          </w:p>
        </w:tc>
        <w:tc>
          <w:tcPr>
            <w:tcW w:w="267" w:type="pct"/>
            <w:tcBorders>
              <w:top w:val="nil"/>
              <w:left w:val="nil"/>
              <w:bottom w:val="nil"/>
              <w:right w:val="nil"/>
            </w:tcBorders>
            <w:shd w:val="clear" w:color="auto" w:fill="FFFFFF"/>
            <w:vAlign w:val="center"/>
          </w:tcPr>
          <w:p w14:paraId="2CA37ECF">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德国</w:t>
            </w:r>
          </w:p>
        </w:tc>
        <w:tc>
          <w:tcPr>
            <w:tcW w:w="605" w:type="pct"/>
            <w:tcBorders>
              <w:top w:val="nil"/>
              <w:left w:val="nil"/>
              <w:bottom w:val="nil"/>
              <w:right w:val="nil"/>
            </w:tcBorders>
            <w:shd w:val="clear" w:color="auto" w:fill="FFFFFF"/>
            <w:vAlign w:val="center"/>
          </w:tcPr>
          <w:p w14:paraId="6C5C6326">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ATOS系列三维扫描仪</w:t>
            </w:r>
          </w:p>
        </w:tc>
        <w:tc>
          <w:tcPr>
            <w:tcW w:w="539" w:type="pct"/>
            <w:tcBorders>
              <w:top w:val="nil"/>
              <w:left w:val="nil"/>
              <w:bottom w:val="nil"/>
              <w:right w:val="nil"/>
            </w:tcBorders>
            <w:shd w:val="clear" w:color="auto" w:fill="FFFFFF"/>
            <w:vAlign w:val="center"/>
          </w:tcPr>
          <w:p w14:paraId="46D93ED7">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高端科研和工业应用</w:t>
            </w:r>
          </w:p>
        </w:tc>
        <w:tc>
          <w:tcPr>
            <w:tcW w:w="1106" w:type="pct"/>
            <w:tcBorders>
              <w:top w:val="nil"/>
              <w:left w:val="nil"/>
              <w:bottom w:val="nil"/>
              <w:right w:val="nil"/>
            </w:tcBorders>
            <w:shd w:val="clear" w:color="auto" w:fill="FFFFFF"/>
            <w:vAlign w:val="center"/>
          </w:tcPr>
          <w:p w14:paraId="35913730">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技术积累深厚，品牌影响力强，全球销售网络完善</w:t>
            </w:r>
          </w:p>
        </w:tc>
        <w:tc>
          <w:tcPr>
            <w:tcW w:w="1206" w:type="pct"/>
            <w:tcBorders>
              <w:top w:val="nil"/>
              <w:left w:val="nil"/>
              <w:bottom w:val="nil"/>
              <w:right w:val="nil"/>
            </w:tcBorders>
            <w:shd w:val="clear" w:color="auto" w:fill="FFFFFF"/>
            <w:vAlign w:val="center"/>
          </w:tcPr>
          <w:p w14:paraId="0DA73C26">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价格昂贵（设备价格通常在100万元以上），对中国市场响应慢，产品标准化程度低</w:t>
            </w:r>
          </w:p>
        </w:tc>
        <w:tc>
          <w:tcPr>
            <w:tcW w:w="496" w:type="pct"/>
            <w:tcBorders>
              <w:top w:val="nil"/>
              <w:left w:val="nil"/>
              <w:bottom w:val="nil"/>
              <w:right w:val="nil"/>
            </w:tcBorders>
            <w:shd w:val="clear" w:color="auto" w:fill="FFFFFF"/>
            <w:vAlign w:val="center"/>
          </w:tcPr>
          <w:p w14:paraId="07B1A4C4">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高端市场技术压制和品牌压制</w:t>
            </w:r>
          </w:p>
        </w:tc>
      </w:tr>
      <w:tr w14:paraId="7B03001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05" w:hRule="atLeast"/>
        </w:trPr>
        <w:tc>
          <w:tcPr>
            <w:tcW w:w="777" w:type="pct"/>
            <w:tcBorders>
              <w:top w:val="nil"/>
              <w:left w:val="nil"/>
              <w:bottom w:val="nil"/>
              <w:right w:val="nil"/>
            </w:tcBorders>
            <w:shd w:val="clear" w:color="auto" w:fill="FFFFFF"/>
            <w:vAlign w:val="center"/>
          </w:tcPr>
          <w:p w14:paraId="671EEF6F">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美国Correlated Solutions</w:t>
            </w:r>
          </w:p>
        </w:tc>
        <w:tc>
          <w:tcPr>
            <w:tcW w:w="267" w:type="pct"/>
            <w:tcBorders>
              <w:top w:val="nil"/>
              <w:left w:val="nil"/>
              <w:bottom w:val="nil"/>
              <w:right w:val="nil"/>
            </w:tcBorders>
            <w:shd w:val="clear" w:color="auto" w:fill="FFFFFF"/>
            <w:vAlign w:val="center"/>
          </w:tcPr>
          <w:p w14:paraId="7D37F8B6">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美国</w:t>
            </w:r>
          </w:p>
        </w:tc>
        <w:tc>
          <w:tcPr>
            <w:tcW w:w="605" w:type="pct"/>
            <w:tcBorders>
              <w:top w:val="nil"/>
              <w:left w:val="nil"/>
              <w:bottom w:val="nil"/>
              <w:right w:val="nil"/>
            </w:tcBorders>
            <w:shd w:val="clear" w:color="auto" w:fill="FFFFFF"/>
            <w:vAlign w:val="center"/>
          </w:tcPr>
          <w:p w14:paraId="354C9D52">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Vic-3D系列DIC系统</w:t>
            </w:r>
          </w:p>
        </w:tc>
        <w:tc>
          <w:tcPr>
            <w:tcW w:w="539" w:type="pct"/>
            <w:tcBorders>
              <w:top w:val="nil"/>
              <w:left w:val="nil"/>
              <w:bottom w:val="nil"/>
              <w:right w:val="nil"/>
            </w:tcBorders>
            <w:shd w:val="clear" w:color="auto" w:fill="FFFFFF"/>
            <w:vAlign w:val="center"/>
          </w:tcPr>
          <w:p w14:paraId="6FD522BF">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科研机构和高端工业用户</w:t>
            </w:r>
          </w:p>
        </w:tc>
        <w:tc>
          <w:tcPr>
            <w:tcW w:w="1106" w:type="pct"/>
            <w:tcBorders>
              <w:top w:val="nil"/>
              <w:left w:val="nil"/>
              <w:bottom w:val="nil"/>
              <w:right w:val="nil"/>
            </w:tcBorders>
            <w:shd w:val="clear" w:color="auto" w:fill="FFFFFF"/>
            <w:vAlign w:val="center"/>
          </w:tcPr>
          <w:p w14:paraId="4884CF16">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软件算法先进，测量精度高，学术影响力强</w:t>
            </w:r>
          </w:p>
        </w:tc>
        <w:tc>
          <w:tcPr>
            <w:tcW w:w="1206" w:type="pct"/>
            <w:tcBorders>
              <w:top w:val="nil"/>
              <w:left w:val="nil"/>
              <w:bottom w:val="nil"/>
              <w:right w:val="nil"/>
            </w:tcBorders>
            <w:shd w:val="clear" w:color="auto" w:fill="FFFFFF"/>
            <w:vAlign w:val="center"/>
          </w:tcPr>
          <w:p w14:paraId="30A94D51">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硬件依赖第三方，系统集成度低，市场推广不足</w:t>
            </w:r>
          </w:p>
        </w:tc>
        <w:tc>
          <w:tcPr>
            <w:tcW w:w="496" w:type="pct"/>
            <w:tcBorders>
              <w:top w:val="nil"/>
              <w:left w:val="nil"/>
              <w:bottom w:val="nil"/>
              <w:right w:val="nil"/>
            </w:tcBorders>
            <w:shd w:val="clear" w:color="auto" w:fill="FFFFFF"/>
            <w:vAlign w:val="center"/>
          </w:tcPr>
          <w:p w14:paraId="4E9EA36E">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高端科研市场技术竞争</w:t>
            </w:r>
          </w:p>
        </w:tc>
      </w:tr>
      <w:tr w14:paraId="79279D6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05" w:hRule="atLeast"/>
        </w:trPr>
        <w:tc>
          <w:tcPr>
            <w:tcW w:w="777" w:type="pct"/>
            <w:tcBorders>
              <w:top w:val="nil"/>
              <w:left w:val="nil"/>
              <w:bottom w:val="nil"/>
              <w:right w:val="nil"/>
            </w:tcBorders>
            <w:shd w:val="clear" w:color="auto" w:fill="FFFFFF"/>
            <w:vAlign w:val="center"/>
          </w:tcPr>
          <w:p w14:paraId="1F24B9FC">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日本Keyence公司</w:t>
            </w:r>
          </w:p>
        </w:tc>
        <w:tc>
          <w:tcPr>
            <w:tcW w:w="267" w:type="pct"/>
            <w:tcBorders>
              <w:top w:val="nil"/>
              <w:left w:val="nil"/>
              <w:bottom w:val="nil"/>
              <w:right w:val="nil"/>
            </w:tcBorders>
            <w:shd w:val="clear" w:color="auto" w:fill="FFFFFF"/>
            <w:vAlign w:val="center"/>
          </w:tcPr>
          <w:p w14:paraId="6409AFF0">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日本</w:t>
            </w:r>
          </w:p>
        </w:tc>
        <w:tc>
          <w:tcPr>
            <w:tcW w:w="605" w:type="pct"/>
            <w:tcBorders>
              <w:top w:val="nil"/>
              <w:left w:val="nil"/>
              <w:bottom w:val="nil"/>
              <w:right w:val="nil"/>
            </w:tcBorders>
            <w:shd w:val="clear" w:color="auto" w:fill="FFFFFF"/>
            <w:vAlign w:val="center"/>
          </w:tcPr>
          <w:p w14:paraId="283B367A">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多维视觉测量系统</w:t>
            </w:r>
          </w:p>
        </w:tc>
        <w:tc>
          <w:tcPr>
            <w:tcW w:w="539" w:type="pct"/>
            <w:tcBorders>
              <w:top w:val="nil"/>
              <w:left w:val="nil"/>
              <w:bottom w:val="nil"/>
              <w:right w:val="nil"/>
            </w:tcBorders>
            <w:shd w:val="clear" w:color="auto" w:fill="FFFFFF"/>
            <w:vAlign w:val="center"/>
          </w:tcPr>
          <w:p w14:paraId="37A21471">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工业自动化市场</w:t>
            </w:r>
          </w:p>
        </w:tc>
        <w:tc>
          <w:tcPr>
            <w:tcW w:w="1106" w:type="pct"/>
            <w:tcBorders>
              <w:top w:val="nil"/>
              <w:left w:val="nil"/>
              <w:bottom w:val="nil"/>
              <w:right w:val="nil"/>
            </w:tcBorders>
            <w:shd w:val="clear" w:color="auto" w:fill="FFFFFF"/>
            <w:vAlign w:val="center"/>
          </w:tcPr>
          <w:p w14:paraId="6D516A31">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产品线丰富，市场响应快，服务网络完善</w:t>
            </w:r>
          </w:p>
        </w:tc>
        <w:tc>
          <w:tcPr>
            <w:tcW w:w="1206" w:type="pct"/>
            <w:tcBorders>
              <w:top w:val="nil"/>
              <w:left w:val="nil"/>
              <w:bottom w:val="nil"/>
              <w:right w:val="nil"/>
            </w:tcBorders>
            <w:shd w:val="clear" w:color="auto" w:fill="FFFFFF"/>
            <w:vAlign w:val="center"/>
          </w:tcPr>
          <w:p w14:paraId="3D3717F7">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DIC非核心业务，技术深度有限，定制化能力弱</w:t>
            </w:r>
          </w:p>
        </w:tc>
        <w:tc>
          <w:tcPr>
            <w:tcW w:w="496" w:type="pct"/>
            <w:tcBorders>
              <w:top w:val="nil"/>
              <w:left w:val="nil"/>
              <w:bottom w:val="nil"/>
              <w:right w:val="nil"/>
            </w:tcBorders>
            <w:shd w:val="clear" w:color="auto" w:fill="FFFFFF"/>
            <w:vAlign w:val="center"/>
          </w:tcPr>
          <w:p w14:paraId="45F060B2">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中端市场产品线竞争</w:t>
            </w:r>
          </w:p>
        </w:tc>
      </w:tr>
      <w:tr w14:paraId="3EECF68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05" w:hRule="atLeast"/>
        </w:trPr>
        <w:tc>
          <w:tcPr>
            <w:tcW w:w="777" w:type="pct"/>
            <w:tcBorders>
              <w:top w:val="nil"/>
              <w:left w:val="nil"/>
              <w:bottom w:val="nil"/>
              <w:right w:val="nil"/>
            </w:tcBorders>
            <w:shd w:val="clear" w:color="auto" w:fill="FFFFFF"/>
            <w:vAlign w:val="center"/>
          </w:tcPr>
          <w:p w14:paraId="3CBA622E">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bCs/>
                <w:color w:val="000000"/>
                <w:sz w:val="22"/>
              </w:rPr>
              <w:t>国内竞争对手</w:t>
            </w:r>
          </w:p>
        </w:tc>
        <w:tc>
          <w:tcPr>
            <w:tcW w:w="267" w:type="pct"/>
            <w:tcBorders>
              <w:top w:val="nil"/>
              <w:left w:val="nil"/>
              <w:bottom w:val="nil"/>
              <w:right w:val="nil"/>
            </w:tcBorders>
            <w:shd w:val="clear" w:color="auto" w:fill="FFFFFF"/>
            <w:vAlign w:val="center"/>
          </w:tcPr>
          <w:p w14:paraId="5DA76726">
            <w:pPr>
              <w:pStyle w:val="37"/>
              <w:spacing w:before="60" w:after="60"/>
              <w:jc w:val="center"/>
              <w:rPr>
                <w:rFonts w:ascii="Times New Roman" w:hAnsi="Times New Roman" w:eastAsia="宋体" w:cstheme="minorBidi"/>
                <w:b w:val="0"/>
                <w:color w:val="000000"/>
                <w:sz w:val="22"/>
                <w:szCs w:val="24"/>
                <w:lang w:val="en-US" w:eastAsia="en-US" w:bidi="ar-SA"/>
              </w:rPr>
            </w:pPr>
          </w:p>
        </w:tc>
        <w:tc>
          <w:tcPr>
            <w:tcW w:w="605" w:type="pct"/>
            <w:tcBorders>
              <w:top w:val="nil"/>
              <w:left w:val="nil"/>
              <w:bottom w:val="nil"/>
              <w:right w:val="nil"/>
            </w:tcBorders>
            <w:shd w:val="clear" w:color="auto" w:fill="FFFFFF"/>
            <w:vAlign w:val="center"/>
          </w:tcPr>
          <w:p w14:paraId="3EFFE848">
            <w:pPr>
              <w:pStyle w:val="37"/>
              <w:spacing w:before="60" w:after="60"/>
              <w:jc w:val="center"/>
              <w:rPr>
                <w:rFonts w:ascii="Times New Roman" w:hAnsi="Times New Roman" w:eastAsia="宋体" w:cstheme="minorBidi"/>
                <w:b w:val="0"/>
                <w:color w:val="000000"/>
                <w:sz w:val="22"/>
                <w:szCs w:val="24"/>
                <w:lang w:val="en-US" w:eastAsia="en-US" w:bidi="ar-SA"/>
              </w:rPr>
            </w:pPr>
          </w:p>
        </w:tc>
        <w:tc>
          <w:tcPr>
            <w:tcW w:w="539" w:type="pct"/>
            <w:tcBorders>
              <w:top w:val="nil"/>
              <w:left w:val="nil"/>
              <w:bottom w:val="nil"/>
              <w:right w:val="nil"/>
            </w:tcBorders>
            <w:shd w:val="clear" w:color="auto" w:fill="FFFFFF"/>
            <w:vAlign w:val="center"/>
          </w:tcPr>
          <w:p w14:paraId="57FE4A45">
            <w:pPr>
              <w:pStyle w:val="37"/>
              <w:spacing w:before="60" w:after="60"/>
              <w:jc w:val="center"/>
              <w:rPr>
                <w:rFonts w:ascii="Times New Roman" w:hAnsi="Times New Roman" w:eastAsia="宋体" w:cstheme="minorBidi"/>
                <w:b w:val="0"/>
                <w:color w:val="000000"/>
                <w:sz w:val="22"/>
                <w:szCs w:val="24"/>
                <w:lang w:val="en-US" w:eastAsia="en-US" w:bidi="ar-SA"/>
              </w:rPr>
            </w:pPr>
          </w:p>
        </w:tc>
        <w:tc>
          <w:tcPr>
            <w:tcW w:w="1106" w:type="pct"/>
            <w:tcBorders>
              <w:top w:val="nil"/>
              <w:left w:val="nil"/>
              <w:bottom w:val="nil"/>
              <w:right w:val="nil"/>
            </w:tcBorders>
            <w:shd w:val="clear" w:color="auto" w:fill="FFFFFF"/>
            <w:vAlign w:val="center"/>
          </w:tcPr>
          <w:p w14:paraId="53724D9D">
            <w:pPr>
              <w:pStyle w:val="37"/>
              <w:spacing w:before="60" w:after="60"/>
              <w:jc w:val="center"/>
              <w:rPr>
                <w:rFonts w:ascii="Times New Roman" w:hAnsi="Times New Roman" w:eastAsia="宋体" w:cstheme="minorBidi"/>
                <w:b w:val="0"/>
                <w:color w:val="000000"/>
                <w:sz w:val="22"/>
                <w:szCs w:val="24"/>
                <w:lang w:val="en-US" w:eastAsia="en-US" w:bidi="ar-SA"/>
              </w:rPr>
            </w:pPr>
          </w:p>
        </w:tc>
        <w:tc>
          <w:tcPr>
            <w:tcW w:w="1206" w:type="pct"/>
            <w:tcBorders>
              <w:top w:val="nil"/>
              <w:left w:val="nil"/>
              <w:bottom w:val="nil"/>
              <w:right w:val="nil"/>
            </w:tcBorders>
            <w:shd w:val="clear" w:color="auto" w:fill="FFFFFF"/>
            <w:vAlign w:val="center"/>
          </w:tcPr>
          <w:p w14:paraId="2E0A93A1">
            <w:pPr>
              <w:pStyle w:val="37"/>
              <w:spacing w:before="60" w:after="60"/>
              <w:jc w:val="center"/>
              <w:rPr>
                <w:rFonts w:ascii="Times New Roman" w:hAnsi="Times New Roman" w:eastAsia="宋体" w:cstheme="minorBidi"/>
                <w:b w:val="0"/>
                <w:color w:val="000000"/>
                <w:sz w:val="22"/>
                <w:szCs w:val="24"/>
                <w:lang w:val="en-US" w:eastAsia="en-US" w:bidi="ar-SA"/>
              </w:rPr>
            </w:pPr>
          </w:p>
        </w:tc>
        <w:tc>
          <w:tcPr>
            <w:tcW w:w="496" w:type="pct"/>
            <w:tcBorders>
              <w:top w:val="nil"/>
              <w:left w:val="nil"/>
              <w:bottom w:val="nil"/>
              <w:right w:val="nil"/>
            </w:tcBorders>
            <w:shd w:val="clear" w:color="auto" w:fill="FFFFFF"/>
            <w:vAlign w:val="center"/>
          </w:tcPr>
          <w:p w14:paraId="3ED999E5">
            <w:pPr>
              <w:pStyle w:val="37"/>
              <w:spacing w:before="60" w:after="60"/>
              <w:jc w:val="center"/>
              <w:rPr>
                <w:rFonts w:ascii="Times New Roman" w:hAnsi="Times New Roman" w:eastAsia="宋体" w:cstheme="minorBidi"/>
                <w:b w:val="0"/>
                <w:color w:val="000000"/>
                <w:sz w:val="22"/>
                <w:szCs w:val="24"/>
                <w:lang w:val="en-US" w:eastAsia="en-US" w:bidi="ar-SA"/>
              </w:rPr>
            </w:pPr>
          </w:p>
        </w:tc>
      </w:tr>
      <w:tr w14:paraId="1825017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05" w:hRule="atLeast"/>
        </w:trPr>
        <w:tc>
          <w:tcPr>
            <w:tcW w:w="777" w:type="pct"/>
            <w:tcBorders>
              <w:top w:val="nil"/>
              <w:left w:val="nil"/>
              <w:bottom w:val="single" w:color="000000" w:sz="12" w:space="0"/>
              <w:right w:val="nil"/>
            </w:tcBorders>
            <w:shd w:val="clear" w:color="auto" w:fill="FFFFFF"/>
            <w:vAlign w:val="center"/>
          </w:tcPr>
          <w:p w14:paraId="0E368C3C">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亿维股份（亿维锐创）</w:t>
            </w:r>
          </w:p>
        </w:tc>
        <w:tc>
          <w:tcPr>
            <w:tcW w:w="267" w:type="pct"/>
            <w:tcBorders>
              <w:top w:val="nil"/>
              <w:left w:val="nil"/>
              <w:bottom w:val="single" w:color="000000" w:sz="12" w:space="0"/>
              <w:right w:val="nil"/>
            </w:tcBorders>
            <w:shd w:val="clear" w:color="auto" w:fill="FFFFFF"/>
            <w:vAlign w:val="center"/>
          </w:tcPr>
          <w:p w14:paraId="003CD911">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中国</w:t>
            </w:r>
          </w:p>
        </w:tc>
        <w:tc>
          <w:tcPr>
            <w:tcW w:w="605" w:type="pct"/>
            <w:tcBorders>
              <w:top w:val="nil"/>
              <w:left w:val="nil"/>
              <w:bottom w:val="single" w:color="000000" w:sz="12" w:space="0"/>
              <w:right w:val="nil"/>
            </w:tcBorders>
            <w:shd w:val="clear" w:color="auto" w:fill="FFFFFF"/>
            <w:vAlign w:val="center"/>
          </w:tcPr>
          <w:p w14:paraId="5B724800">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AI在线视觉监测仪</w:t>
            </w:r>
          </w:p>
        </w:tc>
        <w:tc>
          <w:tcPr>
            <w:tcW w:w="539" w:type="pct"/>
            <w:tcBorders>
              <w:top w:val="nil"/>
              <w:left w:val="nil"/>
              <w:bottom w:val="single" w:color="000000" w:sz="12" w:space="0"/>
              <w:right w:val="nil"/>
            </w:tcBorders>
            <w:shd w:val="clear" w:color="auto" w:fill="FFFFFF"/>
            <w:vAlign w:val="center"/>
          </w:tcPr>
          <w:p w14:paraId="1300F014">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交通基础设施安全监测</w:t>
            </w:r>
          </w:p>
        </w:tc>
        <w:tc>
          <w:tcPr>
            <w:tcW w:w="1106" w:type="pct"/>
            <w:tcBorders>
              <w:top w:val="nil"/>
              <w:left w:val="nil"/>
              <w:bottom w:val="single" w:color="000000" w:sz="12" w:space="0"/>
              <w:right w:val="nil"/>
            </w:tcBorders>
            <w:shd w:val="clear" w:color="auto" w:fill="FFFFFF"/>
            <w:vAlign w:val="center"/>
          </w:tcPr>
          <w:p w14:paraId="1E5C863C">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AI视觉监测技术领先，斜光轴DIC技术获2025年中国公路学会技术创新一等奖</w:t>
            </w:r>
          </w:p>
        </w:tc>
        <w:tc>
          <w:tcPr>
            <w:tcW w:w="1206" w:type="pct"/>
            <w:tcBorders>
              <w:top w:val="nil"/>
              <w:left w:val="nil"/>
              <w:bottom w:val="single" w:color="000000" w:sz="12" w:space="0"/>
              <w:right w:val="nil"/>
            </w:tcBorders>
            <w:shd w:val="clear" w:color="auto" w:fill="FFFFFF"/>
            <w:vAlign w:val="center"/>
          </w:tcPr>
          <w:p w14:paraId="515E002C">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成立时间较短，品牌影响力仍在建立中，产品线相对单一</w:t>
            </w:r>
          </w:p>
        </w:tc>
        <w:tc>
          <w:tcPr>
            <w:tcW w:w="496" w:type="pct"/>
            <w:tcBorders>
              <w:top w:val="nil"/>
              <w:left w:val="nil"/>
              <w:bottom w:val="single" w:color="000000" w:sz="12" w:space="0"/>
              <w:right w:val="nil"/>
            </w:tcBorders>
            <w:shd w:val="clear" w:color="auto" w:fill="FFFFFF"/>
            <w:vAlign w:val="center"/>
          </w:tcPr>
          <w:p w14:paraId="77DAE30C">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交通监测领域的技术竞争</w:t>
            </w:r>
          </w:p>
        </w:tc>
      </w:tr>
    </w:tbl>
    <w:p w14:paraId="4B3FF390">
      <w:pPr>
        <w:pStyle w:val="4"/>
        <w:spacing w:before="240" w:after="120"/>
        <w:jc w:val="center"/>
      </w:pPr>
      <w:r>
        <w:rPr>
          <w:rFonts w:hint="eastAsia" w:ascii="Times New Roman" w:hAnsi="Times New Roman"/>
          <w:sz w:val="22"/>
          <w:lang w:eastAsia="zh-CN"/>
        </w:rPr>
        <w:t>续</w:t>
      </w:r>
      <w:r>
        <w:rPr>
          <w:rFonts w:ascii="Times New Roman" w:hAnsi="Times New Roman"/>
          <w:sz w:val="22"/>
        </w:rPr>
        <w:t>表3</w:t>
      </w:r>
      <w:r>
        <w:rPr>
          <w:rFonts w:hint="eastAsia" w:ascii="Times New Roman" w:hAnsi="Times New Roman"/>
          <w:sz w:val="22"/>
          <w:lang w:eastAsia="zh-CN"/>
        </w:rPr>
        <w:t>.</w:t>
      </w:r>
      <w:r>
        <w:rPr>
          <w:rFonts w:ascii="Times New Roman" w:hAnsi="Times New Roman"/>
          <w:sz w:val="22"/>
        </w:rPr>
        <w:t>2 视觉力学传感器主要企业概览对比表</w:t>
      </w:r>
    </w:p>
    <w:tbl>
      <w:tblPr>
        <w:tblStyle w:val="41"/>
        <w:tblW w:w="5000" w:type="pct"/>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426"/>
        <w:gridCol w:w="490"/>
        <w:gridCol w:w="1111"/>
        <w:gridCol w:w="989"/>
        <w:gridCol w:w="2030"/>
        <w:gridCol w:w="2214"/>
        <w:gridCol w:w="913"/>
      </w:tblGrid>
      <w:tr w14:paraId="2535066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777" w:type="pct"/>
            <w:tcBorders>
              <w:top w:val="single" w:color="000000" w:sz="12" w:space="0"/>
              <w:left w:val="nil"/>
              <w:bottom w:val="single" w:color="000000" w:sz="4" w:space="0"/>
              <w:right w:val="nil"/>
              <w:tl2br w:val="nil"/>
            </w:tcBorders>
            <w:shd w:val="clear" w:color="auto" w:fill="FFFFFF"/>
            <w:vAlign w:val="center"/>
          </w:tcPr>
          <w:p w14:paraId="372867A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企业名称</w:t>
            </w:r>
          </w:p>
        </w:tc>
        <w:tc>
          <w:tcPr>
            <w:tcW w:w="267" w:type="pct"/>
            <w:tcBorders>
              <w:top w:val="single" w:color="000000" w:sz="12" w:space="0"/>
              <w:left w:val="nil"/>
              <w:bottom w:val="single" w:color="000000" w:sz="4" w:space="0"/>
              <w:right w:val="nil"/>
            </w:tcBorders>
            <w:shd w:val="clear" w:color="auto" w:fill="FFFFFF"/>
            <w:vAlign w:val="center"/>
          </w:tcPr>
          <w:p w14:paraId="3B49D55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国别</w:t>
            </w:r>
          </w:p>
        </w:tc>
        <w:tc>
          <w:tcPr>
            <w:tcW w:w="605" w:type="pct"/>
            <w:tcBorders>
              <w:top w:val="single" w:color="000000" w:sz="12" w:space="0"/>
              <w:left w:val="nil"/>
              <w:bottom w:val="single" w:color="000000" w:sz="4" w:space="0"/>
              <w:right w:val="nil"/>
            </w:tcBorders>
            <w:shd w:val="clear" w:color="auto" w:fill="FFFFFF"/>
            <w:vAlign w:val="center"/>
          </w:tcPr>
          <w:p w14:paraId="4BA445A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核心技术/产品</w:t>
            </w:r>
          </w:p>
        </w:tc>
        <w:tc>
          <w:tcPr>
            <w:tcW w:w="539" w:type="pct"/>
            <w:tcBorders>
              <w:top w:val="single" w:color="000000" w:sz="12" w:space="0"/>
              <w:left w:val="nil"/>
              <w:bottom w:val="single" w:color="000000" w:sz="4" w:space="0"/>
              <w:right w:val="nil"/>
            </w:tcBorders>
            <w:shd w:val="clear" w:color="auto" w:fill="FFFFFF"/>
            <w:vAlign w:val="center"/>
          </w:tcPr>
          <w:p w14:paraId="198F3B3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市场定位</w:t>
            </w:r>
          </w:p>
        </w:tc>
        <w:tc>
          <w:tcPr>
            <w:tcW w:w="1106" w:type="pct"/>
            <w:tcBorders>
              <w:top w:val="single" w:color="000000" w:sz="12" w:space="0"/>
              <w:left w:val="nil"/>
              <w:bottom w:val="single" w:color="000000" w:sz="4" w:space="0"/>
              <w:right w:val="nil"/>
            </w:tcBorders>
            <w:shd w:val="clear" w:color="auto" w:fill="FFFFFF"/>
            <w:vAlign w:val="center"/>
          </w:tcPr>
          <w:p w14:paraId="6FCCA0A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核心优势</w:t>
            </w:r>
          </w:p>
        </w:tc>
        <w:tc>
          <w:tcPr>
            <w:tcW w:w="1206" w:type="pct"/>
            <w:tcBorders>
              <w:top w:val="single" w:color="000000" w:sz="12" w:space="0"/>
              <w:left w:val="nil"/>
              <w:bottom w:val="single" w:color="000000" w:sz="4" w:space="0"/>
              <w:right w:val="nil"/>
            </w:tcBorders>
            <w:shd w:val="clear" w:color="auto" w:fill="FFFFFF"/>
            <w:vAlign w:val="center"/>
          </w:tcPr>
          <w:p w14:paraId="50449A9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主要劣势</w:t>
            </w:r>
          </w:p>
        </w:tc>
        <w:tc>
          <w:tcPr>
            <w:tcW w:w="497" w:type="pct"/>
            <w:tcBorders>
              <w:top w:val="single" w:color="000000" w:sz="12" w:space="0"/>
              <w:left w:val="nil"/>
              <w:bottom w:val="single" w:color="000000" w:sz="4" w:space="0"/>
              <w:right w:val="nil"/>
            </w:tcBorders>
            <w:shd w:val="clear" w:color="auto" w:fill="FFFFFF"/>
            <w:vAlign w:val="center"/>
          </w:tcPr>
          <w:p w14:paraId="5E3DABA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竞争压力</w:t>
            </w:r>
          </w:p>
        </w:tc>
      </w:tr>
      <w:tr w14:paraId="29ABD72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777" w:type="pct"/>
            <w:tcBorders>
              <w:top w:val="single" w:color="000000" w:sz="4" w:space="0"/>
              <w:left w:val="nil"/>
              <w:bottom w:val="nil"/>
              <w:right w:val="nil"/>
            </w:tcBorders>
            <w:shd w:val="clear" w:color="auto" w:fill="FFFFFF"/>
            <w:vAlign w:val="center"/>
          </w:tcPr>
          <w:p w14:paraId="1501285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基康仪器</w:t>
            </w:r>
          </w:p>
        </w:tc>
        <w:tc>
          <w:tcPr>
            <w:tcW w:w="267" w:type="pct"/>
            <w:tcBorders>
              <w:top w:val="single" w:color="000000" w:sz="4" w:space="0"/>
              <w:left w:val="nil"/>
              <w:bottom w:val="nil"/>
              <w:right w:val="nil"/>
            </w:tcBorders>
            <w:shd w:val="clear" w:color="auto" w:fill="FFFFFF"/>
            <w:vAlign w:val="center"/>
          </w:tcPr>
          <w:p w14:paraId="2C5D9F9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w:t>
            </w:r>
          </w:p>
        </w:tc>
        <w:tc>
          <w:tcPr>
            <w:tcW w:w="605" w:type="pct"/>
            <w:tcBorders>
              <w:top w:val="single" w:color="000000" w:sz="4" w:space="0"/>
              <w:left w:val="nil"/>
              <w:bottom w:val="nil"/>
              <w:right w:val="nil"/>
            </w:tcBorders>
            <w:shd w:val="clear" w:color="auto" w:fill="FFFFFF"/>
            <w:vAlign w:val="center"/>
          </w:tcPr>
          <w:p w14:paraId="2ADD33C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机器视觉变形监测系统</w:t>
            </w:r>
          </w:p>
        </w:tc>
        <w:tc>
          <w:tcPr>
            <w:tcW w:w="539" w:type="pct"/>
            <w:tcBorders>
              <w:top w:val="single" w:color="000000" w:sz="4" w:space="0"/>
              <w:left w:val="nil"/>
              <w:bottom w:val="nil"/>
              <w:right w:val="nil"/>
            </w:tcBorders>
            <w:shd w:val="clear" w:color="auto" w:fill="FFFFFF"/>
            <w:vAlign w:val="center"/>
          </w:tcPr>
          <w:p w14:paraId="67C9EDB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智能安全监测终端和系统解决方案</w:t>
            </w:r>
          </w:p>
        </w:tc>
        <w:tc>
          <w:tcPr>
            <w:tcW w:w="1106" w:type="pct"/>
            <w:tcBorders>
              <w:top w:val="single" w:color="000000" w:sz="4" w:space="0"/>
              <w:left w:val="nil"/>
              <w:bottom w:val="nil"/>
              <w:right w:val="nil"/>
            </w:tcBorders>
            <w:shd w:val="clear" w:color="auto" w:fill="FFFFFF"/>
            <w:vAlign w:val="center"/>
          </w:tcPr>
          <w:p w14:paraId="52F6E50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国家级专精特新”小巨人”，水利能源、交通等行业应用广泛</w:t>
            </w:r>
          </w:p>
        </w:tc>
        <w:tc>
          <w:tcPr>
            <w:tcW w:w="1206" w:type="pct"/>
            <w:tcBorders>
              <w:top w:val="single" w:color="000000" w:sz="4" w:space="0"/>
              <w:left w:val="nil"/>
              <w:bottom w:val="nil"/>
              <w:right w:val="nil"/>
            </w:tcBorders>
            <w:shd w:val="clear" w:color="auto" w:fill="FFFFFF"/>
            <w:vAlign w:val="center"/>
          </w:tcPr>
          <w:p w14:paraId="44C3A8F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传统监测企业转型，视觉监测技术积累相对较浅</w:t>
            </w:r>
          </w:p>
        </w:tc>
        <w:tc>
          <w:tcPr>
            <w:tcW w:w="497" w:type="pct"/>
            <w:tcBorders>
              <w:top w:val="single" w:color="000000" w:sz="4" w:space="0"/>
              <w:left w:val="nil"/>
              <w:bottom w:val="nil"/>
              <w:right w:val="nil"/>
            </w:tcBorders>
            <w:shd w:val="clear" w:color="auto" w:fill="FFFFFF"/>
            <w:vAlign w:val="center"/>
          </w:tcPr>
          <w:p w14:paraId="39830C4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行业解决方案市场竞争</w:t>
            </w:r>
          </w:p>
        </w:tc>
      </w:tr>
      <w:tr w14:paraId="668C7B2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777" w:type="pct"/>
            <w:tcBorders>
              <w:top w:val="nil"/>
              <w:left w:val="nil"/>
              <w:bottom w:val="nil"/>
              <w:right w:val="nil"/>
            </w:tcBorders>
            <w:shd w:val="clear" w:color="auto" w:fill="FFFFFF"/>
            <w:vAlign w:val="center"/>
          </w:tcPr>
          <w:p w14:paraId="207744D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中科检测技术</w:t>
            </w:r>
          </w:p>
        </w:tc>
        <w:tc>
          <w:tcPr>
            <w:tcW w:w="267" w:type="pct"/>
            <w:tcBorders>
              <w:top w:val="nil"/>
              <w:left w:val="nil"/>
              <w:bottom w:val="nil"/>
              <w:right w:val="nil"/>
            </w:tcBorders>
            <w:shd w:val="clear" w:color="auto" w:fill="FFFFFF"/>
            <w:vAlign w:val="center"/>
          </w:tcPr>
          <w:p w14:paraId="4F69F1E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w:t>
            </w:r>
          </w:p>
        </w:tc>
        <w:tc>
          <w:tcPr>
            <w:tcW w:w="605" w:type="pct"/>
            <w:tcBorders>
              <w:top w:val="nil"/>
              <w:left w:val="nil"/>
              <w:bottom w:val="nil"/>
              <w:right w:val="nil"/>
            </w:tcBorders>
            <w:shd w:val="clear" w:color="auto" w:fill="FFFFFF"/>
            <w:vAlign w:val="center"/>
          </w:tcPr>
          <w:p w14:paraId="6A32E5B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综合检测服务</w:t>
            </w:r>
          </w:p>
        </w:tc>
        <w:tc>
          <w:tcPr>
            <w:tcW w:w="539" w:type="pct"/>
            <w:tcBorders>
              <w:top w:val="nil"/>
              <w:left w:val="nil"/>
              <w:bottom w:val="nil"/>
              <w:right w:val="nil"/>
            </w:tcBorders>
            <w:shd w:val="clear" w:color="auto" w:fill="FFFFFF"/>
            <w:vAlign w:val="center"/>
          </w:tcPr>
          <w:p w14:paraId="671F7E7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政府项目和大型企业检测服务</w:t>
            </w:r>
          </w:p>
        </w:tc>
        <w:tc>
          <w:tcPr>
            <w:tcW w:w="1106" w:type="pct"/>
            <w:tcBorders>
              <w:top w:val="nil"/>
              <w:left w:val="nil"/>
              <w:bottom w:val="nil"/>
              <w:right w:val="nil"/>
            </w:tcBorders>
            <w:shd w:val="clear" w:color="auto" w:fill="FFFFFF"/>
            <w:vAlign w:val="center"/>
          </w:tcPr>
          <w:p w14:paraId="44091F7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国有背景，资源丰富，检测资质齐全</w:t>
            </w:r>
          </w:p>
        </w:tc>
        <w:tc>
          <w:tcPr>
            <w:tcW w:w="1206" w:type="pct"/>
            <w:tcBorders>
              <w:top w:val="nil"/>
              <w:left w:val="nil"/>
              <w:bottom w:val="nil"/>
              <w:right w:val="nil"/>
            </w:tcBorders>
            <w:shd w:val="clear" w:color="auto" w:fill="FFFFFF"/>
            <w:vAlign w:val="center"/>
          </w:tcPr>
          <w:p w14:paraId="1A03CF9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技术创新不足，市场化程度低，响应速度慢</w:t>
            </w:r>
          </w:p>
        </w:tc>
        <w:tc>
          <w:tcPr>
            <w:tcW w:w="497" w:type="pct"/>
            <w:tcBorders>
              <w:top w:val="nil"/>
              <w:left w:val="nil"/>
              <w:bottom w:val="nil"/>
              <w:right w:val="nil"/>
            </w:tcBorders>
            <w:shd w:val="clear" w:color="auto" w:fill="FFFFFF"/>
            <w:vAlign w:val="center"/>
          </w:tcPr>
          <w:p w14:paraId="2474090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政府项目市场竞争</w:t>
            </w:r>
          </w:p>
        </w:tc>
      </w:tr>
      <w:tr w14:paraId="4DB8AA6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777" w:type="pct"/>
            <w:tcBorders>
              <w:top w:val="nil"/>
              <w:left w:val="nil"/>
              <w:bottom w:val="nil"/>
              <w:right w:val="nil"/>
            </w:tcBorders>
            <w:shd w:val="clear" w:color="auto" w:fill="FFFFFF"/>
            <w:vAlign w:val="center"/>
          </w:tcPr>
          <w:p w14:paraId="0E829A7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华测检测认证</w:t>
            </w:r>
          </w:p>
        </w:tc>
        <w:tc>
          <w:tcPr>
            <w:tcW w:w="267" w:type="pct"/>
            <w:tcBorders>
              <w:top w:val="nil"/>
              <w:left w:val="nil"/>
              <w:bottom w:val="nil"/>
              <w:right w:val="nil"/>
            </w:tcBorders>
            <w:shd w:val="clear" w:color="auto" w:fill="FFFFFF"/>
            <w:vAlign w:val="center"/>
          </w:tcPr>
          <w:p w14:paraId="375B8CC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w:t>
            </w:r>
          </w:p>
        </w:tc>
        <w:tc>
          <w:tcPr>
            <w:tcW w:w="605" w:type="pct"/>
            <w:tcBorders>
              <w:top w:val="nil"/>
              <w:left w:val="nil"/>
              <w:bottom w:val="nil"/>
              <w:right w:val="nil"/>
            </w:tcBorders>
            <w:shd w:val="clear" w:color="auto" w:fill="FFFFFF"/>
            <w:vAlign w:val="center"/>
          </w:tcPr>
          <w:p w14:paraId="4C78BA9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第三方检测服务</w:t>
            </w:r>
          </w:p>
        </w:tc>
        <w:tc>
          <w:tcPr>
            <w:tcW w:w="539" w:type="pct"/>
            <w:tcBorders>
              <w:top w:val="nil"/>
              <w:left w:val="nil"/>
              <w:bottom w:val="nil"/>
              <w:right w:val="nil"/>
            </w:tcBorders>
            <w:shd w:val="clear" w:color="auto" w:fill="FFFFFF"/>
            <w:vAlign w:val="center"/>
          </w:tcPr>
          <w:p w14:paraId="1CD2C01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综合检测服务提供商</w:t>
            </w:r>
          </w:p>
        </w:tc>
        <w:tc>
          <w:tcPr>
            <w:tcW w:w="1106" w:type="pct"/>
            <w:tcBorders>
              <w:top w:val="nil"/>
              <w:left w:val="nil"/>
              <w:bottom w:val="nil"/>
              <w:right w:val="nil"/>
            </w:tcBorders>
            <w:shd w:val="clear" w:color="auto" w:fill="FFFFFF"/>
            <w:vAlign w:val="center"/>
          </w:tcPr>
          <w:p w14:paraId="105189F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检测网络完善，品牌知名度高，资本实力强</w:t>
            </w:r>
          </w:p>
        </w:tc>
        <w:tc>
          <w:tcPr>
            <w:tcW w:w="1206" w:type="pct"/>
            <w:tcBorders>
              <w:top w:val="nil"/>
              <w:left w:val="nil"/>
              <w:bottom w:val="nil"/>
              <w:right w:val="nil"/>
            </w:tcBorders>
            <w:shd w:val="clear" w:color="auto" w:fill="FFFFFF"/>
            <w:vAlign w:val="center"/>
          </w:tcPr>
          <w:p w14:paraId="62C2837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DIC非核心业务，技术积累有限，产品化能力弱</w:t>
            </w:r>
          </w:p>
        </w:tc>
        <w:tc>
          <w:tcPr>
            <w:tcW w:w="497" w:type="pct"/>
            <w:tcBorders>
              <w:top w:val="nil"/>
              <w:left w:val="nil"/>
              <w:bottom w:val="nil"/>
              <w:right w:val="nil"/>
            </w:tcBorders>
            <w:shd w:val="clear" w:color="auto" w:fill="FFFFFF"/>
            <w:vAlign w:val="center"/>
          </w:tcPr>
          <w:p w14:paraId="7167955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检测服务市场竞争</w:t>
            </w:r>
          </w:p>
        </w:tc>
      </w:tr>
      <w:tr w14:paraId="2BAAAE1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777" w:type="pct"/>
            <w:tcBorders>
              <w:top w:val="nil"/>
              <w:left w:val="nil"/>
              <w:bottom w:val="single" w:color="000000" w:sz="12" w:space="0"/>
              <w:right w:val="nil"/>
            </w:tcBorders>
            <w:shd w:val="clear" w:color="auto" w:fill="FFFFFF"/>
            <w:vAlign w:val="center"/>
          </w:tcPr>
          <w:p w14:paraId="39238D97">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HSM公司</w:t>
            </w:r>
          </w:p>
        </w:tc>
        <w:tc>
          <w:tcPr>
            <w:tcW w:w="267" w:type="pct"/>
            <w:tcBorders>
              <w:top w:val="nil"/>
              <w:left w:val="nil"/>
              <w:bottom w:val="single" w:color="000000" w:sz="12" w:space="0"/>
              <w:right w:val="nil"/>
            </w:tcBorders>
            <w:shd w:val="clear" w:color="auto" w:fill="FFFFFF"/>
            <w:vAlign w:val="center"/>
          </w:tcPr>
          <w:p w14:paraId="5552E52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中国</w:t>
            </w:r>
          </w:p>
        </w:tc>
        <w:tc>
          <w:tcPr>
            <w:tcW w:w="605" w:type="pct"/>
            <w:tcBorders>
              <w:top w:val="nil"/>
              <w:left w:val="nil"/>
              <w:bottom w:val="single" w:color="000000" w:sz="12" w:space="0"/>
              <w:right w:val="nil"/>
            </w:tcBorders>
            <w:shd w:val="clear" w:color="auto" w:fill="FFFFFF"/>
            <w:vAlign w:val="center"/>
          </w:tcPr>
          <w:p w14:paraId="1145B3A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第三代DIC视觉传感器</w:t>
            </w:r>
          </w:p>
        </w:tc>
        <w:tc>
          <w:tcPr>
            <w:tcW w:w="539" w:type="pct"/>
            <w:tcBorders>
              <w:top w:val="nil"/>
              <w:left w:val="nil"/>
              <w:bottom w:val="single" w:color="000000" w:sz="12" w:space="0"/>
              <w:right w:val="nil"/>
            </w:tcBorders>
            <w:shd w:val="clear" w:color="auto" w:fill="FFFFFF"/>
            <w:vAlign w:val="center"/>
          </w:tcPr>
          <w:p w14:paraId="12D239C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全行业视觉力学测量解决方案</w:t>
            </w:r>
          </w:p>
        </w:tc>
        <w:tc>
          <w:tcPr>
            <w:tcW w:w="1106" w:type="pct"/>
            <w:tcBorders>
              <w:top w:val="nil"/>
              <w:left w:val="nil"/>
              <w:bottom w:val="single" w:color="000000" w:sz="12" w:space="0"/>
              <w:right w:val="nil"/>
            </w:tcBorders>
            <w:shd w:val="clear" w:color="auto" w:fill="FFFFFF"/>
            <w:vAlign w:val="center"/>
          </w:tcPr>
          <w:p w14:paraId="11EABB0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全球首创单目三维DIC技术，产品标准化程度高，成本优势明显</w:t>
            </w:r>
          </w:p>
        </w:tc>
        <w:tc>
          <w:tcPr>
            <w:tcW w:w="1206" w:type="pct"/>
            <w:tcBorders>
              <w:top w:val="nil"/>
              <w:left w:val="nil"/>
              <w:bottom w:val="single" w:color="000000" w:sz="12" w:space="0"/>
              <w:right w:val="nil"/>
            </w:tcBorders>
            <w:shd w:val="clear" w:color="auto" w:fill="FFFFFF"/>
            <w:vAlign w:val="center"/>
          </w:tcPr>
          <w:p w14:paraId="65FA523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规模相对较小，国际品牌影响力不足，高端人才短缺</w:t>
            </w:r>
          </w:p>
        </w:tc>
        <w:tc>
          <w:tcPr>
            <w:tcW w:w="497" w:type="pct"/>
            <w:tcBorders>
              <w:top w:val="nil"/>
              <w:left w:val="nil"/>
              <w:bottom w:val="single" w:color="000000" w:sz="12" w:space="0"/>
              <w:right w:val="nil"/>
            </w:tcBorders>
            <w:shd w:val="clear" w:color="auto" w:fill="FFFFFF"/>
            <w:vAlign w:val="center"/>
          </w:tcPr>
          <w:p w14:paraId="6E1AD52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差异化技术创新竞争</w:t>
            </w:r>
          </w:p>
        </w:tc>
      </w:tr>
    </w:tbl>
    <w:p w14:paraId="7FF6B8E8">
      <w:pPr>
        <w:pStyle w:val="36"/>
        <w:spacing w:before="0" w:after="0" w:line="400" w:lineRule="exact"/>
        <w:ind w:firstLine="480" w:firstLineChars="200"/>
        <w:jc w:val="both"/>
        <w:rPr>
          <w:rFonts w:ascii="Times New Roman" w:hAnsi="Times New Roman"/>
          <w:lang w:eastAsia="zh-CN"/>
        </w:rPr>
      </w:pPr>
      <w:r>
        <w:rPr>
          <w:rFonts w:ascii="Times New Roman" w:hAnsi="Times New Roman"/>
        </w:rPr>
        <w:t>竞争梯队分析：</w:t>
      </w:r>
    </w:p>
    <w:p w14:paraId="05FD0F87">
      <w:pPr>
        <w:pStyle w:val="36"/>
        <w:spacing w:before="0" w:after="0" w:line="400" w:lineRule="exact"/>
        <w:ind w:firstLine="480" w:firstLineChars="200"/>
        <w:jc w:val="both"/>
        <w:rPr>
          <w:rFonts w:ascii="Times New Roman" w:hAnsi="Times New Roman"/>
          <w:lang w:eastAsia="zh-CN"/>
        </w:rPr>
      </w:pPr>
      <w:r>
        <w:rPr>
          <w:rFonts w:ascii="Times New Roman" w:hAnsi="Times New Roman"/>
        </w:rPr>
        <w:t>第一梯队：国际巨头（GOM、Correlated Solutions等），技术领先但价格昂贵，主要占据高端科研和工业市场。</w:t>
      </w:r>
    </w:p>
    <w:p w14:paraId="6090DF55">
      <w:pPr>
        <w:pStyle w:val="36"/>
        <w:spacing w:before="0" w:after="0" w:line="400" w:lineRule="exact"/>
        <w:ind w:firstLine="480" w:firstLineChars="200"/>
        <w:jc w:val="both"/>
        <w:rPr>
          <w:rFonts w:ascii="Times New Roman" w:hAnsi="Times New Roman"/>
          <w:lang w:eastAsia="zh-CN"/>
        </w:rPr>
      </w:pPr>
      <w:r>
        <w:rPr>
          <w:rFonts w:ascii="Times New Roman" w:hAnsi="Times New Roman"/>
        </w:rPr>
        <w:t>第二梯队：国内领先企业（HSM、亿维股份、基康仪器等），技术接近国际水平，性价比高，在细分领域各有优势。</w:t>
      </w:r>
    </w:p>
    <w:p w14:paraId="5AEE08FE">
      <w:pPr>
        <w:pStyle w:val="36"/>
        <w:spacing w:before="0" w:after="0" w:line="400" w:lineRule="exact"/>
        <w:ind w:firstLine="480" w:firstLineChars="200"/>
        <w:jc w:val="both"/>
        <w:rPr>
          <w:rFonts w:ascii="Times New Roman" w:hAnsi="Times New Roman"/>
        </w:rPr>
      </w:pPr>
      <w:r>
        <w:rPr>
          <w:rFonts w:ascii="Times New Roman" w:hAnsi="Times New Roman"/>
        </w:rPr>
        <w:t>第三梯队：其他国内企业，技术相对落后，以价格竞争为主，市场份额分散。</w:t>
      </w:r>
    </w:p>
    <w:p w14:paraId="6305228F">
      <w:pPr>
        <w:pStyle w:val="36"/>
        <w:spacing w:before="0" w:after="0" w:line="400" w:lineRule="exact"/>
        <w:ind w:firstLine="480" w:firstLineChars="200"/>
        <w:jc w:val="both"/>
      </w:pPr>
      <w:r>
        <w:rPr>
          <w:rFonts w:ascii="Times New Roman" w:hAnsi="Times New Roman"/>
        </w:rPr>
        <w:t>对HSM的竞争启示：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bookmarkEnd w:id="60"/>
    <w:bookmarkEnd w:id="66"/>
    <w:p w14:paraId="7529E82E">
      <w:pPr>
        <w:pStyle w:val="3"/>
      </w:pPr>
      <w:bookmarkStart w:id="67" w:name="_Toc222822768"/>
      <w:bookmarkStart w:id="68" w:name="_Toc222913139"/>
      <w:bookmarkStart w:id="69" w:name="行业竞争环境波特五力分析"/>
      <w:r>
        <w:t>3.3 行业竞争环境波特五力分析</w:t>
      </w:r>
      <w:bookmarkEnd w:id="67"/>
      <w:bookmarkEnd w:id="68"/>
    </w:p>
    <w:p w14:paraId="36C1C312">
      <w:pPr>
        <w:pStyle w:val="36"/>
        <w:spacing w:before="0" w:after="0" w:line="400" w:lineRule="exact"/>
        <w:ind w:firstLine="480" w:firstLineChars="200"/>
        <w:jc w:val="both"/>
        <w:rPr>
          <w:rFonts w:ascii="Times New Roman" w:hAnsi="Times New Roman"/>
        </w:rPr>
      </w:pPr>
      <w:r>
        <w:rPr>
          <w:rFonts w:ascii="Times New Roman" w:hAnsi="Times New Roman"/>
        </w:rPr>
        <w:t>波特五力模型从五个维度分析行业的竞争强度，为HSM制定竞争战略提供依据。本部分采用1-5分量表对各项力量进行量化评估（1分为最弱，5分为最强），并给出相应的战略建议。</w:t>
      </w:r>
    </w:p>
    <w:p w14:paraId="3B08F0BE">
      <w:pPr>
        <w:pStyle w:val="5"/>
      </w:pPr>
      <w:bookmarkStart w:id="70" w:name="_Toc222913140"/>
      <w:bookmarkStart w:id="71" w:name="_Toc222822769"/>
      <w:bookmarkStart w:id="72" w:name="现有企业竞争程度"/>
      <w:r>
        <w:t>3.3.1 现有企业竞争程度</w:t>
      </w:r>
      <w:bookmarkEnd w:id="70"/>
      <w:bookmarkEnd w:id="71"/>
    </w:p>
    <w:p w14:paraId="19BD5B04">
      <w:pPr>
        <w:pStyle w:val="36"/>
        <w:spacing w:before="0" w:after="0" w:line="400" w:lineRule="exact"/>
        <w:ind w:firstLine="480" w:firstLineChars="200"/>
        <w:jc w:val="both"/>
        <w:rPr>
          <w:rFonts w:ascii="Times New Roman" w:hAnsi="Times New Roman"/>
        </w:rPr>
      </w:pPr>
      <w:r>
        <w:rPr>
          <w:rFonts w:ascii="Times New Roman" w:hAnsi="Times New Roman"/>
        </w:rPr>
        <w:t>竞争强度评分：4.8分（强烈竞争）</w:t>
      </w:r>
    </w:p>
    <w:p w14:paraId="1AECC30E">
      <w:pPr>
        <w:pStyle w:val="36"/>
        <w:spacing w:before="0" w:after="0" w:line="400" w:lineRule="exact"/>
        <w:ind w:firstLine="480" w:firstLineChars="200"/>
        <w:jc w:val="both"/>
        <w:rPr>
          <w:rFonts w:ascii="Times New Roman" w:hAnsi="Times New Roman"/>
        </w:rPr>
      </w:pPr>
      <w:r>
        <w:rPr>
          <w:rFonts w:ascii="Times New Roman" w:hAnsi="Times New Roman"/>
        </w:rPr>
        <w:t>现有企业之间的竞争是视觉力学传感器行业最主要的竞争力量，呈现出多层次、多维度的竞争格局。</w:t>
      </w:r>
    </w:p>
    <w:p w14:paraId="12AE760B">
      <w:pPr>
        <w:pStyle w:val="36"/>
        <w:spacing w:before="0" w:after="0" w:line="400" w:lineRule="exact"/>
        <w:ind w:firstLine="480" w:firstLineChars="200"/>
        <w:jc w:val="both"/>
        <w:rPr>
          <w:rFonts w:ascii="Times New Roman" w:hAnsi="Times New Roman"/>
          <w:lang w:eastAsia="zh-CN"/>
        </w:rPr>
      </w:pPr>
      <w:r>
        <w:rPr>
          <w:rFonts w:ascii="Times New Roman" w:hAnsi="Times New Roman"/>
        </w:rPr>
        <w:t>竞争特点分析：</w:t>
      </w:r>
    </w:p>
    <w:p w14:paraId="7416A2C9">
      <w:pPr>
        <w:pStyle w:val="36"/>
        <w:spacing w:before="0" w:after="0" w:line="400" w:lineRule="exact"/>
        <w:ind w:firstLine="480" w:firstLineChars="200"/>
        <w:jc w:val="both"/>
        <w:rPr>
          <w:rFonts w:ascii="Times New Roman" w:hAnsi="Times New Roman"/>
          <w:lang w:eastAsia="zh-CN"/>
        </w:rPr>
      </w:pPr>
      <w:r>
        <w:rPr>
          <w:rFonts w:ascii="Times New Roman" w:hAnsi="Times New Roman"/>
        </w:rPr>
        <w:t>国际巨头垄断高端市场：德国GOM、美国Correlated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p>
    <w:p w14:paraId="77723C27">
      <w:pPr>
        <w:pStyle w:val="36"/>
        <w:spacing w:before="0" w:after="0" w:line="400" w:lineRule="exact"/>
        <w:ind w:firstLine="480" w:firstLineChars="200"/>
        <w:jc w:val="both"/>
        <w:rPr>
          <w:rFonts w:ascii="Times New Roman" w:hAnsi="Times New Roman"/>
          <w:lang w:eastAsia="zh-CN"/>
        </w:rPr>
      </w:pPr>
      <w:r>
        <w:rPr>
          <w:rFonts w:ascii="Times New Roman" w:hAnsi="Times New Roman"/>
        </w:rPr>
        <w:t>国内企业价格竞争激烈：在中低端市场，国内企业数量众多，产品同质化严重，价格竞争成为主要竞争手段。产品价格从几万元到几十万元不等，价格战导致行业整体利润率下降。部分企业为争夺市场份额，甚至以低于成本价销售，扰乱了市场秩序。</w:t>
      </w:r>
    </w:p>
    <w:p w14:paraId="0A0D0E6F">
      <w:pPr>
        <w:pStyle w:val="36"/>
        <w:spacing w:before="0" w:after="0" w:line="400" w:lineRule="exact"/>
        <w:ind w:firstLine="480" w:firstLineChars="200"/>
        <w:jc w:val="both"/>
        <w:rPr>
          <w:rFonts w:ascii="Times New Roman" w:hAnsi="Times New Roman"/>
          <w:lang w:eastAsia="zh-CN"/>
        </w:rPr>
      </w:pPr>
      <w:r>
        <w:rPr>
          <w:rFonts w:ascii="Times New Roman" w:hAnsi="Times New Roman"/>
        </w:rPr>
        <w:t>差异化竞争逐步显现：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p>
    <w:p w14:paraId="08FE26B9">
      <w:pPr>
        <w:pStyle w:val="36"/>
        <w:spacing w:before="0" w:after="0" w:line="400" w:lineRule="exact"/>
        <w:ind w:firstLine="480" w:firstLineChars="200"/>
        <w:jc w:val="both"/>
        <w:rPr>
          <w:rFonts w:ascii="Times New Roman" w:hAnsi="Times New Roman"/>
        </w:rPr>
      </w:pPr>
      <w:r>
        <w:rPr>
          <w:rFonts w:ascii="Times New Roman" w:hAnsi="Times New Roman"/>
        </w:rPr>
        <w:t>竞争领域向新兴市场延伸：随着基础设施安全监测、智能制造等新兴市场的快速发展，竞争从传统的材料测试、结构测试领域向安全监测、在线检测等新应用场景延伸。在新兴市场，技术适用性、解决方案完整性、服务响应速度成为新的竞争焦点。</w:t>
      </w:r>
    </w:p>
    <w:p w14:paraId="1D5DBF98">
      <w:pPr>
        <w:pStyle w:val="36"/>
        <w:spacing w:before="0" w:after="0" w:line="400" w:lineRule="exact"/>
        <w:ind w:firstLine="480" w:firstLineChars="200"/>
        <w:jc w:val="both"/>
        <w:rPr>
          <w:rFonts w:ascii="Times New Roman" w:hAnsi="Times New Roman"/>
        </w:rPr>
      </w:pPr>
      <w:r>
        <w:rPr>
          <w:rFonts w:ascii="Times New Roman" w:hAnsi="Times New Roman"/>
        </w:rPr>
        <w:t>对HSM的战略影响：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72"/>
    <w:p w14:paraId="000C4BFD">
      <w:pPr>
        <w:pStyle w:val="5"/>
      </w:pPr>
      <w:bookmarkStart w:id="73" w:name="_Toc222822770"/>
      <w:bookmarkStart w:id="74" w:name="_Toc222913141"/>
      <w:bookmarkStart w:id="75" w:name="潜在进入者威胁"/>
      <w:r>
        <w:t>3.3.2 潜在进入者威胁</w:t>
      </w:r>
      <w:bookmarkEnd w:id="73"/>
      <w:bookmarkEnd w:id="74"/>
    </w:p>
    <w:p w14:paraId="13B71E52">
      <w:pPr>
        <w:pStyle w:val="36"/>
        <w:spacing w:before="0" w:after="0" w:line="400" w:lineRule="exact"/>
        <w:ind w:firstLine="480" w:firstLineChars="200"/>
        <w:jc w:val="both"/>
        <w:rPr>
          <w:rFonts w:ascii="Times New Roman" w:hAnsi="Times New Roman"/>
        </w:rPr>
      </w:pPr>
      <w:r>
        <w:rPr>
          <w:rFonts w:ascii="Times New Roman" w:hAnsi="Times New Roman"/>
        </w:rPr>
        <w:t>威胁强度评分：2.0分（较低威胁）</w:t>
      </w:r>
    </w:p>
    <w:p w14:paraId="1A28967D">
      <w:pPr>
        <w:pStyle w:val="36"/>
        <w:spacing w:before="0" w:after="0" w:line="400" w:lineRule="exact"/>
        <w:ind w:firstLine="480" w:firstLineChars="200"/>
        <w:jc w:val="both"/>
        <w:rPr>
          <w:rFonts w:ascii="Times New Roman" w:hAnsi="Times New Roman"/>
        </w:rPr>
      </w:pPr>
      <w:r>
        <w:rPr>
          <w:rFonts w:ascii="Times New Roman" w:hAnsi="Times New Roman"/>
        </w:rPr>
        <w:t>视觉力学传感器行业存在较高的进入壁垒，潜在进入者威胁相对较低。</w:t>
      </w:r>
    </w:p>
    <w:p w14:paraId="4E5A5528">
      <w:pPr>
        <w:pStyle w:val="36"/>
        <w:spacing w:before="0" w:after="0" w:line="400" w:lineRule="exact"/>
        <w:ind w:firstLine="480" w:firstLineChars="200"/>
        <w:jc w:val="both"/>
        <w:rPr>
          <w:rFonts w:ascii="Times New Roman" w:hAnsi="Times New Roman"/>
          <w:lang w:eastAsia="zh-CN"/>
        </w:rPr>
      </w:pPr>
      <w:r>
        <w:rPr>
          <w:rFonts w:ascii="Times New Roman" w:hAnsi="Times New Roman"/>
        </w:rPr>
        <w:t>进入壁垒分析：</w:t>
      </w:r>
    </w:p>
    <w:p w14:paraId="10396693">
      <w:pPr>
        <w:pStyle w:val="36"/>
        <w:spacing w:before="0" w:after="0" w:line="400" w:lineRule="exact"/>
        <w:ind w:firstLine="480" w:firstLineChars="200"/>
        <w:jc w:val="both"/>
        <w:rPr>
          <w:rFonts w:ascii="Times New Roman" w:hAnsi="Times New Roman"/>
          <w:lang w:eastAsia="zh-CN"/>
        </w:rPr>
      </w:pPr>
      <w:r>
        <w:rPr>
          <w:rFonts w:ascii="Times New Roman" w:hAnsi="Times New Roman"/>
        </w:rPr>
        <w:t>技术壁垒较高：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p>
    <w:p w14:paraId="64B3DBD6">
      <w:pPr>
        <w:pStyle w:val="36"/>
        <w:spacing w:before="0" w:after="0" w:line="400" w:lineRule="exact"/>
        <w:ind w:firstLine="480" w:firstLineChars="200"/>
        <w:jc w:val="both"/>
        <w:rPr>
          <w:rFonts w:ascii="Times New Roman" w:hAnsi="Times New Roman"/>
          <w:lang w:eastAsia="zh-CN"/>
        </w:rPr>
      </w:pPr>
      <w:r>
        <w:rPr>
          <w:rFonts w:ascii="Times New Roman" w:hAnsi="Times New Roman"/>
        </w:rPr>
        <w:t>资金壁垒显著：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p>
    <w:p w14:paraId="2524AE94">
      <w:pPr>
        <w:pStyle w:val="36"/>
        <w:spacing w:before="0" w:after="0" w:line="400" w:lineRule="exact"/>
        <w:ind w:firstLine="480" w:firstLineChars="200"/>
        <w:jc w:val="both"/>
        <w:rPr>
          <w:rFonts w:ascii="Times New Roman" w:hAnsi="Times New Roman"/>
          <w:lang w:eastAsia="zh-CN"/>
        </w:rPr>
      </w:pPr>
      <w:r>
        <w:rPr>
          <w:rFonts w:ascii="Times New Roman" w:hAnsi="Times New Roman"/>
        </w:rPr>
        <w:t>品牌和渠道壁垒：客户对测量设备的可靠性和准确性要求极高，倾向于选择有成功案例和良好口碑的品牌。建立品牌影响力和销售渠道需要时间积累和资源投入。现有企业通过多年的市场耕耘，建立了稳定的客户关系和渠道网络。</w:t>
      </w:r>
    </w:p>
    <w:p w14:paraId="67A3CD14">
      <w:pPr>
        <w:pStyle w:val="36"/>
        <w:spacing w:before="0" w:after="0" w:line="400" w:lineRule="exact"/>
        <w:ind w:firstLine="480" w:firstLineChars="200"/>
        <w:jc w:val="both"/>
        <w:rPr>
          <w:rFonts w:ascii="Times New Roman" w:hAnsi="Times New Roman"/>
        </w:rPr>
      </w:pPr>
      <w:r>
        <w:rPr>
          <w:rFonts w:ascii="Times New Roman" w:hAnsi="Times New Roman"/>
        </w:rPr>
        <w:t>规模经济效应：随着生产规模的扩大，单位产品成本显著下降。现有企业通过批量生产和供应链优化建立了成本优势，新进入者难以在短期内实现规模经济。</w:t>
      </w:r>
    </w:p>
    <w:p w14:paraId="1B5C58DB">
      <w:pPr>
        <w:pStyle w:val="36"/>
        <w:spacing w:before="0" w:after="0" w:line="400" w:lineRule="exact"/>
        <w:ind w:firstLine="480" w:firstLineChars="200"/>
        <w:jc w:val="both"/>
        <w:rPr>
          <w:rFonts w:ascii="Times New Roman" w:hAnsi="Times New Roman"/>
        </w:rPr>
      </w:pPr>
      <w:r>
        <w:rPr>
          <w:rFonts w:ascii="Times New Roman" w:hAnsi="Times New Roman"/>
        </w:rPr>
        <w:t>潜在进入者类型：（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14:paraId="4766B3FC">
      <w:pPr>
        <w:pStyle w:val="36"/>
        <w:spacing w:before="0" w:after="0" w:line="400" w:lineRule="exact"/>
        <w:ind w:firstLine="480" w:firstLineChars="200"/>
        <w:jc w:val="both"/>
        <w:rPr>
          <w:rFonts w:ascii="Times New Roman" w:hAnsi="Times New Roman"/>
        </w:rPr>
      </w:pPr>
      <w:r>
        <w:rPr>
          <w:rFonts w:ascii="Times New Roman" w:hAnsi="Times New Roman"/>
        </w:rPr>
        <w:t>对HSM的战略影响：虽然潜在进入者威胁较低，但HSM仍需保持警惕。（1）加强专利布局，构建技术护城河；（2）加快市场拓展，建立品牌忠诚度；（3）优化成本结构，建立规模优势；（4）关注技术趋势，防范技术颠覆风险。</w:t>
      </w:r>
    </w:p>
    <w:bookmarkEnd w:id="75"/>
    <w:p w14:paraId="55BB9462">
      <w:pPr>
        <w:pStyle w:val="5"/>
      </w:pPr>
      <w:bookmarkStart w:id="76" w:name="_Toc222822771"/>
      <w:bookmarkStart w:id="77" w:name="_Toc222913142"/>
      <w:bookmarkStart w:id="78" w:name="替代品威胁"/>
      <w:r>
        <w:t>3.3.3 替代品威胁</w:t>
      </w:r>
      <w:bookmarkEnd w:id="76"/>
      <w:bookmarkEnd w:id="77"/>
    </w:p>
    <w:p w14:paraId="5348DFAC">
      <w:pPr>
        <w:pStyle w:val="36"/>
        <w:spacing w:before="0" w:after="0" w:line="400" w:lineRule="exact"/>
        <w:ind w:firstLine="480" w:firstLineChars="200"/>
        <w:jc w:val="both"/>
        <w:rPr>
          <w:rFonts w:ascii="Times New Roman" w:hAnsi="Times New Roman"/>
        </w:rPr>
      </w:pPr>
      <w:r>
        <w:rPr>
          <w:rFonts w:ascii="Times New Roman" w:hAnsi="Times New Roman"/>
        </w:rPr>
        <w:t>威胁强度评分：2.3分（较低威胁）</w:t>
      </w:r>
    </w:p>
    <w:p w14:paraId="43ADFD3D">
      <w:pPr>
        <w:pStyle w:val="36"/>
        <w:spacing w:before="0" w:after="0" w:line="400" w:lineRule="exact"/>
        <w:ind w:firstLine="480" w:firstLineChars="200"/>
        <w:jc w:val="both"/>
        <w:rPr>
          <w:rFonts w:ascii="Times New Roman" w:hAnsi="Times New Roman"/>
        </w:rPr>
      </w:pPr>
      <w:r>
        <w:rPr>
          <w:rFonts w:ascii="Times New Roman" w:hAnsi="Times New Roman"/>
        </w:rPr>
        <w:t>传统测量方法和新兴测量技术对视觉力学传感器构成一定替代威胁，但DIC技术在全场测量、精度、成本等方面具有综合优势。</w:t>
      </w:r>
    </w:p>
    <w:p w14:paraId="4CB28C54">
      <w:pPr>
        <w:pStyle w:val="36"/>
        <w:spacing w:before="0" w:after="0" w:line="400" w:lineRule="exact"/>
        <w:ind w:firstLine="480" w:firstLineChars="200"/>
        <w:jc w:val="both"/>
        <w:rPr>
          <w:rFonts w:ascii="Times New Roman" w:hAnsi="Times New Roman"/>
          <w:lang w:eastAsia="zh-CN"/>
        </w:rPr>
      </w:pPr>
      <w:r>
        <w:rPr>
          <w:rFonts w:ascii="Times New Roman" w:hAnsi="Times New Roman"/>
        </w:rPr>
        <w:t>替代技术分析：</w:t>
      </w:r>
    </w:p>
    <w:p w14:paraId="2F6752B7">
      <w:pPr>
        <w:pStyle w:val="36"/>
        <w:spacing w:before="0" w:after="0" w:line="400" w:lineRule="exact"/>
        <w:ind w:firstLine="480" w:firstLineChars="200"/>
        <w:jc w:val="both"/>
        <w:rPr>
          <w:rFonts w:ascii="Times New Roman" w:hAnsi="Times New Roman"/>
          <w:lang w:eastAsia="zh-CN"/>
        </w:rPr>
      </w:pPr>
      <w:r>
        <w:rPr>
          <w:rFonts w:ascii="Times New Roman" w:hAnsi="Times New Roman"/>
        </w:rPr>
        <w:t>传统接触式测量方法：应变片、位移计、引伸计等传统接触式测量方法技术成熟、价格低廉，但存在安装复杂、测量点有限、难以实现全场测量等局限性。在需要全场、非接触、高精度测量的场景，传统方法无法替代DIC技术。</w:t>
      </w:r>
    </w:p>
    <w:p w14:paraId="079C477C">
      <w:pPr>
        <w:pStyle w:val="36"/>
        <w:spacing w:before="0" w:after="0" w:line="400" w:lineRule="exact"/>
        <w:ind w:firstLine="480" w:firstLineChars="200"/>
        <w:jc w:val="both"/>
        <w:rPr>
          <w:rFonts w:ascii="Times New Roman" w:hAnsi="Times New Roman"/>
          <w:lang w:eastAsia="zh-CN"/>
        </w:rPr>
      </w:pPr>
      <w:r>
        <w:rPr>
          <w:rFonts w:ascii="Times New Roman" w:hAnsi="Times New Roman"/>
        </w:rPr>
        <w:t>其他非接触测量技术：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p>
    <w:p w14:paraId="60C34BE0">
      <w:pPr>
        <w:pStyle w:val="36"/>
        <w:spacing w:before="0" w:after="0" w:line="400" w:lineRule="exact"/>
        <w:ind w:firstLine="480" w:firstLineChars="200"/>
        <w:jc w:val="both"/>
        <w:rPr>
          <w:rFonts w:ascii="Times New Roman" w:hAnsi="Times New Roman"/>
        </w:rPr>
      </w:pPr>
      <w:r>
        <w:rPr>
          <w:rFonts w:ascii="Times New Roman" w:hAnsi="Times New Roman"/>
        </w:rPr>
        <w:t>新兴传感技术：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14:paraId="6871F5E7">
      <w:pPr>
        <w:pStyle w:val="36"/>
        <w:spacing w:before="0" w:after="0" w:line="400" w:lineRule="exact"/>
        <w:ind w:firstLine="480" w:firstLineChars="200"/>
        <w:jc w:val="both"/>
        <w:rPr>
          <w:rFonts w:ascii="Times New Roman" w:hAnsi="Times New Roman"/>
        </w:rPr>
      </w:pPr>
      <w:r>
        <w:rPr>
          <w:rFonts w:ascii="Times New Roman" w:hAnsi="Times New Roman"/>
        </w:rPr>
        <w:t>技术替代趋势：技术替代呈现渐进式特点。（1）在传统应用领域，DIC技术逐步替代部分接触式测量方法；（2）在新兴应用领域，DIC技术与其他传感技术融合应用；（3）随着技术进步和成本下降，DIC技术的应用范围持续扩大。</w:t>
      </w:r>
    </w:p>
    <w:p w14:paraId="5549734E">
      <w:pPr>
        <w:pStyle w:val="36"/>
        <w:spacing w:before="0" w:after="0" w:line="400" w:lineRule="exact"/>
        <w:ind w:firstLine="480" w:firstLineChars="200"/>
        <w:jc w:val="both"/>
        <w:rPr>
          <w:rFonts w:ascii="Times New Roman" w:hAnsi="Times New Roman"/>
        </w:rPr>
      </w:pPr>
      <w:r>
        <w:rPr>
          <w:rFonts w:ascii="Times New Roman" w:hAnsi="Times New Roman"/>
        </w:rPr>
        <w:t>对HSM的战略影响：替代品威胁较低为HSM提供了良好的发展环境。（1）突出DIC技术的综合优势，加强市场教育；（2）推动技术融合，开发多传感器集成系统；（3）持续降低成本，拓展应用场景；（4）关注技术发展趋势，防范技术颠覆。</w:t>
      </w:r>
    </w:p>
    <w:bookmarkEnd w:id="78"/>
    <w:p w14:paraId="1389236C">
      <w:pPr>
        <w:pStyle w:val="5"/>
      </w:pPr>
      <w:bookmarkStart w:id="79" w:name="_Toc222913143"/>
      <w:bookmarkStart w:id="80" w:name="_Toc222822772"/>
      <w:bookmarkStart w:id="81" w:name="供应商议价能力"/>
      <w:r>
        <w:t>3.3.4 供应商议价能力</w:t>
      </w:r>
      <w:bookmarkEnd w:id="79"/>
      <w:bookmarkEnd w:id="80"/>
    </w:p>
    <w:p w14:paraId="061CEDF4">
      <w:pPr>
        <w:pStyle w:val="36"/>
        <w:spacing w:before="0" w:after="0" w:line="400" w:lineRule="exact"/>
        <w:ind w:firstLine="480" w:firstLineChars="200"/>
        <w:jc w:val="both"/>
        <w:rPr>
          <w:rFonts w:ascii="Times New Roman" w:hAnsi="Times New Roman"/>
        </w:rPr>
      </w:pPr>
      <w:r>
        <w:rPr>
          <w:rFonts w:ascii="Times New Roman" w:hAnsi="Times New Roman"/>
        </w:rPr>
        <w:t>议价能力评分：3.3分（中等偏强）</w:t>
      </w:r>
    </w:p>
    <w:p w14:paraId="052E563F">
      <w:pPr>
        <w:pStyle w:val="36"/>
        <w:spacing w:before="0" w:after="0" w:line="400" w:lineRule="exact"/>
        <w:ind w:firstLine="480" w:firstLineChars="200"/>
        <w:jc w:val="both"/>
        <w:rPr>
          <w:rFonts w:ascii="Times New Roman" w:hAnsi="Times New Roman"/>
        </w:rPr>
      </w:pPr>
      <w:r>
        <w:rPr>
          <w:rFonts w:ascii="Times New Roman" w:hAnsi="Times New Roman"/>
        </w:rPr>
        <w:t>视觉力学传感器的核心部件存在多家供应商，但高端部件仍依赖进口，供应商具有一定的议价能力。</w:t>
      </w:r>
    </w:p>
    <w:p w14:paraId="259417FB">
      <w:pPr>
        <w:pStyle w:val="36"/>
        <w:spacing w:before="0" w:after="0" w:line="400" w:lineRule="exact"/>
        <w:ind w:firstLine="480" w:firstLineChars="200"/>
        <w:jc w:val="both"/>
        <w:rPr>
          <w:rFonts w:ascii="Times New Roman" w:hAnsi="Times New Roman"/>
          <w:lang w:eastAsia="zh-CN"/>
        </w:rPr>
      </w:pPr>
      <w:r>
        <w:rPr>
          <w:rFonts w:ascii="Times New Roman" w:hAnsi="Times New Roman"/>
        </w:rPr>
        <w:t>供应链结构分析：</w:t>
      </w:r>
    </w:p>
    <w:p w14:paraId="088C8E5F">
      <w:pPr>
        <w:pStyle w:val="36"/>
        <w:spacing w:before="0" w:after="0" w:line="400" w:lineRule="exact"/>
        <w:ind w:firstLine="480" w:firstLineChars="200"/>
        <w:jc w:val="both"/>
        <w:rPr>
          <w:rFonts w:ascii="Times New Roman" w:hAnsi="Times New Roman"/>
          <w:lang w:eastAsia="zh-CN"/>
        </w:rPr>
      </w:pPr>
      <w:r>
        <w:rPr>
          <w:rFonts w:ascii="Times New Roman" w:hAnsi="Times New Roman"/>
        </w:rPr>
        <w:t>核心部件供应商：（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p>
    <w:p w14:paraId="08853B8C">
      <w:pPr>
        <w:pStyle w:val="36"/>
        <w:spacing w:before="0" w:after="0" w:line="400" w:lineRule="exact"/>
        <w:ind w:firstLine="480" w:firstLineChars="200"/>
        <w:jc w:val="both"/>
        <w:rPr>
          <w:rFonts w:ascii="Times New Roman" w:hAnsi="Times New Roman"/>
          <w:lang w:eastAsia="zh-CN"/>
        </w:rPr>
      </w:pPr>
      <w:r>
        <w:rPr>
          <w:rFonts w:ascii="Times New Roman" w:hAnsi="Times New Roman"/>
        </w:rPr>
        <w:t>供应商分布特征：（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p>
    <w:p w14:paraId="346B9338">
      <w:pPr>
        <w:pStyle w:val="36"/>
        <w:spacing w:before="0" w:after="0" w:line="400" w:lineRule="exact"/>
        <w:ind w:firstLine="480" w:firstLineChars="200"/>
        <w:jc w:val="both"/>
        <w:rPr>
          <w:rFonts w:ascii="Times New Roman" w:hAnsi="Times New Roman"/>
        </w:rPr>
      </w:pPr>
      <w:r>
        <w:rPr>
          <w:rFonts w:ascii="Times New Roman" w:hAnsi="Times New Roman"/>
        </w:rPr>
        <w:t>供应商集中度：核心部件供应商集中度较高，特别是高端图像传感器和计算芯片市场被少数几家国际巨头垄断。结构件、线缆、外壳等非核心部件供应商分散，竞争激烈。</w:t>
      </w:r>
    </w:p>
    <w:p w14:paraId="15EB13B2">
      <w:pPr>
        <w:pStyle w:val="36"/>
        <w:spacing w:before="0" w:after="0" w:line="400" w:lineRule="exact"/>
        <w:ind w:firstLine="480" w:firstLineChars="200"/>
        <w:jc w:val="both"/>
        <w:rPr>
          <w:rFonts w:ascii="Times New Roman" w:hAnsi="Times New Roman"/>
        </w:rPr>
      </w:pPr>
      <w:r>
        <w:rPr>
          <w:rFonts w:ascii="Times New Roman" w:hAnsi="Times New Roman"/>
        </w:rPr>
        <w:t>议价能力影响因素：（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14:paraId="37C366A9">
      <w:pPr>
        <w:pStyle w:val="36"/>
        <w:spacing w:before="0" w:after="0" w:line="400" w:lineRule="exact"/>
        <w:ind w:firstLine="480" w:firstLineChars="200"/>
        <w:jc w:val="both"/>
        <w:rPr>
          <w:rFonts w:ascii="Times New Roman" w:hAnsi="Times New Roman"/>
        </w:rPr>
      </w:pPr>
      <w:r>
        <w:rPr>
          <w:rFonts w:ascii="Times New Roman" w:hAnsi="Times New Roman"/>
        </w:rPr>
        <w:t>对HSM的战略影响：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81"/>
    <w:p w14:paraId="77B107AC">
      <w:pPr>
        <w:pStyle w:val="5"/>
      </w:pPr>
      <w:bookmarkStart w:id="82" w:name="_Toc222822773"/>
      <w:bookmarkStart w:id="83" w:name="_Toc222913144"/>
      <w:bookmarkStart w:id="84" w:name="客户议价能力"/>
      <w:r>
        <w:t>3.3.5 客户议价能力</w:t>
      </w:r>
      <w:bookmarkEnd w:id="82"/>
      <w:bookmarkEnd w:id="83"/>
    </w:p>
    <w:p w14:paraId="7AD355AF">
      <w:pPr>
        <w:pStyle w:val="36"/>
        <w:spacing w:before="0" w:after="0" w:line="400" w:lineRule="exact"/>
        <w:ind w:firstLine="480" w:firstLineChars="200"/>
        <w:jc w:val="both"/>
        <w:rPr>
          <w:rFonts w:ascii="Times New Roman" w:hAnsi="Times New Roman"/>
        </w:rPr>
      </w:pPr>
      <w:r>
        <w:rPr>
          <w:rFonts w:ascii="Times New Roman" w:hAnsi="Times New Roman"/>
        </w:rPr>
        <w:t>议价能力评分：3.7分（中等偏强）</w:t>
      </w:r>
    </w:p>
    <w:p w14:paraId="1922946E">
      <w:pPr>
        <w:pStyle w:val="36"/>
        <w:spacing w:before="0" w:after="0" w:line="400" w:lineRule="exact"/>
        <w:ind w:firstLine="480" w:firstLineChars="200"/>
        <w:jc w:val="both"/>
        <w:rPr>
          <w:rFonts w:ascii="Times New Roman" w:hAnsi="Times New Roman"/>
        </w:rPr>
      </w:pPr>
      <w:r>
        <w:rPr>
          <w:rFonts w:ascii="Times New Roman" w:hAnsi="Times New Roman"/>
        </w:rPr>
        <w:t>视觉力学传感器的客户议价能力因客户类型和采购规模而异，大型客户议价能力较强，中小客户议价能力相对较弱。</w:t>
      </w:r>
    </w:p>
    <w:p w14:paraId="1B3F79EF">
      <w:pPr>
        <w:pStyle w:val="36"/>
        <w:spacing w:before="0" w:after="0" w:line="400" w:lineRule="exact"/>
        <w:ind w:firstLine="480" w:firstLineChars="200"/>
        <w:jc w:val="both"/>
        <w:rPr>
          <w:rFonts w:ascii="Times New Roman" w:hAnsi="Times New Roman"/>
          <w:lang w:eastAsia="zh-CN"/>
        </w:rPr>
      </w:pPr>
      <w:r>
        <w:rPr>
          <w:rFonts w:ascii="Times New Roman" w:hAnsi="Times New Roman"/>
        </w:rPr>
        <w:t>客户结构分析：</w:t>
      </w:r>
    </w:p>
    <w:p w14:paraId="3AC746BA">
      <w:pPr>
        <w:pStyle w:val="36"/>
        <w:spacing w:before="0" w:after="0" w:line="400" w:lineRule="exact"/>
        <w:ind w:firstLine="480" w:firstLineChars="200"/>
        <w:jc w:val="both"/>
        <w:rPr>
          <w:rFonts w:ascii="Times New Roman" w:hAnsi="Times New Roman"/>
          <w:lang w:eastAsia="zh-CN"/>
        </w:rPr>
      </w:pPr>
      <w:r>
        <w:rPr>
          <w:rFonts w:ascii="Times New Roman" w:hAnsi="Times New Roman"/>
        </w:rPr>
        <w:t>大型客户：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p>
    <w:p w14:paraId="1ECEC650">
      <w:pPr>
        <w:pStyle w:val="36"/>
        <w:spacing w:before="0" w:after="0" w:line="400" w:lineRule="exact"/>
        <w:ind w:firstLine="480" w:firstLineChars="200"/>
        <w:jc w:val="both"/>
        <w:rPr>
          <w:rFonts w:ascii="Times New Roman" w:hAnsi="Times New Roman"/>
          <w:lang w:eastAsia="zh-CN"/>
        </w:rPr>
      </w:pPr>
      <w:r>
        <w:rPr>
          <w:rFonts w:ascii="Times New Roman" w:hAnsi="Times New Roman"/>
        </w:rPr>
        <w:t>中小客户：中小企业、科研院所、检测机构等采购规模小，对价格敏感度高，对技术服务要求相对较低。这些客户通常直接采购，议价能力较弱，账期短。但客户数量多，市场分散，需要建立高效的销售和服务体系。</w:t>
      </w:r>
    </w:p>
    <w:p w14:paraId="4787B62B">
      <w:pPr>
        <w:pStyle w:val="36"/>
        <w:spacing w:before="0" w:after="0" w:line="400" w:lineRule="exact"/>
        <w:ind w:firstLine="480" w:firstLineChars="200"/>
        <w:jc w:val="both"/>
        <w:rPr>
          <w:rFonts w:ascii="Times New Roman" w:hAnsi="Times New Roman"/>
        </w:rPr>
      </w:pPr>
      <w:r>
        <w:rPr>
          <w:rFonts w:ascii="Times New Roman" w:hAnsi="Times New Roman"/>
        </w:rPr>
        <w:t>客户需求特征：（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14:paraId="78171E08">
      <w:pPr>
        <w:pStyle w:val="36"/>
        <w:spacing w:before="0" w:after="0" w:line="400" w:lineRule="exact"/>
        <w:ind w:firstLine="480" w:firstLineChars="200"/>
        <w:jc w:val="both"/>
        <w:rPr>
          <w:rFonts w:ascii="Times New Roman" w:hAnsi="Times New Roman"/>
        </w:rPr>
      </w:pPr>
      <w:r>
        <w:rPr>
          <w:rFonts w:ascii="Times New Roman" w:hAnsi="Times New Roman"/>
        </w:rPr>
        <w:t>议价能力影响因素：（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14:paraId="5F61290C">
      <w:pPr>
        <w:pStyle w:val="36"/>
        <w:spacing w:before="0" w:after="0" w:line="400" w:lineRule="exact"/>
        <w:ind w:firstLine="480" w:firstLineChars="200"/>
        <w:jc w:val="both"/>
        <w:rPr>
          <w:rFonts w:ascii="Times New Roman" w:hAnsi="Times New Roman"/>
        </w:rPr>
      </w:pPr>
      <w:r>
        <w:rPr>
          <w:rFonts w:ascii="Times New Roman" w:hAnsi="Times New Roman"/>
        </w:rPr>
        <w:t>对HSM的战略影响：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84"/>
    <w:p w14:paraId="29D0E885">
      <w:pPr>
        <w:pStyle w:val="5"/>
      </w:pPr>
      <w:bookmarkStart w:id="85" w:name="_Toc222822774"/>
      <w:bookmarkStart w:id="86" w:name="_Toc222913145"/>
      <w:bookmarkStart w:id="87" w:name="小结-1"/>
      <w:r>
        <w:t>3.3.6 小结</w:t>
      </w:r>
      <w:bookmarkEnd w:id="85"/>
      <w:bookmarkEnd w:id="86"/>
    </w:p>
    <w:p w14:paraId="663A3E9E">
      <w:pPr>
        <w:pStyle w:val="4"/>
        <w:spacing w:before="240" w:after="120"/>
        <w:jc w:val="center"/>
        <w:rPr>
          <w:rFonts w:ascii="Times New Roman" w:hAnsi="Times New Roman"/>
          <w:sz w:val="22"/>
        </w:rPr>
      </w:pPr>
      <w:r>
        <w:rPr>
          <w:rFonts w:ascii="Times New Roman" w:hAnsi="Times New Roman"/>
          <w:sz w:val="22"/>
        </w:rPr>
        <w:t>表3</w:t>
      </w:r>
      <w:r>
        <w:rPr>
          <w:rFonts w:hint="eastAsia" w:ascii="Times New Roman" w:hAnsi="Times New Roman"/>
          <w:sz w:val="22"/>
          <w:lang w:eastAsia="zh-CN"/>
        </w:rPr>
        <w:t>.</w:t>
      </w:r>
      <w:r>
        <w:rPr>
          <w:rFonts w:ascii="Times New Roman" w:hAnsi="Times New Roman"/>
          <w:sz w:val="22"/>
        </w:rPr>
        <w:t>3 视觉力学传感器行业波特五力模型总结表</w:t>
      </w:r>
    </w:p>
    <w:tbl>
      <w:tblPr>
        <w:tblStyle w:val="41"/>
        <w:tblW w:w="5000" w:type="pct"/>
        <w:tblInd w:w="0" w:type="dxa"/>
        <w:tblLayout w:type="autofit"/>
        <w:tblCellMar>
          <w:top w:w="0" w:type="dxa"/>
          <w:left w:w="108" w:type="dxa"/>
          <w:bottom w:w="0" w:type="dxa"/>
          <w:right w:w="108" w:type="dxa"/>
        </w:tblCellMar>
      </w:tblPr>
      <w:tblGrid>
        <w:gridCol w:w="1274"/>
        <w:gridCol w:w="1624"/>
        <w:gridCol w:w="3265"/>
        <w:gridCol w:w="3010"/>
      </w:tblGrid>
      <w:tr w14:paraId="0410C923">
        <w:tblPrEx>
          <w:tblCellMar>
            <w:top w:w="0" w:type="dxa"/>
            <w:left w:w="108" w:type="dxa"/>
            <w:bottom w:w="0" w:type="dxa"/>
            <w:right w:w="108" w:type="dxa"/>
          </w:tblCellMar>
        </w:tblPrEx>
        <w:tc>
          <w:tcPr>
            <w:tcW w:w="694" w:type="pct"/>
            <w:tcBorders>
              <w:top w:val="single" w:color="000000" w:sz="12" w:space="0"/>
              <w:left w:val="nil"/>
              <w:bottom w:val="single" w:color="000000" w:sz="4" w:space="0"/>
              <w:right w:val="nil"/>
              <w:tl2br w:val="nil"/>
            </w:tcBorders>
            <w:shd w:val="clear" w:color="auto" w:fill="FFFFFF"/>
            <w:vAlign w:val="center"/>
          </w:tcPr>
          <w:p w14:paraId="598EC3C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竞争力量</w:t>
            </w:r>
          </w:p>
        </w:tc>
        <w:tc>
          <w:tcPr>
            <w:tcW w:w="885" w:type="pct"/>
            <w:tcBorders>
              <w:top w:val="single" w:color="000000" w:sz="12" w:space="0"/>
              <w:left w:val="nil"/>
              <w:bottom w:val="single" w:color="000000" w:sz="4" w:space="0"/>
              <w:right w:val="nil"/>
            </w:tcBorders>
            <w:shd w:val="clear" w:color="auto" w:fill="FFFFFF"/>
            <w:vAlign w:val="center"/>
          </w:tcPr>
          <w:p w14:paraId="6FB52A8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强度评分（1-5分）</w:t>
            </w:r>
          </w:p>
        </w:tc>
        <w:tc>
          <w:tcPr>
            <w:tcW w:w="1779" w:type="pct"/>
            <w:tcBorders>
              <w:top w:val="single" w:color="000000" w:sz="12" w:space="0"/>
              <w:left w:val="nil"/>
              <w:bottom w:val="single" w:color="000000" w:sz="4" w:space="0"/>
              <w:right w:val="nil"/>
            </w:tcBorders>
            <w:shd w:val="clear" w:color="auto" w:fill="FFFFFF"/>
            <w:vAlign w:val="center"/>
          </w:tcPr>
          <w:p w14:paraId="5B94837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核心结论</w:t>
            </w:r>
          </w:p>
        </w:tc>
        <w:tc>
          <w:tcPr>
            <w:tcW w:w="1640" w:type="pct"/>
            <w:tcBorders>
              <w:top w:val="single" w:color="000000" w:sz="12" w:space="0"/>
              <w:left w:val="nil"/>
              <w:bottom w:val="single" w:color="000000" w:sz="4" w:space="0"/>
              <w:right w:val="nil"/>
            </w:tcBorders>
            <w:shd w:val="clear" w:color="auto" w:fill="FFFFFF"/>
            <w:vAlign w:val="center"/>
          </w:tcPr>
          <w:p w14:paraId="03B4CEC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对HSM的战略建议</w:t>
            </w:r>
          </w:p>
        </w:tc>
      </w:tr>
      <w:tr w14:paraId="11F5979B">
        <w:tblPrEx>
          <w:tblCellMar>
            <w:top w:w="0" w:type="dxa"/>
            <w:left w:w="108" w:type="dxa"/>
            <w:bottom w:w="0" w:type="dxa"/>
            <w:right w:w="108" w:type="dxa"/>
          </w:tblCellMar>
        </w:tblPrEx>
        <w:tc>
          <w:tcPr>
            <w:tcW w:w="694" w:type="pct"/>
            <w:tcBorders>
              <w:top w:val="single" w:color="000000" w:sz="4" w:space="0"/>
              <w:left w:val="nil"/>
              <w:bottom w:val="nil"/>
              <w:right w:val="nil"/>
            </w:tcBorders>
            <w:shd w:val="clear" w:color="auto" w:fill="FFFFFF"/>
            <w:vAlign w:val="center"/>
          </w:tcPr>
          <w:p w14:paraId="49D6430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现有企业竞争</w:t>
            </w:r>
          </w:p>
        </w:tc>
        <w:tc>
          <w:tcPr>
            <w:tcW w:w="885" w:type="pct"/>
            <w:tcBorders>
              <w:top w:val="single" w:color="000000" w:sz="4" w:space="0"/>
              <w:left w:val="nil"/>
              <w:bottom w:val="nil"/>
              <w:right w:val="nil"/>
            </w:tcBorders>
            <w:shd w:val="clear" w:color="auto" w:fill="FFFFFF"/>
            <w:vAlign w:val="center"/>
          </w:tcPr>
          <w:p w14:paraId="59EBD4A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4.8</w:t>
            </w:r>
          </w:p>
        </w:tc>
        <w:tc>
          <w:tcPr>
            <w:tcW w:w="1779" w:type="pct"/>
            <w:tcBorders>
              <w:top w:val="single" w:color="000000" w:sz="4" w:space="0"/>
              <w:left w:val="nil"/>
              <w:bottom w:val="nil"/>
              <w:right w:val="nil"/>
            </w:tcBorders>
            <w:shd w:val="clear" w:color="auto" w:fill="FFFFFF"/>
            <w:vAlign w:val="center"/>
          </w:tcPr>
          <w:p w14:paraId="0B711E9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国际巨头垄断高端市场，国内企业价格竞争激烈</w:t>
            </w:r>
          </w:p>
        </w:tc>
        <w:tc>
          <w:tcPr>
            <w:tcW w:w="1640" w:type="pct"/>
            <w:tcBorders>
              <w:top w:val="single" w:color="000000" w:sz="4" w:space="0"/>
              <w:left w:val="nil"/>
              <w:bottom w:val="nil"/>
              <w:right w:val="nil"/>
            </w:tcBorders>
            <w:shd w:val="clear" w:color="auto" w:fill="FFFFFF"/>
            <w:vAlign w:val="center"/>
          </w:tcPr>
          <w:p w14:paraId="339024C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构建差异化竞争优势，避免低水平价格竞争</w:t>
            </w:r>
          </w:p>
        </w:tc>
      </w:tr>
      <w:tr w14:paraId="6B7FD4D3">
        <w:tblPrEx>
          <w:tblCellMar>
            <w:top w:w="0" w:type="dxa"/>
            <w:left w:w="108" w:type="dxa"/>
            <w:bottom w:w="0" w:type="dxa"/>
            <w:right w:w="108" w:type="dxa"/>
          </w:tblCellMar>
        </w:tblPrEx>
        <w:tc>
          <w:tcPr>
            <w:tcW w:w="694" w:type="pct"/>
            <w:tcBorders>
              <w:top w:val="nil"/>
              <w:left w:val="nil"/>
              <w:bottom w:val="single" w:color="000000" w:sz="12" w:space="0"/>
              <w:right w:val="nil"/>
            </w:tcBorders>
            <w:shd w:val="clear" w:color="auto" w:fill="FFFFFF"/>
            <w:vAlign w:val="center"/>
          </w:tcPr>
          <w:p w14:paraId="73EA1EA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潜在进入者威胁</w:t>
            </w:r>
          </w:p>
        </w:tc>
        <w:tc>
          <w:tcPr>
            <w:tcW w:w="885" w:type="pct"/>
            <w:tcBorders>
              <w:top w:val="nil"/>
              <w:left w:val="nil"/>
              <w:bottom w:val="single" w:color="000000" w:sz="12" w:space="0"/>
              <w:right w:val="nil"/>
            </w:tcBorders>
            <w:shd w:val="clear" w:color="auto" w:fill="FFFFFF"/>
            <w:vAlign w:val="center"/>
          </w:tcPr>
          <w:p w14:paraId="1566094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w:t>
            </w:r>
          </w:p>
        </w:tc>
        <w:tc>
          <w:tcPr>
            <w:tcW w:w="1779" w:type="pct"/>
            <w:tcBorders>
              <w:top w:val="nil"/>
              <w:left w:val="nil"/>
              <w:bottom w:val="single" w:color="000000" w:sz="12" w:space="0"/>
              <w:right w:val="nil"/>
            </w:tcBorders>
            <w:shd w:val="clear" w:color="auto" w:fill="FFFFFF"/>
            <w:vAlign w:val="center"/>
          </w:tcPr>
          <w:p w14:paraId="63F794D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技术、资金、品牌壁垒较高，威胁较低</w:t>
            </w:r>
          </w:p>
        </w:tc>
        <w:tc>
          <w:tcPr>
            <w:tcW w:w="1640" w:type="pct"/>
            <w:tcBorders>
              <w:top w:val="nil"/>
              <w:left w:val="nil"/>
              <w:bottom w:val="single" w:color="000000" w:sz="12" w:space="0"/>
              <w:right w:val="nil"/>
            </w:tcBorders>
            <w:shd w:val="clear" w:color="auto" w:fill="FFFFFF"/>
            <w:vAlign w:val="center"/>
          </w:tcPr>
          <w:p w14:paraId="2012D3A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加强专利布局和品牌建设，巩固市场地位</w:t>
            </w:r>
          </w:p>
        </w:tc>
      </w:tr>
    </w:tbl>
    <w:p w14:paraId="512DBB16">
      <w:pPr>
        <w:pStyle w:val="4"/>
        <w:spacing w:before="240" w:after="120"/>
        <w:jc w:val="center"/>
        <w:rPr>
          <w:rFonts w:ascii="Times New Roman" w:hAnsi="Times New Roman"/>
          <w:sz w:val="22"/>
        </w:rPr>
      </w:pPr>
      <w:r>
        <w:rPr>
          <w:rFonts w:hint="eastAsia" w:ascii="Times New Roman" w:hAnsi="Times New Roman"/>
          <w:sz w:val="22"/>
          <w:lang w:eastAsia="zh-CN"/>
        </w:rPr>
        <w:t>续</w:t>
      </w:r>
      <w:r>
        <w:rPr>
          <w:rFonts w:ascii="Times New Roman" w:hAnsi="Times New Roman"/>
          <w:sz w:val="22"/>
        </w:rPr>
        <w:t>表3</w:t>
      </w:r>
      <w:r>
        <w:rPr>
          <w:rFonts w:hint="eastAsia" w:ascii="Times New Roman" w:hAnsi="Times New Roman"/>
          <w:sz w:val="22"/>
          <w:lang w:eastAsia="zh-CN"/>
        </w:rPr>
        <w:t>.</w:t>
      </w:r>
      <w:r>
        <w:rPr>
          <w:rFonts w:ascii="Times New Roman" w:hAnsi="Times New Roman"/>
          <w:sz w:val="22"/>
        </w:rPr>
        <w:t>3 视觉力学传感器行业波特五力模型总结表</w:t>
      </w:r>
    </w:p>
    <w:tbl>
      <w:tblPr>
        <w:tblStyle w:val="41"/>
        <w:tblW w:w="4882" w:type="pct"/>
        <w:tblInd w:w="0" w:type="dxa"/>
        <w:tblLayout w:type="autofit"/>
        <w:tblCellMar>
          <w:top w:w="0" w:type="dxa"/>
          <w:left w:w="108" w:type="dxa"/>
          <w:bottom w:w="0" w:type="dxa"/>
          <w:right w:w="108" w:type="dxa"/>
        </w:tblCellMar>
      </w:tblPr>
      <w:tblGrid>
        <w:gridCol w:w="1246"/>
        <w:gridCol w:w="1586"/>
        <w:gridCol w:w="3187"/>
        <w:gridCol w:w="2938"/>
      </w:tblGrid>
      <w:tr w14:paraId="0A0B11AA">
        <w:tblPrEx>
          <w:tblCellMar>
            <w:top w:w="0" w:type="dxa"/>
            <w:left w:w="108" w:type="dxa"/>
            <w:bottom w:w="0" w:type="dxa"/>
            <w:right w:w="108" w:type="dxa"/>
          </w:tblCellMar>
        </w:tblPrEx>
        <w:tc>
          <w:tcPr>
            <w:tcW w:w="1246" w:type="dxa"/>
            <w:tcBorders>
              <w:top w:val="single" w:color="000000" w:sz="12" w:space="0"/>
              <w:left w:val="nil"/>
              <w:bottom w:val="single" w:color="000000" w:sz="4" w:space="0"/>
              <w:right w:val="nil"/>
              <w:tl2br w:val="nil"/>
            </w:tcBorders>
            <w:shd w:val="clear" w:color="auto" w:fill="FFFFFF"/>
            <w:vAlign w:val="center"/>
          </w:tcPr>
          <w:p w14:paraId="7229A28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竞争力量</w:t>
            </w:r>
          </w:p>
        </w:tc>
        <w:tc>
          <w:tcPr>
            <w:tcW w:w="1586" w:type="dxa"/>
            <w:tcBorders>
              <w:top w:val="single" w:color="000000" w:sz="12" w:space="0"/>
              <w:left w:val="nil"/>
              <w:bottom w:val="single" w:color="000000" w:sz="4" w:space="0"/>
              <w:right w:val="nil"/>
            </w:tcBorders>
            <w:shd w:val="clear" w:color="auto" w:fill="FFFFFF"/>
            <w:vAlign w:val="center"/>
          </w:tcPr>
          <w:p w14:paraId="34BD6EF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强度评分（1-5分）</w:t>
            </w:r>
          </w:p>
        </w:tc>
        <w:tc>
          <w:tcPr>
            <w:tcW w:w="3187" w:type="dxa"/>
            <w:tcBorders>
              <w:top w:val="single" w:color="000000" w:sz="12" w:space="0"/>
              <w:left w:val="nil"/>
              <w:bottom w:val="single" w:color="000000" w:sz="4" w:space="0"/>
              <w:right w:val="nil"/>
            </w:tcBorders>
            <w:shd w:val="clear" w:color="auto" w:fill="FFFFFF"/>
            <w:vAlign w:val="center"/>
          </w:tcPr>
          <w:p w14:paraId="10BEFF0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核心结论</w:t>
            </w:r>
          </w:p>
        </w:tc>
        <w:tc>
          <w:tcPr>
            <w:tcW w:w="2938" w:type="dxa"/>
            <w:tcBorders>
              <w:top w:val="single" w:color="000000" w:sz="12" w:space="0"/>
              <w:left w:val="nil"/>
              <w:bottom w:val="single" w:color="000000" w:sz="4" w:space="0"/>
              <w:right w:val="nil"/>
            </w:tcBorders>
            <w:shd w:val="clear" w:color="auto" w:fill="FFFFFF"/>
            <w:vAlign w:val="center"/>
          </w:tcPr>
          <w:p w14:paraId="40DEA12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对HSM的战略建议</w:t>
            </w:r>
          </w:p>
        </w:tc>
      </w:tr>
      <w:tr w14:paraId="3149B8C8">
        <w:tblPrEx>
          <w:tblCellMar>
            <w:top w:w="0" w:type="dxa"/>
            <w:left w:w="108" w:type="dxa"/>
            <w:bottom w:w="0" w:type="dxa"/>
            <w:right w:w="108" w:type="dxa"/>
          </w:tblCellMar>
        </w:tblPrEx>
        <w:tc>
          <w:tcPr>
            <w:tcW w:w="1246" w:type="dxa"/>
            <w:tcBorders>
              <w:top w:val="single" w:color="000000" w:sz="4" w:space="0"/>
              <w:left w:val="nil"/>
              <w:bottom w:val="nil"/>
              <w:right w:val="nil"/>
            </w:tcBorders>
            <w:shd w:val="clear" w:color="auto" w:fill="FFFFFF"/>
            <w:vAlign w:val="center"/>
          </w:tcPr>
          <w:p w14:paraId="3CE9EE27">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替代品威胁</w:t>
            </w:r>
          </w:p>
        </w:tc>
        <w:tc>
          <w:tcPr>
            <w:tcW w:w="1586" w:type="dxa"/>
            <w:tcBorders>
              <w:top w:val="single" w:color="000000" w:sz="4" w:space="0"/>
              <w:left w:val="nil"/>
              <w:bottom w:val="nil"/>
              <w:right w:val="nil"/>
            </w:tcBorders>
            <w:shd w:val="clear" w:color="auto" w:fill="FFFFFF"/>
            <w:vAlign w:val="center"/>
          </w:tcPr>
          <w:p w14:paraId="18925A3E">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2.3</w:t>
            </w:r>
          </w:p>
        </w:tc>
        <w:tc>
          <w:tcPr>
            <w:tcW w:w="3187" w:type="dxa"/>
            <w:tcBorders>
              <w:top w:val="single" w:color="000000" w:sz="4" w:space="0"/>
              <w:left w:val="nil"/>
              <w:bottom w:val="nil"/>
              <w:right w:val="nil"/>
            </w:tcBorders>
            <w:shd w:val="clear" w:color="auto" w:fill="FFFFFF"/>
            <w:vAlign w:val="center"/>
          </w:tcPr>
          <w:p w14:paraId="26AF2C26">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传统方法局限性大，其他技术各有局限</w:t>
            </w:r>
          </w:p>
        </w:tc>
        <w:tc>
          <w:tcPr>
            <w:tcW w:w="2938" w:type="dxa"/>
            <w:tcBorders>
              <w:top w:val="single" w:color="000000" w:sz="4" w:space="0"/>
              <w:left w:val="nil"/>
              <w:bottom w:val="nil"/>
              <w:right w:val="nil"/>
            </w:tcBorders>
            <w:shd w:val="clear" w:color="auto" w:fill="FFFFFF"/>
            <w:vAlign w:val="center"/>
          </w:tcPr>
          <w:p w14:paraId="701C3703">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突出DIC技术综合优势，推动技术融合创新</w:t>
            </w:r>
          </w:p>
        </w:tc>
      </w:tr>
      <w:tr w14:paraId="4A89AE92">
        <w:tblPrEx>
          <w:tblCellMar>
            <w:top w:w="0" w:type="dxa"/>
            <w:left w:w="108" w:type="dxa"/>
            <w:bottom w:w="0" w:type="dxa"/>
            <w:right w:w="108" w:type="dxa"/>
          </w:tblCellMar>
        </w:tblPrEx>
        <w:tc>
          <w:tcPr>
            <w:tcW w:w="1246" w:type="dxa"/>
            <w:tcBorders>
              <w:top w:val="nil"/>
              <w:left w:val="nil"/>
              <w:bottom w:val="nil"/>
              <w:right w:val="nil"/>
            </w:tcBorders>
            <w:shd w:val="clear" w:color="auto" w:fill="FFFFFF"/>
            <w:vAlign w:val="center"/>
          </w:tcPr>
          <w:p w14:paraId="377584E9">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供应商议价能力</w:t>
            </w:r>
          </w:p>
        </w:tc>
        <w:tc>
          <w:tcPr>
            <w:tcW w:w="1586" w:type="dxa"/>
            <w:tcBorders>
              <w:top w:val="nil"/>
              <w:left w:val="nil"/>
              <w:bottom w:val="nil"/>
              <w:right w:val="nil"/>
            </w:tcBorders>
            <w:shd w:val="clear" w:color="auto" w:fill="FFFFFF"/>
            <w:vAlign w:val="center"/>
          </w:tcPr>
          <w:p w14:paraId="4B652BBE">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3.3</w:t>
            </w:r>
          </w:p>
        </w:tc>
        <w:tc>
          <w:tcPr>
            <w:tcW w:w="3187" w:type="dxa"/>
            <w:tcBorders>
              <w:top w:val="nil"/>
              <w:left w:val="nil"/>
              <w:bottom w:val="nil"/>
              <w:right w:val="nil"/>
            </w:tcBorders>
            <w:shd w:val="clear" w:color="auto" w:fill="FFFFFF"/>
            <w:vAlign w:val="center"/>
          </w:tcPr>
          <w:p w14:paraId="31267548">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高端部件依赖进口，国产替代逐步推进</w:t>
            </w:r>
          </w:p>
        </w:tc>
        <w:tc>
          <w:tcPr>
            <w:tcW w:w="2938" w:type="dxa"/>
            <w:tcBorders>
              <w:top w:val="nil"/>
              <w:left w:val="nil"/>
              <w:bottom w:val="nil"/>
              <w:right w:val="nil"/>
            </w:tcBorders>
            <w:shd w:val="clear" w:color="auto" w:fill="FFFFFF"/>
            <w:vAlign w:val="center"/>
          </w:tcPr>
          <w:p w14:paraId="5D956407">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建立多元化供应商体系，加强国产替代合作</w:t>
            </w:r>
          </w:p>
        </w:tc>
      </w:tr>
      <w:tr w14:paraId="19731633">
        <w:tblPrEx>
          <w:tblCellMar>
            <w:top w:w="0" w:type="dxa"/>
            <w:left w:w="108" w:type="dxa"/>
            <w:bottom w:w="0" w:type="dxa"/>
            <w:right w:w="108" w:type="dxa"/>
          </w:tblCellMar>
        </w:tblPrEx>
        <w:tc>
          <w:tcPr>
            <w:tcW w:w="1246" w:type="dxa"/>
            <w:tcBorders>
              <w:top w:val="nil"/>
              <w:left w:val="nil"/>
              <w:bottom w:val="single" w:color="000000" w:sz="12" w:space="0"/>
              <w:right w:val="nil"/>
            </w:tcBorders>
            <w:shd w:val="clear" w:color="auto" w:fill="FFFFFF"/>
            <w:vAlign w:val="center"/>
          </w:tcPr>
          <w:p w14:paraId="0CE6249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客户议价能力</w:t>
            </w:r>
          </w:p>
        </w:tc>
        <w:tc>
          <w:tcPr>
            <w:tcW w:w="1586" w:type="dxa"/>
            <w:tcBorders>
              <w:top w:val="nil"/>
              <w:left w:val="nil"/>
              <w:bottom w:val="single" w:color="000000" w:sz="12" w:space="0"/>
              <w:right w:val="nil"/>
            </w:tcBorders>
            <w:shd w:val="clear" w:color="auto" w:fill="FFFFFF"/>
            <w:vAlign w:val="center"/>
          </w:tcPr>
          <w:p w14:paraId="2715C80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3.7</w:t>
            </w:r>
          </w:p>
        </w:tc>
        <w:tc>
          <w:tcPr>
            <w:tcW w:w="3187" w:type="dxa"/>
            <w:tcBorders>
              <w:top w:val="nil"/>
              <w:left w:val="nil"/>
              <w:bottom w:val="single" w:color="000000" w:sz="12" w:space="0"/>
              <w:right w:val="nil"/>
            </w:tcBorders>
            <w:shd w:val="clear" w:color="auto" w:fill="FFFFFF"/>
            <w:vAlign w:val="center"/>
          </w:tcPr>
          <w:p w14:paraId="1CFFED8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大型客户议价能力强，中小客户相对较弱</w:t>
            </w:r>
          </w:p>
        </w:tc>
        <w:tc>
          <w:tcPr>
            <w:tcW w:w="2938" w:type="dxa"/>
            <w:tcBorders>
              <w:top w:val="nil"/>
              <w:left w:val="nil"/>
              <w:bottom w:val="single" w:color="000000" w:sz="12" w:space="0"/>
              <w:right w:val="nil"/>
            </w:tcBorders>
            <w:shd w:val="clear" w:color="auto" w:fill="FFFFFF"/>
            <w:vAlign w:val="center"/>
          </w:tcPr>
          <w:p w14:paraId="48039EC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实施客户分层管理，提升产品差异化水平</w:t>
            </w:r>
          </w:p>
        </w:tc>
      </w:tr>
    </w:tbl>
    <w:p w14:paraId="74597688">
      <w:pPr>
        <w:pStyle w:val="36"/>
        <w:spacing w:before="0" w:after="0" w:line="400" w:lineRule="exact"/>
        <w:ind w:firstLine="480" w:firstLineChars="200"/>
        <w:jc w:val="both"/>
        <w:rPr>
          <w:rFonts w:ascii="Times New Roman" w:hAnsi="Times New Roman"/>
        </w:rPr>
      </w:pPr>
      <w:r>
        <w:rPr>
          <w:rFonts w:ascii="Times New Roman" w:hAnsi="Times New Roman"/>
        </w:rPr>
        <w:t>行业竞争格局总体判断：视觉力学传感器行业竞争激烈，但存在结构性机会。（1）高端市场：国际巨头占据主导，竞争焦点是技术性能和品牌影响力；（2）中端市场：国内领先企业竞争激烈，竞争焦点是性价比和行业解决方案；（3）低端市场：价格竞争激烈，利润率低，存在整合机会。</w:t>
      </w:r>
    </w:p>
    <w:p w14:paraId="2BF61A4C">
      <w:pPr>
        <w:pStyle w:val="36"/>
        <w:spacing w:before="0" w:after="0" w:line="400" w:lineRule="exact"/>
        <w:ind w:firstLine="480" w:firstLineChars="200"/>
        <w:jc w:val="both"/>
      </w:pPr>
      <w:r>
        <w:rPr>
          <w:rFonts w:ascii="Times New Roman" w:hAnsi="Times New Roman"/>
        </w:rPr>
        <w:t>对HSM的战略启示：基于五力分析，HSM应采取以下竞争策略：（1）差异化战略：以第三代DIC技术为核心，开发智能化、平台化产品，避免同质化竞争；（2）聚焦战略：深耕重点行业和重点客户，建立行业标杆案例，形成局部竞争优势；（3）成本领先战略：通过标准化设计和规模化生产降低生产成本，建立成本优势；（4）合作战略：与供应商、客户、科研院所建立战略合作关系，构建产业生态系统。</w:t>
      </w:r>
    </w:p>
    <w:bookmarkEnd w:id="69"/>
    <w:bookmarkEnd w:id="87"/>
    <w:p w14:paraId="5642A9F9">
      <w:pPr>
        <w:pStyle w:val="3"/>
      </w:pPr>
      <w:bookmarkStart w:id="88" w:name="_Toc222822775"/>
      <w:bookmarkStart w:id="89" w:name="_Toc222913146"/>
      <w:bookmarkStart w:id="90" w:name="视觉安全监测主要应用场景深度分析"/>
      <w:r>
        <w:t>3.4 视觉安全监测主要应用场景深度分析</w:t>
      </w:r>
      <w:bookmarkEnd w:id="88"/>
      <w:bookmarkEnd w:id="89"/>
    </w:p>
    <w:p w14:paraId="3521576D">
      <w:pPr>
        <w:pStyle w:val="36"/>
        <w:spacing w:before="0" w:after="0" w:line="400" w:lineRule="exact"/>
        <w:ind w:firstLine="480" w:firstLineChars="200"/>
        <w:jc w:val="both"/>
        <w:rPr>
          <w:rFonts w:ascii="Times New Roman" w:hAnsi="Times New Roman"/>
        </w:rPr>
      </w:pPr>
      <w:r>
        <w:rPr>
          <w:rFonts w:ascii="Times New Roman" w:hAnsi="Times New Roman"/>
        </w:rPr>
        <w:t>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p w14:paraId="1C1D6BA9">
      <w:pPr>
        <w:pStyle w:val="5"/>
      </w:pPr>
      <w:bookmarkStart w:id="91" w:name="_Toc222913147"/>
      <w:bookmarkStart w:id="92" w:name="_Toc222822776"/>
      <w:bookmarkStart w:id="93" w:name="桥梁健康监测市场分析"/>
      <w:r>
        <w:t>3.4.1 桥梁健康监测市场分析</w:t>
      </w:r>
      <w:bookmarkEnd w:id="91"/>
      <w:bookmarkEnd w:id="92"/>
    </w:p>
    <w:p w14:paraId="657C59DB">
      <w:pPr>
        <w:pStyle w:val="36"/>
        <w:spacing w:before="0" w:after="0" w:line="400" w:lineRule="exact"/>
        <w:ind w:firstLine="480" w:firstLineChars="200"/>
        <w:jc w:val="both"/>
        <w:rPr>
          <w:rFonts w:ascii="Times New Roman" w:hAnsi="Times New Roman"/>
        </w:rPr>
      </w:pPr>
      <w:r>
        <w:rPr>
          <w:rFonts w:ascii="Times New Roman" w:hAnsi="Times New Roman"/>
        </w:rPr>
        <w:t>市场规模与增长趋势。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14:paraId="43669DF3">
      <w:pPr>
        <w:pStyle w:val="36"/>
        <w:spacing w:before="0" w:after="0" w:line="400" w:lineRule="exact"/>
        <w:ind w:firstLine="480" w:firstLineChars="200"/>
        <w:jc w:val="both"/>
        <w:rPr>
          <w:rFonts w:ascii="Times New Roman" w:hAnsi="Times New Roman"/>
        </w:rPr>
      </w:pPr>
      <w:r>
        <w:rPr>
          <w:rFonts w:ascii="Times New Roman" w:hAnsi="Times New Roman"/>
        </w:rPr>
        <w:t>技术方案与应用特点。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14:paraId="457BDF95">
      <w:pPr>
        <w:pStyle w:val="36"/>
        <w:spacing w:before="0" w:after="0" w:line="400" w:lineRule="exact"/>
        <w:ind w:firstLine="480" w:firstLineChars="200"/>
        <w:jc w:val="both"/>
        <w:rPr>
          <w:rFonts w:ascii="Times New Roman" w:hAnsi="Times New Roman"/>
        </w:rPr>
      </w:pPr>
      <w:r>
        <w:rPr>
          <w:rFonts w:ascii="Times New Roman" w:hAnsi="Times New Roman"/>
        </w:rPr>
        <w:t>主要厂商竞争格局。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14:paraId="70BE0657">
      <w:pPr>
        <w:pStyle w:val="36"/>
        <w:spacing w:before="0" w:after="0" w:line="400" w:lineRule="exact"/>
        <w:ind w:firstLine="480" w:firstLineChars="200"/>
        <w:jc w:val="both"/>
        <w:rPr>
          <w:rFonts w:ascii="Times New Roman" w:hAnsi="Times New Roman"/>
        </w:rPr>
      </w:pPr>
      <w:r>
        <w:rPr>
          <w:rFonts w:ascii="Times New Roman" w:hAnsi="Times New Roman"/>
        </w:rPr>
        <w:t>政策支持与市场机遇。交通运输部《“十四五”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93"/>
    <w:p w14:paraId="614F2007">
      <w:pPr>
        <w:pStyle w:val="5"/>
      </w:pPr>
      <w:bookmarkStart w:id="94" w:name="_Toc222822777"/>
      <w:bookmarkStart w:id="95" w:name="_Toc222913148"/>
      <w:bookmarkStart w:id="96" w:name="隧道收敛监测市场分析"/>
      <w:r>
        <w:t>3.4.2 隧道收敛监测市场分析</w:t>
      </w:r>
      <w:bookmarkEnd w:id="94"/>
      <w:bookmarkEnd w:id="95"/>
    </w:p>
    <w:p w14:paraId="25DB7B9D">
      <w:pPr>
        <w:pStyle w:val="36"/>
        <w:spacing w:before="0" w:after="0" w:line="400" w:lineRule="exact"/>
        <w:ind w:firstLine="480" w:firstLineChars="200"/>
        <w:jc w:val="both"/>
        <w:rPr>
          <w:rFonts w:ascii="Times New Roman" w:hAnsi="Times New Roman"/>
        </w:rPr>
      </w:pPr>
      <w:r>
        <w:rPr>
          <w:rFonts w:ascii="Times New Roman" w:hAnsi="Times New Roman"/>
        </w:rPr>
        <w:t>市场规模与区域分布。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14:paraId="1D32EA7A">
      <w:pPr>
        <w:pStyle w:val="36"/>
        <w:spacing w:before="0" w:after="0" w:line="400" w:lineRule="exact"/>
        <w:ind w:firstLine="480" w:firstLineChars="200"/>
        <w:jc w:val="both"/>
        <w:rPr>
          <w:rFonts w:ascii="Times New Roman" w:hAnsi="Times New Roman"/>
        </w:rPr>
      </w:pPr>
      <w:r>
        <w:rPr>
          <w:rFonts w:ascii="Times New Roman" w:hAnsi="Times New Roman"/>
        </w:rPr>
        <w:t>技术挑战与解决方案。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14:paraId="58063B42">
      <w:pPr>
        <w:pStyle w:val="36"/>
        <w:spacing w:before="0" w:after="0" w:line="400" w:lineRule="exact"/>
        <w:ind w:firstLine="480" w:firstLineChars="200"/>
        <w:jc w:val="both"/>
        <w:rPr>
          <w:rFonts w:ascii="Times New Roman" w:hAnsi="Times New Roman"/>
        </w:rPr>
      </w:pPr>
      <w:r>
        <w:rPr>
          <w:rFonts w:ascii="Times New Roman" w:hAnsi="Times New Roman"/>
        </w:rPr>
        <w:t>应用案例与发展趋势。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96"/>
    <w:p w14:paraId="75786197">
      <w:pPr>
        <w:pStyle w:val="5"/>
      </w:pPr>
      <w:bookmarkStart w:id="97" w:name="_Toc222913149"/>
      <w:bookmarkStart w:id="98" w:name="_Toc222822778"/>
      <w:bookmarkStart w:id="99" w:name="边坡位移监测市场分析"/>
      <w:r>
        <w:t>3.4.3 边坡位移监测市场分析</w:t>
      </w:r>
      <w:bookmarkEnd w:id="97"/>
      <w:bookmarkEnd w:id="98"/>
    </w:p>
    <w:p w14:paraId="71D4A453">
      <w:pPr>
        <w:pStyle w:val="36"/>
        <w:spacing w:before="0" w:after="0" w:line="400" w:lineRule="exact"/>
        <w:ind w:firstLine="480" w:firstLineChars="200"/>
        <w:jc w:val="both"/>
        <w:rPr>
          <w:rFonts w:ascii="Times New Roman" w:hAnsi="Times New Roman"/>
        </w:rPr>
      </w:pPr>
      <w:r>
        <w:rPr>
          <w:rFonts w:ascii="Times New Roman" w:hAnsi="Times New Roman"/>
        </w:rPr>
        <w:t>市场规模与需求特征。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14:paraId="68F330FA">
      <w:pPr>
        <w:pStyle w:val="36"/>
        <w:spacing w:before="0" w:after="0" w:line="400" w:lineRule="exact"/>
        <w:ind w:firstLine="480" w:firstLineChars="200"/>
        <w:jc w:val="both"/>
        <w:rPr>
          <w:rFonts w:ascii="Times New Roman" w:hAnsi="Times New Roman"/>
        </w:rPr>
      </w:pPr>
      <w:r>
        <w:rPr>
          <w:rFonts w:ascii="Times New Roman" w:hAnsi="Times New Roman"/>
        </w:rPr>
        <w:t>技术方案与系统集成。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14:paraId="7A1CCCD3">
      <w:pPr>
        <w:pStyle w:val="36"/>
        <w:spacing w:before="0" w:after="0" w:line="400" w:lineRule="exact"/>
        <w:ind w:firstLine="480" w:firstLineChars="200"/>
        <w:jc w:val="both"/>
        <w:rPr>
          <w:rFonts w:ascii="Times New Roman" w:hAnsi="Times New Roman"/>
        </w:rPr>
      </w:pPr>
      <w:r>
        <w:rPr>
          <w:rFonts w:ascii="Times New Roman" w:hAnsi="Times New Roman"/>
        </w:rPr>
        <w:t>应用领域与市场机遇。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十四五”国家应急体系规划》明确提出加强地质灾害监测预警能力建设，为视觉监测技术提供了政策支持。</w:t>
      </w:r>
    </w:p>
    <w:bookmarkEnd w:id="99"/>
    <w:p w14:paraId="719E4CC6">
      <w:pPr>
        <w:pStyle w:val="5"/>
      </w:pPr>
      <w:bookmarkStart w:id="100" w:name="_Toc222822779"/>
      <w:bookmarkStart w:id="101" w:name="_Toc222913150"/>
      <w:bookmarkStart w:id="102" w:name="国家政策环境分析"/>
      <w:r>
        <w:t>3.4.4 国家政策环境分析</w:t>
      </w:r>
      <w:bookmarkEnd w:id="100"/>
      <w:bookmarkEnd w:id="101"/>
    </w:p>
    <w:p w14:paraId="6E27F00C">
      <w:pPr>
        <w:pStyle w:val="36"/>
        <w:spacing w:before="0" w:after="0" w:line="400" w:lineRule="exact"/>
        <w:ind w:firstLine="480" w:firstLineChars="200"/>
        <w:jc w:val="both"/>
        <w:rPr>
          <w:rFonts w:ascii="Times New Roman" w:hAnsi="Times New Roman"/>
        </w:rPr>
      </w:pPr>
      <w:r>
        <w:rPr>
          <w:rFonts w:ascii="Times New Roman" w:hAnsi="Times New Roman"/>
        </w:rPr>
        <w:t>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14:paraId="0F3C7950">
      <w:pPr>
        <w:pStyle w:val="36"/>
        <w:spacing w:before="0" w:after="0" w:line="400" w:lineRule="exact"/>
        <w:ind w:firstLine="480" w:firstLineChars="200"/>
        <w:jc w:val="both"/>
        <w:rPr>
          <w:rFonts w:ascii="Times New Roman" w:hAnsi="Times New Roman"/>
        </w:rPr>
      </w:pPr>
      <w:r>
        <w:rPr>
          <w:rFonts w:ascii="Times New Roman" w:hAnsi="Times New Roman"/>
        </w:rPr>
        <w:t>行业政策密集出台。《“十四五”国家应急体系规划》《“十四五”综合交通运输体系发展规划》《“十四五”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14:paraId="652FA853">
      <w:pPr>
        <w:pStyle w:val="36"/>
        <w:spacing w:before="0" w:after="0" w:line="400" w:lineRule="exact"/>
        <w:ind w:firstLine="480" w:firstLineChars="200"/>
        <w:jc w:val="both"/>
        <w:rPr>
          <w:rFonts w:ascii="Times New Roman" w:hAnsi="Times New Roman"/>
        </w:rPr>
      </w:pPr>
      <w:r>
        <w:rPr>
          <w:rFonts w:ascii="Times New Roman" w:hAnsi="Times New Roman"/>
        </w:rPr>
        <w:t>标准体系建设加速。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14:paraId="4A452406">
      <w:pPr>
        <w:pStyle w:val="36"/>
        <w:spacing w:before="0" w:after="0" w:line="400" w:lineRule="exact"/>
        <w:ind w:firstLine="480" w:firstLineChars="200"/>
        <w:jc w:val="both"/>
      </w:pPr>
      <w:r>
        <w:rPr>
          <w:rFonts w:ascii="Times New Roman" w:hAnsi="Times New Roman"/>
        </w:rPr>
        <w:t>政策影响评估：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bookmarkEnd w:id="90"/>
    <w:bookmarkEnd w:id="102"/>
    <w:p w14:paraId="27F05759">
      <w:pPr>
        <w:pStyle w:val="3"/>
      </w:pPr>
      <w:bookmarkStart w:id="103" w:name="_Toc222913151"/>
      <w:bookmarkStart w:id="104" w:name="_Toc222822780"/>
      <w:bookmarkStart w:id="105" w:name="本章小结"/>
      <w:r>
        <w:t>3.5 本章小结</w:t>
      </w:r>
      <w:bookmarkEnd w:id="103"/>
      <w:bookmarkEnd w:id="104"/>
    </w:p>
    <w:p w14:paraId="2E2E3D39">
      <w:pPr>
        <w:pStyle w:val="36"/>
        <w:spacing w:before="0" w:after="0" w:line="400" w:lineRule="exact"/>
        <w:ind w:firstLine="480" w:firstLineChars="200"/>
        <w:jc w:val="both"/>
        <w:rPr>
          <w:rFonts w:ascii="Times New Roman" w:hAnsi="Times New Roman"/>
        </w:rPr>
      </w:pPr>
      <w:r>
        <w:rPr>
          <w:rFonts w:ascii="Times New Roman" w:hAnsi="Times New Roman"/>
        </w:rPr>
        <w:t>本章采用PEST分析、波特五力模型等战略分析工具，系统研究了HSM公司的外部环境。分析表明，视觉力学传感器行业正处于快速发展阶段，为HSM的战略转型提供了有利的外部条件。</w:t>
      </w:r>
    </w:p>
    <w:p w14:paraId="7E831282">
      <w:pPr>
        <w:pStyle w:val="36"/>
        <w:spacing w:before="0" w:after="0" w:line="400" w:lineRule="exact"/>
        <w:ind w:firstLine="480" w:firstLineChars="200"/>
        <w:jc w:val="both"/>
        <w:rPr>
          <w:rFonts w:ascii="Times New Roman" w:hAnsi="Times New Roman"/>
        </w:rPr>
      </w:pPr>
      <w:r>
        <w:rPr>
          <w:rFonts w:ascii="Times New Roman" w:hAnsi="Times New Roman"/>
        </w:rPr>
        <w:t>宏观环境机遇大于挑战。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14:paraId="62816723">
      <w:pPr>
        <w:pStyle w:val="36"/>
        <w:spacing w:before="0" w:after="0" w:line="400" w:lineRule="exact"/>
        <w:ind w:firstLine="480" w:firstLineChars="200"/>
        <w:jc w:val="both"/>
        <w:rPr>
          <w:rFonts w:ascii="Times New Roman" w:hAnsi="Times New Roman"/>
        </w:rPr>
      </w:pPr>
      <w:r>
        <w:rPr>
          <w:rFonts w:ascii="Times New Roman" w:hAnsi="Times New Roman"/>
        </w:rPr>
        <w:t>行业竞争呈现结构性特征。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14:paraId="586A7F8B">
      <w:pPr>
        <w:pStyle w:val="36"/>
        <w:spacing w:before="0" w:after="0" w:line="400" w:lineRule="exact"/>
        <w:ind w:firstLine="480" w:firstLineChars="200"/>
        <w:jc w:val="both"/>
        <w:rPr>
          <w:rFonts w:ascii="Times New Roman" w:hAnsi="Times New Roman"/>
        </w:rPr>
      </w:pPr>
      <w:r>
        <w:rPr>
          <w:rFonts w:ascii="Times New Roman" w:hAnsi="Times New Roman"/>
        </w:rPr>
        <w:t>视觉安全监测成为重要增长点。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14:paraId="63E3F57E">
      <w:pPr>
        <w:pStyle w:val="36"/>
        <w:spacing w:before="0" w:after="0" w:line="400" w:lineRule="exact"/>
        <w:ind w:firstLine="480" w:firstLineChars="200"/>
        <w:jc w:val="both"/>
        <w:rPr>
          <w:rFonts w:ascii="Times New Roman" w:hAnsi="Times New Roman"/>
        </w:rPr>
      </w:pPr>
      <w:r>
        <w:rPr>
          <w:rFonts w:ascii="Times New Roman" w:hAnsi="Times New Roman"/>
        </w:rPr>
        <w:t>对HSM的战略启示：（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14:paraId="2FAA69B4">
      <w:pPr>
        <w:pStyle w:val="36"/>
        <w:spacing w:before="0" w:after="0" w:line="400" w:lineRule="exact"/>
        <w:ind w:firstLine="480" w:firstLineChars="200"/>
        <w:jc w:val="both"/>
        <w:rPr>
          <w:rFonts w:ascii="Times New Roman" w:hAnsi="Times New Roman"/>
        </w:rPr>
        <w:sectPr>
          <w:headerReference r:id="rId21" w:type="default"/>
          <w:headerReference r:id="rId22" w:type="even"/>
          <w:pgSz w:w="11905" w:h="16838"/>
          <w:pgMar w:top="1701" w:right="1474" w:bottom="1417" w:left="1474" w:header="1134" w:footer="992" w:gutter="0"/>
          <w:cols w:space="0" w:num="1"/>
          <w:docGrid w:type="linesAndChars" w:linePitch="327" w:charSpace="0"/>
        </w:sectPr>
      </w:pPr>
      <w:r>
        <w:rPr>
          <w:rFonts w:ascii="Times New Roman" w:hAnsi="Times New Roman"/>
        </w:rPr>
        <w:t>通过外部环境分析，HSM明确了战略转型的方向和重点。下一步将结合内部资源能力，制定具体的转型实施路径，实现从项目制向产品化的成功转型。</w:t>
      </w:r>
    </w:p>
    <w:bookmarkEnd w:id="39"/>
    <w:bookmarkEnd w:id="105"/>
    <w:p w14:paraId="0EE1723B">
      <w:pPr>
        <w:pStyle w:val="2"/>
      </w:pPr>
      <w:bookmarkStart w:id="106" w:name="_Toc222913152"/>
      <w:bookmarkStart w:id="107" w:name="_Toc222822781"/>
      <w:bookmarkStart w:id="108" w:name="第四章-hsm战略转型的动因分析"/>
      <w:r>
        <w:t>第四章 HSM战略转型的动因分析</w:t>
      </w:r>
      <w:bookmarkEnd w:id="106"/>
      <w:bookmarkEnd w:id="107"/>
    </w:p>
    <w:p w14:paraId="1CEF378C">
      <w:pPr>
        <w:pStyle w:val="3"/>
      </w:pPr>
      <w:bookmarkStart w:id="109" w:name="_Toc222822782"/>
      <w:bookmarkStart w:id="110" w:name="_Toc222913153"/>
      <w:bookmarkStart w:id="111" w:name="hsm基本情况"/>
      <w:r>
        <w:t>4.1 HSM基本情况</w:t>
      </w:r>
      <w:bookmarkEnd w:id="109"/>
      <w:bookmarkEnd w:id="110"/>
    </w:p>
    <w:p w14:paraId="418DB21B">
      <w:pPr>
        <w:pStyle w:val="36"/>
        <w:spacing w:before="0" w:after="0" w:line="400" w:lineRule="exact"/>
        <w:ind w:firstLine="480" w:firstLineChars="200"/>
        <w:jc w:val="both"/>
        <w:rPr>
          <w:rFonts w:ascii="Times New Roman" w:hAnsi="Times New Roman"/>
        </w:rPr>
      </w:pPr>
      <w:r>
        <w:rPr>
          <w:rFonts w:ascii="Times New Roman" w:hAnsi="Times New Roman"/>
        </w:rPr>
        <w:t>HSM公司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14:paraId="428FCFFB">
      <w:pPr>
        <w:pStyle w:val="36"/>
        <w:spacing w:before="0" w:after="0" w:line="400" w:lineRule="exact"/>
        <w:ind w:firstLine="480" w:firstLineChars="200"/>
        <w:jc w:val="both"/>
        <w:rPr>
          <w:rFonts w:ascii="Times New Roman" w:hAnsi="Times New Roman"/>
        </w:rPr>
      </w:pPr>
      <w:r>
        <w:rPr>
          <w:rFonts w:ascii="Times New Roman" w:hAnsi="Times New Roman"/>
        </w:rPr>
        <w:t>作为深圳市种子独角兽企业，HSM秉承”技术创新、客户至上、质量为本”的经营理念，累计服务超过1000家客户，包括一汽集团、比亚迪、宁德时代等标杆企业，在DIC视觉传感器领域建立了国内领先的技术优势和品牌影响力。</w:t>
      </w:r>
    </w:p>
    <w:p w14:paraId="168F61E3">
      <w:pPr>
        <w:pStyle w:val="4"/>
        <w:spacing w:before="240" w:after="120"/>
        <w:jc w:val="center"/>
        <w:rPr>
          <w:rFonts w:ascii="Times New Roman" w:hAnsi="Times New Roman"/>
          <w:sz w:val="22"/>
        </w:rPr>
      </w:pPr>
      <w:bookmarkStart w:id="112" w:name="_Toc222822783"/>
      <w:bookmarkStart w:id="113" w:name="表4-1hsm三大产品线基本特征对比"/>
      <w:r>
        <w:rPr>
          <w:rFonts w:ascii="Times New Roman" w:hAnsi="Times New Roman"/>
          <w:sz w:val="22"/>
        </w:rPr>
        <w:t>表4</w:t>
      </w:r>
      <w:r>
        <w:rPr>
          <w:rFonts w:hint="eastAsia" w:ascii="Times New Roman" w:hAnsi="Times New Roman"/>
          <w:sz w:val="22"/>
          <w:lang w:eastAsia="zh-CN"/>
        </w:rPr>
        <w:t>.</w:t>
      </w:r>
      <w:r>
        <w:rPr>
          <w:rFonts w:ascii="Times New Roman" w:hAnsi="Times New Roman"/>
          <w:sz w:val="22"/>
        </w:rPr>
        <w:t>1：HSM三大产品线基本特征对比</w:t>
      </w:r>
      <w:bookmarkEnd w:id="112"/>
    </w:p>
    <w:tbl>
      <w:tblPr>
        <w:tblStyle w:val="41"/>
        <w:tblW w:w="5000" w:type="pct"/>
        <w:tblInd w:w="0" w:type="dxa"/>
        <w:tblLayout w:type="autofit"/>
        <w:tblCellMar>
          <w:top w:w="0" w:type="dxa"/>
          <w:left w:w="108" w:type="dxa"/>
          <w:bottom w:w="0" w:type="dxa"/>
          <w:right w:w="108" w:type="dxa"/>
        </w:tblCellMar>
      </w:tblPr>
      <w:tblGrid>
        <w:gridCol w:w="1098"/>
        <w:gridCol w:w="1794"/>
        <w:gridCol w:w="1419"/>
        <w:gridCol w:w="2461"/>
        <w:gridCol w:w="937"/>
        <w:gridCol w:w="1464"/>
      </w:tblGrid>
      <w:tr w14:paraId="0A84ACEE">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0C3C8816">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产品线</w:t>
            </w:r>
          </w:p>
        </w:tc>
        <w:tc>
          <w:tcPr>
            <w:tcW w:w="0" w:type="auto"/>
            <w:tcBorders>
              <w:top w:val="single" w:color="000000" w:sz="12" w:space="0"/>
              <w:left w:val="nil"/>
              <w:bottom w:val="single" w:color="000000" w:sz="4" w:space="0"/>
              <w:right w:val="nil"/>
            </w:tcBorders>
            <w:shd w:val="clear" w:color="auto" w:fill="FFFFFF"/>
            <w:vAlign w:val="center"/>
          </w:tcPr>
          <w:p w14:paraId="712BB26F">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技术核心</w:t>
            </w:r>
          </w:p>
        </w:tc>
        <w:tc>
          <w:tcPr>
            <w:tcW w:w="0" w:type="auto"/>
            <w:tcBorders>
              <w:top w:val="single" w:color="000000" w:sz="12" w:space="0"/>
              <w:left w:val="nil"/>
              <w:bottom w:val="single" w:color="000000" w:sz="4" w:space="0"/>
              <w:right w:val="nil"/>
            </w:tcBorders>
            <w:shd w:val="clear" w:color="auto" w:fill="FFFFFF"/>
            <w:vAlign w:val="center"/>
          </w:tcPr>
          <w:p w14:paraId="405414ED">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产品形态</w:t>
            </w:r>
          </w:p>
        </w:tc>
        <w:tc>
          <w:tcPr>
            <w:tcW w:w="0" w:type="auto"/>
            <w:tcBorders>
              <w:top w:val="single" w:color="000000" w:sz="12" w:space="0"/>
              <w:left w:val="nil"/>
              <w:bottom w:val="single" w:color="000000" w:sz="4" w:space="0"/>
              <w:right w:val="nil"/>
            </w:tcBorders>
            <w:shd w:val="clear" w:color="auto" w:fill="FFFFFF"/>
            <w:vAlign w:val="center"/>
          </w:tcPr>
          <w:p w14:paraId="01BCF01D">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主要应用场景</w:t>
            </w:r>
          </w:p>
        </w:tc>
        <w:tc>
          <w:tcPr>
            <w:tcW w:w="0" w:type="auto"/>
            <w:tcBorders>
              <w:top w:val="single" w:color="000000" w:sz="12" w:space="0"/>
              <w:left w:val="nil"/>
              <w:bottom w:val="single" w:color="000000" w:sz="4" w:space="0"/>
              <w:right w:val="nil"/>
            </w:tcBorders>
            <w:shd w:val="clear" w:color="auto" w:fill="FFFFFF"/>
            <w:vAlign w:val="center"/>
          </w:tcPr>
          <w:p w14:paraId="6BA42D0A">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发展阶段</w:t>
            </w:r>
          </w:p>
        </w:tc>
        <w:tc>
          <w:tcPr>
            <w:tcW w:w="0" w:type="auto"/>
            <w:tcBorders>
              <w:top w:val="single" w:color="000000" w:sz="12" w:space="0"/>
              <w:left w:val="nil"/>
              <w:bottom w:val="single" w:color="000000" w:sz="4" w:space="0"/>
              <w:right w:val="nil"/>
            </w:tcBorders>
            <w:shd w:val="clear" w:color="auto" w:fill="FFFFFF"/>
            <w:vAlign w:val="center"/>
          </w:tcPr>
          <w:p w14:paraId="10D49A81">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标准化程度</w:t>
            </w:r>
          </w:p>
        </w:tc>
      </w:tr>
      <w:tr w14:paraId="135C68E9">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52DF5510">
            <w:pPr>
              <w:pStyle w:val="37"/>
              <w:spacing w:before="60" w:after="60"/>
              <w:jc w:val="center"/>
              <w:rPr>
                <w:rFonts w:ascii="Times New Roman" w:hAnsi="Times New Roman" w:eastAsia="宋体"/>
                <w:b w:val="0"/>
                <w:color w:val="000000"/>
              </w:rPr>
            </w:pPr>
            <w:r>
              <w:rPr>
                <w:rFonts w:ascii="Times New Roman" w:hAnsi="Times New Roman" w:eastAsia="宋体"/>
                <w:b w:val="0"/>
                <w:bCs/>
                <w:color w:val="000000"/>
              </w:rPr>
              <w:t>视频引伸计</w:t>
            </w:r>
          </w:p>
        </w:tc>
        <w:tc>
          <w:tcPr>
            <w:tcW w:w="0" w:type="auto"/>
            <w:tcBorders>
              <w:top w:val="single" w:color="000000" w:sz="4" w:space="0"/>
              <w:left w:val="nil"/>
              <w:bottom w:val="nil"/>
              <w:right w:val="nil"/>
            </w:tcBorders>
            <w:shd w:val="clear" w:color="auto" w:fill="FFFFFF"/>
            <w:vAlign w:val="center"/>
          </w:tcPr>
          <w:p w14:paraId="0EAE257F">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单目三维DIC技术</w:t>
            </w:r>
          </w:p>
        </w:tc>
        <w:tc>
          <w:tcPr>
            <w:tcW w:w="0" w:type="auto"/>
            <w:tcBorders>
              <w:top w:val="single" w:color="000000" w:sz="4" w:space="0"/>
              <w:left w:val="nil"/>
              <w:bottom w:val="nil"/>
              <w:right w:val="nil"/>
            </w:tcBorders>
            <w:shd w:val="clear" w:color="auto" w:fill="FFFFFF"/>
            <w:vAlign w:val="center"/>
          </w:tcPr>
          <w:p w14:paraId="5DBBFACC">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标准化硬件设备</w:t>
            </w:r>
          </w:p>
        </w:tc>
        <w:tc>
          <w:tcPr>
            <w:tcW w:w="0" w:type="auto"/>
            <w:tcBorders>
              <w:top w:val="single" w:color="000000" w:sz="4" w:space="0"/>
              <w:left w:val="nil"/>
              <w:bottom w:val="nil"/>
              <w:right w:val="nil"/>
            </w:tcBorders>
            <w:shd w:val="clear" w:color="auto" w:fill="FFFFFF"/>
            <w:vAlign w:val="center"/>
          </w:tcPr>
          <w:p w14:paraId="167A8ED7">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材料力学测试、科研实验</w:t>
            </w:r>
          </w:p>
        </w:tc>
        <w:tc>
          <w:tcPr>
            <w:tcW w:w="0" w:type="auto"/>
            <w:tcBorders>
              <w:top w:val="single" w:color="000000" w:sz="4" w:space="0"/>
              <w:left w:val="nil"/>
              <w:bottom w:val="nil"/>
              <w:right w:val="nil"/>
            </w:tcBorders>
            <w:shd w:val="clear" w:color="auto" w:fill="FFFFFF"/>
            <w:vAlign w:val="center"/>
          </w:tcPr>
          <w:p w14:paraId="2A0E71F1">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成熟稳定</w:t>
            </w:r>
          </w:p>
        </w:tc>
        <w:tc>
          <w:tcPr>
            <w:tcW w:w="0" w:type="auto"/>
            <w:tcBorders>
              <w:top w:val="single" w:color="000000" w:sz="4" w:space="0"/>
              <w:left w:val="nil"/>
              <w:bottom w:val="nil"/>
              <w:right w:val="nil"/>
            </w:tcBorders>
            <w:shd w:val="clear" w:color="auto" w:fill="FFFFFF"/>
            <w:vAlign w:val="center"/>
          </w:tcPr>
          <w:p w14:paraId="47AD1F5B">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高度标准化</w:t>
            </w:r>
          </w:p>
        </w:tc>
      </w:tr>
      <w:tr w14:paraId="7E39FA90">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1E51833">
            <w:pPr>
              <w:pStyle w:val="37"/>
              <w:spacing w:before="60" w:after="60"/>
              <w:jc w:val="center"/>
              <w:rPr>
                <w:rFonts w:ascii="Times New Roman" w:hAnsi="Times New Roman" w:eastAsia="宋体"/>
                <w:b w:val="0"/>
                <w:color w:val="000000"/>
              </w:rPr>
            </w:pPr>
            <w:r>
              <w:rPr>
                <w:rFonts w:ascii="Times New Roman" w:hAnsi="Times New Roman" w:eastAsia="宋体"/>
                <w:b w:val="0"/>
                <w:bCs/>
                <w:color w:val="000000"/>
              </w:rPr>
              <w:t>视频应变仪</w:t>
            </w:r>
          </w:p>
        </w:tc>
        <w:tc>
          <w:tcPr>
            <w:tcW w:w="0" w:type="auto"/>
            <w:tcBorders>
              <w:top w:val="nil"/>
              <w:left w:val="nil"/>
              <w:bottom w:val="nil"/>
              <w:right w:val="nil"/>
            </w:tcBorders>
            <w:shd w:val="clear" w:color="auto" w:fill="FFFFFF"/>
            <w:vAlign w:val="center"/>
          </w:tcPr>
          <w:p w14:paraId="0E397A43">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智能DIC算法</w:t>
            </w:r>
          </w:p>
        </w:tc>
        <w:tc>
          <w:tcPr>
            <w:tcW w:w="0" w:type="auto"/>
            <w:tcBorders>
              <w:top w:val="nil"/>
              <w:left w:val="nil"/>
              <w:bottom w:val="nil"/>
              <w:right w:val="nil"/>
            </w:tcBorders>
            <w:shd w:val="clear" w:color="auto" w:fill="FFFFFF"/>
            <w:vAlign w:val="center"/>
          </w:tcPr>
          <w:p w14:paraId="791D4E34">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一体化测量系统</w:t>
            </w:r>
          </w:p>
        </w:tc>
        <w:tc>
          <w:tcPr>
            <w:tcW w:w="0" w:type="auto"/>
            <w:tcBorders>
              <w:top w:val="nil"/>
              <w:left w:val="nil"/>
              <w:bottom w:val="nil"/>
              <w:right w:val="nil"/>
            </w:tcBorders>
            <w:shd w:val="clear" w:color="auto" w:fill="FFFFFF"/>
            <w:vAlign w:val="center"/>
          </w:tcPr>
          <w:p w14:paraId="74754433">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工业质量控制、结构测试</w:t>
            </w:r>
          </w:p>
        </w:tc>
        <w:tc>
          <w:tcPr>
            <w:tcW w:w="0" w:type="auto"/>
            <w:tcBorders>
              <w:top w:val="nil"/>
              <w:left w:val="nil"/>
              <w:bottom w:val="nil"/>
              <w:right w:val="nil"/>
            </w:tcBorders>
            <w:shd w:val="clear" w:color="auto" w:fill="FFFFFF"/>
            <w:vAlign w:val="center"/>
          </w:tcPr>
          <w:p w14:paraId="71496181">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成熟稳定</w:t>
            </w:r>
          </w:p>
        </w:tc>
        <w:tc>
          <w:tcPr>
            <w:tcW w:w="0" w:type="auto"/>
            <w:tcBorders>
              <w:top w:val="nil"/>
              <w:left w:val="nil"/>
              <w:bottom w:val="nil"/>
              <w:right w:val="nil"/>
            </w:tcBorders>
            <w:shd w:val="clear" w:color="auto" w:fill="FFFFFF"/>
            <w:vAlign w:val="center"/>
          </w:tcPr>
          <w:p w14:paraId="3BAAF8FD">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高度标准化</w:t>
            </w:r>
          </w:p>
        </w:tc>
      </w:tr>
      <w:tr w14:paraId="2A0DA19F">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6F16C5A0">
            <w:pPr>
              <w:pStyle w:val="37"/>
              <w:spacing w:before="60" w:after="60"/>
              <w:jc w:val="center"/>
              <w:rPr>
                <w:rFonts w:ascii="Times New Roman" w:hAnsi="Times New Roman" w:eastAsia="宋体"/>
                <w:b w:val="0"/>
                <w:color w:val="000000"/>
              </w:rPr>
            </w:pPr>
            <w:r>
              <w:rPr>
                <w:rFonts w:ascii="Times New Roman" w:hAnsi="Times New Roman" w:eastAsia="宋体"/>
                <w:b w:val="0"/>
                <w:bCs/>
                <w:color w:val="000000"/>
              </w:rPr>
              <w:t>视频跟踪仪</w:t>
            </w:r>
          </w:p>
        </w:tc>
        <w:tc>
          <w:tcPr>
            <w:tcW w:w="0" w:type="auto"/>
            <w:tcBorders>
              <w:top w:val="nil"/>
              <w:left w:val="nil"/>
              <w:bottom w:val="single" w:color="000000" w:sz="12" w:space="0"/>
              <w:right w:val="nil"/>
            </w:tcBorders>
            <w:shd w:val="clear" w:color="auto" w:fill="FFFFFF"/>
            <w:vAlign w:val="center"/>
          </w:tcPr>
          <w:p w14:paraId="4C5FF7D7">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实时DIC+AI融合</w:t>
            </w:r>
          </w:p>
        </w:tc>
        <w:tc>
          <w:tcPr>
            <w:tcW w:w="0" w:type="auto"/>
            <w:tcBorders>
              <w:top w:val="nil"/>
              <w:left w:val="nil"/>
              <w:bottom w:val="single" w:color="000000" w:sz="12" w:space="0"/>
              <w:right w:val="nil"/>
            </w:tcBorders>
            <w:shd w:val="clear" w:color="auto" w:fill="FFFFFF"/>
            <w:vAlign w:val="center"/>
          </w:tcPr>
          <w:p w14:paraId="2ED81461">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系统解决方案</w:t>
            </w:r>
          </w:p>
        </w:tc>
        <w:tc>
          <w:tcPr>
            <w:tcW w:w="0" w:type="auto"/>
            <w:tcBorders>
              <w:top w:val="nil"/>
              <w:left w:val="nil"/>
              <w:bottom w:val="single" w:color="000000" w:sz="12" w:space="0"/>
              <w:right w:val="nil"/>
            </w:tcBorders>
            <w:shd w:val="clear" w:color="auto" w:fill="FFFFFF"/>
            <w:vAlign w:val="center"/>
          </w:tcPr>
          <w:p w14:paraId="711F3339">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基础设施安全监测、长期跟踪</w:t>
            </w:r>
          </w:p>
        </w:tc>
        <w:tc>
          <w:tcPr>
            <w:tcW w:w="0" w:type="auto"/>
            <w:tcBorders>
              <w:top w:val="nil"/>
              <w:left w:val="nil"/>
              <w:bottom w:val="single" w:color="000000" w:sz="12" w:space="0"/>
              <w:right w:val="nil"/>
            </w:tcBorders>
            <w:shd w:val="clear" w:color="auto" w:fill="FFFFFF"/>
            <w:vAlign w:val="center"/>
          </w:tcPr>
          <w:p w14:paraId="2D583A8F">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发展期</w:t>
            </w:r>
          </w:p>
        </w:tc>
        <w:tc>
          <w:tcPr>
            <w:tcW w:w="0" w:type="auto"/>
            <w:tcBorders>
              <w:top w:val="nil"/>
              <w:left w:val="nil"/>
              <w:bottom w:val="single" w:color="000000" w:sz="12" w:space="0"/>
              <w:right w:val="nil"/>
            </w:tcBorders>
            <w:shd w:val="clear" w:color="auto" w:fill="FFFFFF"/>
            <w:vAlign w:val="center"/>
          </w:tcPr>
          <w:p w14:paraId="1B3D97DB">
            <w:pPr>
              <w:pStyle w:val="37"/>
              <w:spacing w:before="60" w:after="60"/>
              <w:jc w:val="center"/>
              <w:rPr>
                <w:rFonts w:ascii="Times New Roman" w:hAnsi="Times New Roman" w:eastAsia="宋体"/>
                <w:b w:val="0"/>
                <w:color w:val="000000"/>
              </w:rPr>
            </w:pPr>
            <w:r>
              <w:rPr>
                <w:rFonts w:ascii="Times New Roman" w:hAnsi="Times New Roman" w:eastAsia="宋体"/>
                <w:b w:val="0"/>
                <w:color w:val="000000"/>
              </w:rPr>
              <w:t>半标准化/项目化</w:t>
            </w:r>
          </w:p>
        </w:tc>
      </w:tr>
    </w:tbl>
    <w:p w14:paraId="318157EB">
      <w:pPr>
        <w:pStyle w:val="36"/>
        <w:spacing w:before="0" w:after="0" w:line="400" w:lineRule="exact"/>
        <w:ind w:firstLine="480" w:firstLineChars="200"/>
        <w:jc w:val="both"/>
        <w:rPr>
          <w:rFonts w:ascii="Times New Roman" w:hAnsi="Times New Roman"/>
        </w:rPr>
      </w:pPr>
      <w:r>
        <w:rPr>
          <w:rFonts w:ascii="Times New Roman" w:hAnsi="Times New Roman"/>
        </w:rPr>
        <w:t>产品线发展特征：视频引伸计和视频应变仪已完成产品化转型，实现标准化批量生产；视频跟踪仪仍处于项目化发展阶段，每个项目需要深度定制设计和工程实施。</w:t>
      </w:r>
    </w:p>
    <w:bookmarkEnd w:id="111"/>
    <w:bookmarkEnd w:id="113"/>
    <w:p w14:paraId="7B88310E">
      <w:pPr>
        <w:pStyle w:val="3"/>
      </w:pPr>
      <w:bookmarkStart w:id="114" w:name="_Toc222822784"/>
      <w:bookmarkStart w:id="115" w:name="_Toc222913154"/>
      <w:bookmarkStart w:id="116" w:name="hsm内部资源和能力分析"/>
      <w:r>
        <w:t>4.2 HSM内部资源和能力分析</w:t>
      </w:r>
      <w:bookmarkEnd w:id="114"/>
      <w:bookmarkEnd w:id="115"/>
    </w:p>
    <w:p w14:paraId="387D0F22">
      <w:pPr>
        <w:pStyle w:val="5"/>
      </w:pPr>
      <w:bookmarkStart w:id="117" w:name="_Toc222913155"/>
      <w:bookmarkStart w:id="118" w:name="_Toc222822785"/>
      <w:bookmarkStart w:id="119" w:name="技术资源"/>
      <w:r>
        <w:t>4.2.1 技术资源</w:t>
      </w:r>
      <w:bookmarkEnd w:id="117"/>
      <w:bookmarkEnd w:id="118"/>
    </w:p>
    <w:p w14:paraId="2835D1EA">
      <w:pPr>
        <w:pStyle w:val="36"/>
        <w:spacing w:before="0" w:after="0" w:line="400" w:lineRule="exact"/>
        <w:ind w:firstLine="480" w:firstLineChars="200"/>
        <w:jc w:val="both"/>
        <w:rPr>
          <w:rFonts w:ascii="Times New Roman" w:hAnsi="Times New Roman"/>
        </w:rPr>
      </w:pPr>
      <w:r>
        <w:rPr>
          <w:rFonts w:ascii="Times New Roman" w:hAnsi="Times New Roman"/>
        </w:rPr>
        <w:t>核心技术突破：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14:paraId="79894447">
      <w:pPr>
        <w:pStyle w:val="36"/>
        <w:spacing w:before="0" w:after="0" w:line="400" w:lineRule="exact"/>
        <w:ind w:firstLine="480" w:firstLineChars="200"/>
        <w:jc w:val="both"/>
        <w:rPr>
          <w:rFonts w:ascii="Times New Roman" w:hAnsi="Times New Roman"/>
        </w:rPr>
      </w:pPr>
      <w:r>
        <w:rPr>
          <w:rFonts w:ascii="Times New Roman" w:hAnsi="Times New Roman"/>
        </w:rPr>
        <w:t>专利布局：公司在DIC视觉传感器领域累计申请专利数量居全国前列，构建了完善的技术保护体系。核心专利涵盖单目三维算法、硬件设计、系统集成等多个层面，形成了较高的技术壁垒。</w:t>
      </w:r>
    </w:p>
    <w:p w14:paraId="722EA9CB">
      <w:pPr>
        <w:pStyle w:val="36"/>
        <w:spacing w:before="0" w:after="0" w:line="400" w:lineRule="exact"/>
        <w:ind w:firstLine="480" w:firstLineChars="200"/>
        <w:jc w:val="both"/>
        <w:rPr>
          <w:rFonts w:ascii="Times New Roman" w:hAnsi="Times New Roman"/>
        </w:rPr>
      </w:pPr>
      <w:r>
        <w:rPr>
          <w:rFonts w:ascii="Times New Roman" w:hAnsi="Times New Roman"/>
        </w:rPr>
        <w:t>研发投入：作为硬科技企业，HSM研发投入占营业收入比例持续保持在20%以上，研发团队占员工总数的40%。公司建立了从算法研究、软件开发到硬件设计的全栈研发能力。</w:t>
      </w:r>
    </w:p>
    <w:bookmarkEnd w:id="119"/>
    <w:p w14:paraId="1AED620F">
      <w:pPr>
        <w:pStyle w:val="5"/>
      </w:pPr>
      <w:bookmarkStart w:id="120" w:name="_Toc222913156"/>
      <w:bookmarkStart w:id="121" w:name="_Toc222822786"/>
      <w:bookmarkStart w:id="122" w:name="产品资源"/>
      <w:r>
        <w:t>4.2.2 产品资源</w:t>
      </w:r>
      <w:bookmarkEnd w:id="120"/>
      <w:bookmarkEnd w:id="121"/>
    </w:p>
    <w:p w14:paraId="7B041F62">
      <w:pPr>
        <w:pStyle w:val="36"/>
        <w:spacing w:before="0" w:after="0" w:line="400" w:lineRule="exact"/>
        <w:ind w:firstLine="480" w:firstLineChars="200"/>
        <w:jc w:val="both"/>
        <w:rPr>
          <w:rFonts w:ascii="Times New Roman" w:hAnsi="Times New Roman"/>
        </w:rPr>
      </w:pPr>
      <w:r>
        <w:rPr>
          <w:rFonts w:ascii="Times New Roman" w:hAnsi="Times New Roman"/>
        </w:rPr>
        <w:t>HSM基于第三代DIC技术构建了完整的产品体系，三条产品线在产品形态、技术特点和生产模式上形成互补。</w:t>
      </w:r>
    </w:p>
    <w:p w14:paraId="7BA4BC68">
      <w:pPr>
        <w:pStyle w:val="36"/>
        <w:spacing w:before="0" w:after="0" w:line="400" w:lineRule="exact"/>
        <w:ind w:firstLine="480" w:firstLineChars="200"/>
        <w:jc w:val="both"/>
        <w:rPr>
          <w:rFonts w:ascii="Times New Roman" w:hAnsi="Times New Roman"/>
        </w:rPr>
      </w:pPr>
      <w:r>
        <w:rPr>
          <w:rFonts w:ascii="Times New Roman" w:hAnsi="Times New Roman"/>
        </w:rPr>
        <w:t>视频引伸计：作为现金牛产品，视频引伸计实现了完全标准化设计，月产能可达200-300台。产品采用模块化硬件和标准化软件，支持快速交付和批量生产。</w:t>
      </w:r>
    </w:p>
    <w:p w14:paraId="3F9A2590">
      <w:pPr>
        <w:pStyle w:val="4"/>
        <w:spacing w:before="240" w:after="120"/>
        <w:jc w:val="center"/>
        <w:rPr>
          <w:rFonts w:ascii="Times New Roman" w:hAnsi="Times New Roman"/>
          <w:sz w:val="22"/>
        </w:rPr>
      </w:pPr>
      <w:bookmarkStart w:id="123" w:name="表4-2视频引伸计生产链结构"/>
      <w:r>
        <w:rPr>
          <w:rFonts w:ascii="Times New Roman" w:hAnsi="Times New Roman"/>
          <w:sz w:val="22"/>
        </w:rPr>
        <w:t>表4</w:t>
      </w:r>
      <w:r>
        <w:rPr>
          <w:rFonts w:hint="eastAsia" w:ascii="Times New Roman" w:hAnsi="Times New Roman"/>
          <w:sz w:val="22"/>
          <w:lang w:eastAsia="zh-CN"/>
        </w:rPr>
        <w:t>.</w:t>
      </w:r>
      <w:r>
        <w:rPr>
          <w:rFonts w:ascii="Times New Roman" w:hAnsi="Times New Roman"/>
          <w:sz w:val="22"/>
        </w:rPr>
        <w:t>2：视频引伸计生产链结构</w:t>
      </w:r>
    </w:p>
    <w:tbl>
      <w:tblPr>
        <w:tblStyle w:val="41"/>
        <w:tblW w:w="5000" w:type="pct"/>
        <w:tblInd w:w="0" w:type="dxa"/>
        <w:tblLayout w:type="autofit"/>
        <w:tblCellMar>
          <w:top w:w="0" w:type="dxa"/>
          <w:left w:w="108" w:type="dxa"/>
          <w:bottom w:w="0" w:type="dxa"/>
          <w:right w:w="108" w:type="dxa"/>
        </w:tblCellMar>
      </w:tblPr>
      <w:tblGrid>
        <w:gridCol w:w="696"/>
        <w:gridCol w:w="1784"/>
        <w:gridCol w:w="1180"/>
        <w:gridCol w:w="1958"/>
        <w:gridCol w:w="1423"/>
        <w:gridCol w:w="2132"/>
      </w:tblGrid>
      <w:tr w14:paraId="34E3C675">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75AE7D6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生产环节</w:t>
            </w:r>
          </w:p>
        </w:tc>
        <w:tc>
          <w:tcPr>
            <w:tcW w:w="0" w:type="auto"/>
            <w:tcBorders>
              <w:top w:val="single" w:color="000000" w:sz="12" w:space="0"/>
              <w:left w:val="nil"/>
              <w:bottom w:val="single" w:color="000000" w:sz="4" w:space="0"/>
              <w:right w:val="nil"/>
            </w:tcBorders>
            <w:shd w:val="clear" w:color="auto" w:fill="FFFFFF"/>
            <w:vAlign w:val="center"/>
          </w:tcPr>
          <w:p w14:paraId="753152F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主要活动</w:t>
            </w:r>
          </w:p>
        </w:tc>
        <w:tc>
          <w:tcPr>
            <w:tcW w:w="0" w:type="auto"/>
            <w:tcBorders>
              <w:top w:val="single" w:color="000000" w:sz="12" w:space="0"/>
              <w:left w:val="nil"/>
              <w:bottom w:val="single" w:color="000000" w:sz="4" w:space="0"/>
              <w:right w:val="nil"/>
            </w:tcBorders>
            <w:shd w:val="clear" w:color="auto" w:fill="FFFFFF"/>
            <w:vAlign w:val="center"/>
          </w:tcPr>
          <w:p w14:paraId="03F363F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资源投入</w:t>
            </w:r>
          </w:p>
        </w:tc>
        <w:tc>
          <w:tcPr>
            <w:tcW w:w="0" w:type="auto"/>
            <w:tcBorders>
              <w:top w:val="single" w:color="000000" w:sz="12" w:space="0"/>
              <w:left w:val="nil"/>
              <w:bottom w:val="single" w:color="000000" w:sz="4" w:space="0"/>
              <w:right w:val="nil"/>
            </w:tcBorders>
            <w:shd w:val="clear" w:color="auto" w:fill="FFFFFF"/>
            <w:vAlign w:val="center"/>
          </w:tcPr>
          <w:p w14:paraId="6BC6B84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供应链特点</w:t>
            </w:r>
          </w:p>
        </w:tc>
        <w:tc>
          <w:tcPr>
            <w:tcW w:w="0" w:type="auto"/>
            <w:tcBorders>
              <w:top w:val="single" w:color="000000" w:sz="12" w:space="0"/>
              <w:left w:val="nil"/>
              <w:bottom w:val="single" w:color="000000" w:sz="4" w:space="0"/>
              <w:right w:val="nil"/>
            </w:tcBorders>
            <w:shd w:val="clear" w:color="auto" w:fill="FFFFFF"/>
            <w:vAlign w:val="center"/>
          </w:tcPr>
          <w:p w14:paraId="59C4EFC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成本结构</w:t>
            </w:r>
          </w:p>
        </w:tc>
        <w:tc>
          <w:tcPr>
            <w:tcW w:w="0" w:type="auto"/>
            <w:tcBorders>
              <w:top w:val="single" w:color="000000" w:sz="12" w:space="0"/>
              <w:left w:val="nil"/>
              <w:bottom w:val="single" w:color="000000" w:sz="4" w:space="0"/>
              <w:right w:val="nil"/>
            </w:tcBorders>
            <w:shd w:val="clear" w:color="auto" w:fill="FFFFFF"/>
            <w:vAlign w:val="center"/>
          </w:tcPr>
          <w:p w14:paraId="3A20DD4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质量控制</w:t>
            </w:r>
          </w:p>
        </w:tc>
      </w:tr>
      <w:tr w14:paraId="41D5A462">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4B2EB179">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研发设计</w:t>
            </w:r>
          </w:p>
        </w:tc>
        <w:tc>
          <w:tcPr>
            <w:tcW w:w="0" w:type="auto"/>
            <w:tcBorders>
              <w:top w:val="single" w:color="000000" w:sz="4" w:space="0"/>
              <w:left w:val="nil"/>
              <w:bottom w:val="nil"/>
              <w:right w:val="nil"/>
            </w:tcBorders>
            <w:shd w:val="clear" w:color="auto" w:fill="FFFFFF"/>
            <w:vAlign w:val="center"/>
          </w:tcPr>
          <w:p w14:paraId="7594C17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算法优化、硬件设计、软件开发</w:t>
            </w:r>
          </w:p>
        </w:tc>
        <w:tc>
          <w:tcPr>
            <w:tcW w:w="0" w:type="auto"/>
            <w:tcBorders>
              <w:top w:val="single" w:color="000000" w:sz="4" w:space="0"/>
              <w:left w:val="nil"/>
              <w:bottom w:val="nil"/>
              <w:right w:val="nil"/>
            </w:tcBorders>
            <w:shd w:val="clear" w:color="auto" w:fill="FFFFFF"/>
            <w:vAlign w:val="center"/>
          </w:tcPr>
          <w:p w14:paraId="0A84D47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研发人员占比15%</w:t>
            </w:r>
          </w:p>
        </w:tc>
        <w:tc>
          <w:tcPr>
            <w:tcW w:w="0" w:type="auto"/>
            <w:tcBorders>
              <w:top w:val="single" w:color="000000" w:sz="4" w:space="0"/>
              <w:left w:val="nil"/>
              <w:bottom w:val="nil"/>
              <w:right w:val="nil"/>
            </w:tcBorders>
            <w:shd w:val="clear" w:color="auto" w:fill="FFFFFF"/>
            <w:vAlign w:val="center"/>
          </w:tcPr>
          <w:p w14:paraId="72DDBD9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自主研发核心算法，外购标准电子元件</w:t>
            </w:r>
          </w:p>
        </w:tc>
        <w:tc>
          <w:tcPr>
            <w:tcW w:w="0" w:type="auto"/>
            <w:tcBorders>
              <w:top w:val="single" w:color="000000" w:sz="4" w:space="0"/>
              <w:left w:val="nil"/>
              <w:bottom w:val="nil"/>
              <w:right w:val="nil"/>
            </w:tcBorders>
            <w:shd w:val="clear" w:color="auto" w:fill="FFFFFF"/>
            <w:vAlign w:val="center"/>
          </w:tcPr>
          <w:p w14:paraId="08B93AF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研发投入占产品成本20%</w:t>
            </w:r>
          </w:p>
        </w:tc>
        <w:tc>
          <w:tcPr>
            <w:tcW w:w="0" w:type="auto"/>
            <w:tcBorders>
              <w:top w:val="single" w:color="000000" w:sz="4" w:space="0"/>
              <w:left w:val="nil"/>
              <w:bottom w:val="nil"/>
              <w:right w:val="nil"/>
            </w:tcBorders>
            <w:shd w:val="clear" w:color="auto" w:fill="FFFFFF"/>
            <w:vAlign w:val="center"/>
          </w:tcPr>
          <w:p w14:paraId="0B7F680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算法精度测试、硬件稳定性验证</w:t>
            </w:r>
          </w:p>
        </w:tc>
      </w:tr>
      <w:tr w14:paraId="099A9751">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062B05C">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采购供应</w:t>
            </w:r>
          </w:p>
        </w:tc>
        <w:tc>
          <w:tcPr>
            <w:tcW w:w="0" w:type="auto"/>
            <w:tcBorders>
              <w:top w:val="nil"/>
              <w:left w:val="nil"/>
              <w:bottom w:val="nil"/>
              <w:right w:val="nil"/>
            </w:tcBorders>
            <w:shd w:val="clear" w:color="auto" w:fill="FFFFFF"/>
            <w:vAlign w:val="center"/>
          </w:tcPr>
          <w:p w14:paraId="21BCBD5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图像传感器、镜头、处理芯片采购</w:t>
            </w:r>
          </w:p>
        </w:tc>
        <w:tc>
          <w:tcPr>
            <w:tcW w:w="0" w:type="auto"/>
            <w:tcBorders>
              <w:top w:val="nil"/>
              <w:left w:val="nil"/>
              <w:bottom w:val="nil"/>
              <w:right w:val="nil"/>
            </w:tcBorders>
            <w:shd w:val="clear" w:color="auto" w:fill="FFFFFF"/>
            <w:vAlign w:val="center"/>
          </w:tcPr>
          <w:p w14:paraId="3E08152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采购团队3-5人</w:t>
            </w:r>
          </w:p>
        </w:tc>
        <w:tc>
          <w:tcPr>
            <w:tcW w:w="0" w:type="auto"/>
            <w:tcBorders>
              <w:top w:val="nil"/>
              <w:left w:val="nil"/>
              <w:bottom w:val="nil"/>
              <w:right w:val="nil"/>
            </w:tcBorders>
            <w:shd w:val="clear" w:color="auto" w:fill="FFFFFF"/>
            <w:vAlign w:val="center"/>
          </w:tcPr>
          <w:p w14:paraId="52D2876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建立合格供应商库，主要供应商稳定</w:t>
            </w:r>
          </w:p>
        </w:tc>
        <w:tc>
          <w:tcPr>
            <w:tcW w:w="0" w:type="auto"/>
            <w:tcBorders>
              <w:top w:val="nil"/>
              <w:left w:val="nil"/>
              <w:bottom w:val="nil"/>
              <w:right w:val="nil"/>
            </w:tcBorders>
            <w:shd w:val="clear" w:color="auto" w:fill="FFFFFF"/>
            <w:vAlign w:val="center"/>
          </w:tcPr>
          <w:p w14:paraId="26BF60D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原材料成本占40%</w:t>
            </w:r>
          </w:p>
        </w:tc>
        <w:tc>
          <w:tcPr>
            <w:tcW w:w="0" w:type="auto"/>
            <w:tcBorders>
              <w:top w:val="nil"/>
              <w:left w:val="nil"/>
              <w:bottom w:val="nil"/>
              <w:right w:val="nil"/>
            </w:tcBorders>
            <w:shd w:val="clear" w:color="auto" w:fill="FFFFFF"/>
            <w:vAlign w:val="center"/>
          </w:tcPr>
          <w:p w14:paraId="5019467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供应商质量审核、来料检验</w:t>
            </w:r>
          </w:p>
        </w:tc>
      </w:tr>
      <w:tr w14:paraId="1A8222E2">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DAE155E">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生产制造</w:t>
            </w:r>
          </w:p>
        </w:tc>
        <w:tc>
          <w:tcPr>
            <w:tcW w:w="0" w:type="auto"/>
            <w:tcBorders>
              <w:top w:val="nil"/>
              <w:left w:val="nil"/>
              <w:bottom w:val="nil"/>
              <w:right w:val="nil"/>
            </w:tcBorders>
            <w:shd w:val="clear" w:color="auto" w:fill="FFFFFF"/>
            <w:vAlign w:val="center"/>
          </w:tcPr>
          <w:p w14:paraId="5FC7CC6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PCB贴片、组装、调试</w:t>
            </w:r>
          </w:p>
        </w:tc>
        <w:tc>
          <w:tcPr>
            <w:tcW w:w="0" w:type="auto"/>
            <w:tcBorders>
              <w:top w:val="nil"/>
              <w:left w:val="nil"/>
              <w:bottom w:val="nil"/>
              <w:right w:val="nil"/>
            </w:tcBorders>
            <w:shd w:val="clear" w:color="auto" w:fill="FFFFFF"/>
            <w:vAlign w:val="center"/>
          </w:tcPr>
          <w:p w14:paraId="0BFE6ED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生产线工人8-12人</w:t>
            </w:r>
          </w:p>
        </w:tc>
        <w:tc>
          <w:tcPr>
            <w:tcW w:w="0" w:type="auto"/>
            <w:tcBorders>
              <w:top w:val="nil"/>
              <w:left w:val="nil"/>
              <w:bottom w:val="nil"/>
              <w:right w:val="nil"/>
            </w:tcBorders>
            <w:shd w:val="clear" w:color="auto" w:fill="FFFFFF"/>
            <w:vAlign w:val="center"/>
          </w:tcPr>
          <w:p w14:paraId="7053882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委托专业电子厂贴片，自主组装调试</w:t>
            </w:r>
          </w:p>
        </w:tc>
        <w:tc>
          <w:tcPr>
            <w:tcW w:w="0" w:type="auto"/>
            <w:tcBorders>
              <w:top w:val="nil"/>
              <w:left w:val="nil"/>
              <w:bottom w:val="nil"/>
              <w:right w:val="nil"/>
            </w:tcBorders>
            <w:shd w:val="clear" w:color="auto" w:fill="FFFFFF"/>
            <w:vAlign w:val="center"/>
          </w:tcPr>
          <w:p w14:paraId="23506C8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制造成本占25%</w:t>
            </w:r>
          </w:p>
        </w:tc>
        <w:tc>
          <w:tcPr>
            <w:tcW w:w="0" w:type="auto"/>
            <w:tcBorders>
              <w:top w:val="nil"/>
              <w:left w:val="nil"/>
              <w:bottom w:val="nil"/>
              <w:right w:val="nil"/>
            </w:tcBorders>
            <w:shd w:val="clear" w:color="auto" w:fill="FFFFFF"/>
            <w:vAlign w:val="center"/>
          </w:tcPr>
          <w:p w14:paraId="0FA1367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过程质量控制、功能测试</w:t>
            </w:r>
          </w:p>
        </w:tc>
      </w:tr>
      <w:tr w14:paraId="4086CFF2">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3D40F0FF">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测试校准</w:t>
            </w:r>
          </w:p>
        </w:tc>
        <w:tc>
          <w:tcPr>
            <w:tcW w:w="0" w:type="auto"/>
            <w:tcBorders>
              <w:top w:val="nil"/>
              <w:left w:val="nil"/>
              <w:bottom w:val="nil"/>
              <w:right w:val="nil"/>
            </w:tcBorders>
            <w:shd w:val="clear" w:color="auto" w:fill="FFFFFF"/>
            <w:vAlign w:val="center"/>
          </w:tcPr>
          <w:p w14:paraId="3135B3A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精度校准、功能测试、老化测试</w:t>
            </w:r>
          </w:p>
        </w:tc>
        <w:tc>
          <w:tcPr>
            <w:tcW w:w="0" w:type="auto"/>
            <w:tcBorders>
              <w:top w:val="nil"/>
              <w:left w:val="nil"/>
              <w:bottom w:val="nil"/>
              <w:right w:val="nil"/>
            </w:tcBorders>
            <w:shd w:val="clear" w:color="auto" w:fill="FFFFFF"/>
            <w:vAlign w:val="center"/>
          </w:tcPr>
          <w:p w14:paraId="0B97F68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测试工程师4-6人</w:t>
            </w:r>
          </w:p>
        </w:tc>
        <w:tc>
          <w:tcPr>
            <w:tcW w:w="0" w:type="auto"/>
            <w:tcBorders>
              <w:top w:val="nil"/>
              <w:left w:val="nil"/>
              <w:bottom w:val="nil"/>
              <w:right w:val="nil"/>
            </w:tcBorders>
            <w:shd w:val="clear" w:color="auto" w:fill="FFFFFF"/>
            <w:vAlign w:val="center"/>
          </w:tcPr>
          <w:p w14:paraId="05FC9CD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建立标准校准流程，使用标准测试设备</w:t>
            </w:r>
          </w:p>
        </w:tc>
        <w:tc>
          <w:tcPr>
            <w:tcW w:w="0" w:type="auto"/>
            <w:tcBorders>
              <w:top w:val="nil"/>
              <w:left w:val="nil"/>
              <w:bottom w:val="nil"/>
              <w:right w:val="nil"/>
            </w:tcBorders>
            <w:shd w:val="clear" w:color="auto" w:fill="FFFFFF"/>
            <w:vAlign w:val="center"/>
          </w:tcPr>
          <w:p w14:paraId="1FA1CA2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测试成本占10%</w:t>
            </w:r>
          </w:p>
        </w:tc>
        <w:tc>
          <w:tcPr>
            <w:tcW w:w="0" w:type="auto"/>
            <w:tcBorders>
              <w:top w:val="nil"/>
              <w:left w:val="nil"/>
              <w:bottom w:val="nil"/>
              <w:right w:val="nil"/>
            </w:tcBorders>
            <w:shd w:val="clear" w:color="auto" w:fill="FFFFFF"/>
            <w:vAlign w:val="center"/>
          </w:tcPr>
          <w:p w14:paraId="0E8251C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全检+抽检结合，精度达标率&gt;99.5%</w:t>
            </w:r>
          </w:p>
        </w:tc>
      </w:tr>
      <w:tr w14:paraId="0EAC3660">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63370C63">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包装出货</w:t>
            </w:r>
          </w:p>
        </w:tc>
        <w:tc>
          <w:tcPr>
            <w:tcW w:w="0" w:type="auto"/>
            <w:tcBorders>
              <w:top w:val="nil"/>
              <w:left w:val="nil"/>
              <w:bottom w:val="single" w:color="000000" w:sz="12" w:space="0"/>
              <w:right w:val="nil"/>
            </w:tcBorders>
            <w:shd w:val="clear" w:color="auto" w:fill="FFFFFF"/>
            <w:vAlign w:val="center"/>
          </w:tcPr>
          <w:p w14:paraId="2B0B618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包装、说明书、软件预装</w:t>
            </w:r>
          </w:p>
        </w:tc>
        <w:tc>
          <w:tcPr>
            <w:tcW w:w="0" w:type="auto"/>
            <w:tcBorders>
              <w:top w:val="nil"/>
              <w:left w:val="nil"/>
              <w:bottom w:val="single" w:color="000000" w:sz="12" w:space="0"/>
              <w:right w:val="nil"/>
            </w:tcBorders>
            <w:shd w:val="clear" w:color="auto" w:fill="FFFFFF"/>
            <w:vAlign w:val="center"/>
          </w:tcPr>
          <w:p w14:paraId="1C71051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包装工人2-3人</w:t>
            </w:r>
          </w:p>
        </w:tc>
        <w:tc>
          <w:tcPr>
            <w:tcW w:w="0" w:type="auto"/>
            <w:tcBorders>
              <w:top w:val="nil"/>
              <w:left w:val="nil"/>
              <w:bottom w:val="single" w:color="000000" w:sz="12" w:space="0"/>
              <w:right w:val="nil"/>
            </w:tcBorders>
            <w:shd w:val="clear" w:color="auto" w:fill="FFFFFF"/>
            <w:vAlign w:val="center"/>
          </w:tcPr>
          <w:p w14:paraId="4A5A7DF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标准包装设计，批量生产</w:t>
            </w:r>
          </w:p>
        </w:tc>
        <w:tc>
          <w:tcPr>
            <w:tcW w:w="0" w:type="auto"/>
            <w:tcBorders>
              <w:top w:val="nil"/>
              <w:left w:val="nil"/>
              <w:bottom w:val="single" w:color="000000" w:sz="12" w:space="0"/>
              <w:right w:val="nil"/>
            </w:tcBorders>
            <w:shd w:val="clear" w:color="auto" w:fill="FFFFFF"/>
            <w:vAlign w:val="center"/>
          </w:tcPr>
          <w:p w14:paraId="58D7296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包装物流成本占5%</w:t>
            </w:r>
          </w:p>
        </w:tc>
        <w:tc>
          <w:tcPr>
            <w:tcW w:w="0" w:type="auto"/>
            <w:tcBorders>
              <w:top w:val="nil"/>
              <w:left w:val="nil"/>
              <w:bottom w:val="single" w:color="000000" w:sz="12" w:space="0"/>
              <w:right w:val="nil"/>
            </w:tcBorders>
            <w:shd w:val="clear" w:color="auto" w:fill="FFFFFF"/>
            <w:vAlign w:val="center"/>
          </w:tcPr>
          <w:p w14:paraId="32471A9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外观检查、配件完整性检查</w:t>
            </w:r>
          </w:p>
        </w:tc>
      </w:tr>
    </w:tbl>
    <w:p w14:paraId="43D0198B">
      <w:pPr>
        <w:pStyle w:val="36"/>
        <w:spacing w:before="0" w:after="0" w:line="400" w:lineRule="exact"/>
        <w:ind w:firstLine="480" w:firstLineChars="200"/>
        <w:jc w:val="both"/>
        <w:rPr>
          <w:rFonts w:ascii="Times New Roman" w:hAnsi="Times New Roman"/>
        </w:rPr>
      </w:pPr>
      <w:r>
        <w:rPr>
          <w:rFonts w:ascii="Times New Roman" w:hAnsi="Times New Roman"/>
        </w:rPr>
        <w:t>视频应变仪：作为明星产品，视频应变仪采用模块化配置设计，平衡了标准化与定制化的需求。产品融合了AI算法和工业级硬件，为工业质量控制提供智能化解决方案。</w:t>
      </w:r>
    </w:p>
    <w:bookmarkEnd w:id="123"/>
    <w:p w14:paraId="1EAAB047">
      <w:pPr>
        <w:pStyle w:val="4"/>
        <w:spacing w:before="240" w:after="120"/>
        <w:jc w:val="center"/>
        <w:rPr>
          <w:rFonts w:ascii="Times New Roman" w:hAnsi="Times New Roman"/>
          <w:sz w:val="22"/>
        </w:rPr>
      </w:pPr>
      <w:bookmarkStart w:id="124" w:name="表4-3视频应变仪生产链结构"/>
      <w:r>
        <w:rPr>
          <w:rFonts w:ascii="Times New Roman" w:hAnsi="Times New Roman"/>
          <w:sz w:val="22"/>
        </w:rPr>
        <w:t>表4</w:t>
      </w:r>
      <w:r>
        <w:rPr>
          <w:rFonts w:hint="eastAsia" w:ascii="Times New Roman" w:hAnsi="Times New Roman"/>
          <w:sz w:val="22"/>
          <w:lang w:eastAsia="zh-CN"/>
        </w:rPr>
        <w:t>.</w:t>
      </w:r>
      <w:r>
        <w:rPr>
          <w:rFonts w:ascii="Times New Roman" w:hAnsi="Times New Roman"/>
          <w:sz w:val="22"/>
        </w:rPr>
        <w:t>3：视频应变仪生产链结构</w:t>
      </w:r>
    </w:p>
    <w:tbl>
      <w:tblPr>
        <w:tblStyle w:val="41"/>
        <w:tblW w:w="5000" w:type="pct"/>
        <w:tblInd w:w="0" w:type="dxa"/>
        <w:tblLayout w:type="autofit"/>
        <w:tblCellMar>
          <w:top w:w="0" w:type="dxa"/>
          <w:left w:w="108" w:type="dxa"/>
          <w:bottom w:w="0" w:type="dxa"/>
          <w:right w:w="108" w:type="dxa"/>
        </w:tblCellMar>
      </w:tblPr>
      <w:tblGrid>
        <w:gridCol w:w="722"/>
        <w:gridCol w:w="1704"/>
        <w:gridCol w:w="1216"/>
        <w:gridCol w:w="2134"/>
        <w:gridCol w:w="1502"/>
        <w:gridCol w:w="1895"/>
      </w:tblGrid>
      <w:tr w14:paraId="0174C2AB">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28E3249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生产环节</w:t>
            </w:r>
          </w:p>
        </w:tc>
        <w:tc>
          <w:tcPr>
            <w:tcW w:w="0" w:type="auto"/>
            <w:tcBorders>
              <w:top w:val="single" w:color="000000" w:sz="12" w:space="0"/>
              <w:left w:val="nil"/>
              <w:bottom w:val="single" w:color="000000" w:sz="4" w:space="0"/>
              <w:right w:val="nil"/>
            </w:tcBorders>
            <w:shd w:val="clear" w:color="auto" w:fill="FFFFFF"/>
            <w:vAlign w:val="center"/>
          </w:tcPr>
          <w:p w14:paraId="118A9F8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主要活动</w:t>
            </w:r>
          </w:p>
        </w:tc>
        <w:tc>
          <w:tcPr>
            <w:tcW w:w="0" w:type="auto"/>
            <w:tcBorders>
              <w:top w:val="single" w:color="000000" w:sz="12" w:space="0"/>
              <w:left w:val="nil"/>
              <w:bottom w:val="single" w:color="000000" w:sz="4" w:space="0"/>
              <w:right w:val="nil"/>
            </w:tcBorders>
            <w:shd w:val="clear" w:color="auto" w:fill="FFFFFF"/>
            <w:vAlign w:val="center"/>
          </w:tcPr>
          <w:p w14:paraId="1D9E4A2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资源投入</w:t>
            </w:r>
          </w:p>
        </w:tc>
        <w:tc>
          <w:tcPr>
            <w:tcW w:w="0" w:type="auto"/>
            <w:tcBorders>
              <w:top w:val="single" w:color="000000" w:sz="12" w:space="0"/>
              <w:left w:val="nil"/>
              <w:bottom w:val="single" w:color="000000" w:sz="4" w:space="0"/>
              <w:right w:val="nil"/>
            </w:tcBorders>
            <w:shd w:val="clear" w:color="auto" w:fill="FFFFFF"/>
            <w:vAlign w:val="center"/>
          </w:tcPr>
          <w:p w14:paraId="22B1F31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供应链特点</w:t>
            </w:r>
          </w:p>
        </w:tc>
        <w:tc>
          <w:tcPr>
            <w:tcW w:w="0" w:type="auto"/>
            <w:tcBorders>
              <w:top w:val="single" w:color="000000" w:sz="12" w:space="0"/>
              <w:left w:val="nil"/>
              <w:bottom w:val="single" w:color="000000" w:sz="4" w:space="0"/>
              <w:right w:val="nil"/>
            </w:tcBorders>
            <w:shd w:val="clear" w:color="auto" w:fill="FFFFFF"/>
            <w:vAlign w:val="center"/>
          </w:tcPr>
          <w:p w14:paraId="6A84ABB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成本结构</w:t>
            </w:r>
          </w:p>
        </w:tc>
        <w:tc>
          <w:tcPr>
            <w:tcW w:w="0" w:type="auto"/>
            <w:tcBorders>
              <w:top w:val="single" w:color="000000" w:sz="12" w:space="0"/>
              <w:left w:val="nil"/>
              <w:bottom w:val="single" w:color="000000" w:sz="4" w:space="0"/>
              <w:right w:val="nil"/>
            </w:tcBorders>
            <w:shd w:val="clear" w:color="auto" w:fill="FFFFFF"/>
            <w:vAlign w:val="center"/>
          </w:tcPr>
          <w:p w14:paraId="61639EF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质量控制</w:t>
            </w:r>
          </w:p>
        </w:tc>
      </w:tr>
      <w:tr w14:paraId="4DF9F4BA">
        <w:tblPrEx>
          <w:tblCellMar>
            <w:top w:w="0" w:type="dxa"/>
            <w:left w:w="108" w:type="dxa"/>
            <w:bottom w:w="0" w:type="dxa"/>
            <w:right w:w="108" w:type="dxa"/>
          </w:tblCellMar>
        </w:tblPrEx>
        <w:tc>
          <w:tcPr>
            <w:tcW w:w="0" w:type="auto"/>
            <w:tcBorders>
              <w:top w:val="single" w:color="000000" w:sz="4" w:space="0"/>
              <w:left w:val="nil"/>
              <w:bottom w:val="single" w:color="000000" w:sz="12" w:space="0"/>
              <w:right w:val="nil"/>
            </w:tcBorders>
            <w:shd w:val="clear" w:color="auto" w:fill="FFFFFF"/>
            <w:vAlign w:val="center"/>
          </w:tcPr>
          <w:p w14:paraId="244783FD">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研发设计</w:t>
            </w:r>
          </w:p>
        </w:tc>
        <w:tc>
          <w:tcPr>
            <w:tcW w:w="0" w:type="auto"/>
            <w:tcBorders>
              <w:top w:val="single" w:color="000000" w:sz="4" w:space="0"/>
              <w:left w:val="nil"/>
              <w:bottom w:val="single" w:color="000000" w:sz="12" w:space="0"/>
              <w:right w:val="nil"/>
            </w:tcBorders>
            <w:shd w:val="clear" w:color="auto" w:fill="FFFFFF"/>
            <w:vAlign w:val="center"/>
          </w:tcPr>
          <w:p w14:paraId="729F408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智能算法开发、系统集成设计</w:t>
            </w:r>
          </w:p>
        </w:tc>
        <w:tc>
          <w:tcPr>
            <w:tcW w:w="0" w:type="auto"/>
            <w:tcBorders>
              <w:top w:val="single" w:color="000000" w:sz="4" w:space="0"/>
              <w:left w:val="nil"/>
              <w:bottom w:val="single" w:color="000000" w:sz="12" w:space="0"/>
              <w:right w:val="nil"/>
            </w:tcBorders>
            <w:shd w:val="clear" w:color="auto" w:fill="FFFFFF"/>
            <w:vAlign w:val="center"/>
          </w:tcPr>
          <w:p w14:paraId="0E124B0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研发人员占比20%</w:t>
            </w:r>
          </w:p>
        </w:tc>
        <w:tc>
          <w:tcPr>
            <w:tcW w:w="0" w:type="auto"/>
            <w:tcBorders>
              <w:top w:val="single" w:color="000000" w:sz="4" w:space="0"/>
              <w:left w:val="nil"/>
              <w:bottom w:val="single" w:color="000000" w:sz="12" w:space="0"/>
              <w:right w:val="nil"/>
            </w:tcBorders>
            <w:shd w:val="clear" w:color="auto" w:fill="FFFFFF"/>
            <w:vAlign w:val="center"/>
          </w:tcPr>
          <w:p w14:paraId="30ACDA6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自主研发AI算法，集成第三方软件模块</w:t>
            </w:r>
          </w:p>
        </w:tc>
        <w:tc>
          <w:tcPr>
            <w:tcW w:w="0" w:type="auto"/>
            <w:tcBorders>
              <w:top w:val="single" w:color="000000" w:sz="4" w:space="0"/>
              <w:left w:val="nil"/>
              <w:bottom w:val="single" w:color="000000" w:sz="12" w:space="0"/>
              <w:right w:val="nil"/>
            </w:tcBorders>
            <w:shd w:val="clear" w:color="auto" w:fill="FFFFFF"/>
            <w:vAlign w:val="center"/>
          </w:tcPr>
          <w:p w14:paraId="2C2DBD7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研发投入占产品成本25%</w:t>
            </w:r>
          </w:p>
        </w:tc>
        <w:tc>
          <w:tcPr>
            <w:tcW w:w="0" w:type="auto"/>
            <w:tcBorders>
              <w:top w:val="single" w:color="000000" w:sz="4" w:space="0"/>
              <w:left w:val="nil"/>
              <w:bottom w:val="single" w:color="000000" w:sz="12" w:space="0"/>
              <w:right w:val="nil"/>
            </w:tcBorders>
            <w:shd w:val="clear" w:color="auto" w:fill="FFFFFF"/>
            <w:vAlign w:val="center"/>
          </w:tcPr>
          <w:p w14:paraId="48BCF3A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算法鲁棒性测试、系统兼容性验证</w:t>
            </w:r>
          </w:p>
        </w:tc>
      </w:tr>
    </w:tbl>
    <w:p w14:paraId="296DCD21">
      <w:pPr>
        <w:pStyle w:val="4"/>
        <w:spacing w:before="240" w:after="120"/>
        <w:jc w:val="center"/>
      </w:pPr>
      <w:r>
        <w:rPr>
          <w:rFonts w:hint="eastAsia" w:ascii="Times New Roman" w:hAnsi="Times New Roman"/>
          <w:sz w:val="22"/>
          <w:lang w:val="en-US" w:eastAsia="zh-CN"/>
        </w:rPr>
        <w:t>续</w:t>
      </w:r>
      <w:r>
        <w:rPr>
          <w:rFonts w:ascii="Times New Roman" w:hAnsi="Times New Roman"/>
          <w:sz w:val="22"/>
        </w:rPr>
        <w:t>表4</w:t>
      </w:r>
      <w:r>
        <w:rPr>
          <w:rFonts w:hint="eastAsia" w:ascii="Times New Roman" w:hAnsi="Times New Roman"/>
          <w:sz w:val="22"/>
          <w:lang w:eastAsia="zh-CN"/>
        </w:rPr>
        <w:t>.</w:t>
      </w:r>
      <w:r>
        <w:rPr>
          <w:rFonts w:ascii="Times New Roman" w:hAnsi="Times New Roman"/>
          <w:sz w:val="22"/>
        </w:rPr>
        <w:t>3：视频应变仪生产链结构</w:t>
      </w:r>
    </w:p>
    <w:tbl>
      <w:tblPr>
        <w:tblStyle w:val="41"/>
        <w:tblW w:w="5000" w:type="pct"/>
        <w:tblInd w:w="0" w:type="dxa"/>
        <w:tblLayout w:type="autofit"/>
        <w:tblCellMar>
          <w:top w:w="0" w:type="dxa"/>
          <w:left w:w="108" w:type="dxa"/>
          <w:bottom w:w="0" w:type="dxa"/>
          <w:right w:w="108" w:type="dxa"/>
        </w:tblCellMar>
      </w:tblPr>
      <w:tblGrid>
        <w:gridCol w:w="742"/>
        <w:gridCol w:w="2086"/>
        <w:gridCol w:w="1322"/>
        <w:gridCol w:w="1882"/>
        <w:gridCol w:w="1258"/>
        <w:gridCol w:w="1883"/>
      </w:tblGrid>
      <w:tr w14:paraId="530CF9C0">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0EF5DFF2">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生产环节</w:t>
            </w:r>
          </w:p>
        </w:tc>
        <w:tc>
          <w:tcPr>
            <w:tcW w:w="0" w:type="auto"/>
            <w:tcBorders>
              <w:top w:val="single" w:color="000000" w:sz="12" w:space="0"/>
              <w:left w:val="nil"/>
              <w:bottom w:val="single" w:color="000000" w:sz="4" w:space="0"/>
              <w:right w:val="nil"/>
            </w:tcBorders>
            <w:shd w:val="clear" w:color="auto" w:fill="FFFFFF"/>
            <w:vAlign w:val="center"/>
          </w:tcPr>
          <w:p w14:paraId="1F421D4A">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主要活动</w:t>
            </w:r>
          </w:p>
        </w:tc>
        <w:tc>
          <w:tcPr>
            <w:tcW w:w="0" w:type="auto"/>
            <w:tcBorders>
              <w:top w:val="single" w:color="000000" w:sz="12" w:space="0"/>
              <w:left w:val="nil"/>
              <w:bottom w:val="single" w:color="000000" w:sz="4" w:space="0"/>
              <w:right w:val="nil"/>
            </w:tcBorders>
            <w:shd w:val="clear" w:color="auto" w:fill="FFFFFF"/>
            <w:vAlign w:val="center"/>
          </w:tcPr>
          <w:p w14:paraId="55660FE0">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资源投入</w:t>
            </w:r>
          </w:p>
        </w:tc>
        <w:tc>
          <w:tcPr>
            <w:tcW w:w="0" w:type="auto"/>
            <w:tcBorders>
              <w:top w:val="single" w:color="000000" w:sz="12" w:space="0"/>
              <w:left w:val="nil"/>
              <w:bottom w:val="single" w:color="000000" w:sz="4" w:space="0"/>
              <w:right w:val="nil"/>
            </w:tcBorders>
            <w:shd w:val="clear" w:color="auto" w:fill="FFFFFF"/>
            <w:vAlign w:val="center"/>
          </w:tcPr>
          <w:p w14:paraId="4CEFEDA7">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供应链特点</w:t>
            </w:r>
          </w:p>
        </w:tc>
        <w:tc>
          <w:tcPr>
            <w:tcW w:w="0" w:type="auto"/>
            <w:tcBorders>
              <w:top w:val="single" w:color="000000" w:sz="12" w:space="0"/>
              <w:left w:val="nil"/>
              <w:bottom w:val="single" w:color="000000" w:sz="4" w:space="0"/>
              <w:right w:val="nil"/>
            </w:tcBorders>
            <w:shd w:val="clear" w:color="auto" w:fill="FFFFFF"/>
            <w:vAlign w:val="center"/>
          </w:tcPr>
          <w:p w14:paraId="12E517FA">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成本结构</w:t>
            </w:r>
          </w:p>
        </w:tc>
        <w:tc>
          <w:tcPr>
            <w:tcW w:w="0" w:type="auto"/>
            <w:tcBorders>
              <w:top w:val="single" w:color="000000" w:sz="12" w:space="0"/>
              <w:left w:val="nil"/>
              <w:bottom w:val="single" w:color="000000" w:sz="4" w:space="0"/>
              <w:right w:val="nil"/>
            </w:tcBorders>
            <w:shd w:val="clear" w:color="auto" w:fill="FFFFFF"/>
            <w:vAlign w:val="center"/>
          </w:tcPr>
          <w:p w14:paraId="686B4C3D">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质量控制</w:t>
            </w:r>
          </w:p>
        </w:tc>
      </w:tr>
      <w:tr w14:paraId="40CD4661">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14A1A1EA">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采购供应</w:t>
            </w:r>
          </w:p>
        </w:tc>
        <w:tc>
          <w:tcPr>
            <w:tcW w:w="0" w:type="auto"/>
            <w:tcBorders>
              <w:top w:val="single" w:color="000000" w:sz="4" w:space="0"/>
              <w:left w:val="nil"/>
              <w:bottom w:val="nil"/>
              <w:right w:val="nil"/>
            </w:tcBorders>
            <w:shd w:val="clear" w:color="auto" w:fill="FFFFFF"/>
            <w:vAlign w:val="center"/>
          </w:tcPr>
          <w:p w14:paraId="7ACC430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高性能传感器、工业级计算单元采购</w:t>
            </w:r>
          </w:p>
        </w:tc>
        <w:tc>
          <w:tcPr>
            <w:tcW w:w="0" w:type="auto"/>
            <w:tcBorders>
              <w:top w:val="single" w:color="000000" w:sz="4" w:space="0"/>
              <w:left w:val="nil"/>
              <w:bottom w:val="nil"/>
              <w:right w:val="nil"/>
            </w:tcBorders>
            <w:shd w:val="clear" w:color="auto" w:fill="FFFFFF"/>
            <w:vAlign w:val="center"/>
          </w:tcPr>
          <w:p w14:paraId="4AF632C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采购团队4-6人</w:t>
            </w:r>
          </w:p>
        </w:tc>
        <w:tc>
          <w:tcPr>
            <w:tcW w:w="0" w:type="auto"/>
            <w:tcBorders>
              <w:top w:val="single" w:color="000000" w:sz="4" w:space="0"/>
              <w:left w:val="nil"/>
              <w:bottom w:val="nil"/>
              <w:right w:val="nil"/>
            </w:tcBorders>
            <w:shd w:val="clear" w:color="auto" w:fill="FFFFFF"/>
            <w:vAlign w:val="center"/>
          </w:tcPr>
          <w:p w14:paraId="29840F9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与国内外一线品牌建立战略合作</w:t>
            </w:r>
          </w:p>
        </w:tc>
        <w:tc>
          <w:tcPr>
            <w:tcW w:w="0" w:type="auto"/>
            <w:tcBorders>
              <w:top w:val="single" w:color="000000" w:sz="4" w:space="0"/>
              <w:left w:val="nil"/>
              <w:bottom w:val="nil"/>
              <w:right w:val="nil"/>
            </w:tcBorders>
            <w:shd w:val="clear" w:color="auto" w:fill="FFFFFF"/>
            <w:vAlign w:val="center"/>
          </w:tcPr>
          <w:p w14:paraId="1B4756E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原材料成本占45%</w:t>
            </w:r>
          </w:p>
        </w:tc>
        <w:tc>
          <w:tcPr>
            <w:tcW w:w="0" w:type="auto"/>
            <w:tcBorders>
              <w:top w:val="single" w:color="000000" w:sz="4" w:space="0"/>
              <w:left w:val="nil"/>
              <w:bottom w:val="nil"/>
              <w:right w:val="nil"/>
            </w:tcBorders>
            <w:shd w:val="clear" w:color="auto" w:fill="FFFFFF"/>
            <w:vAlign w:val="center"/>
          </w:tcPr>
          <w:p w14:paraId="460BF8F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性能验证测试、长期可靠性评估</w:t>
            </w:r>
          </w:p>
        </w:tc>
      </w:tr>
      <w:tr w14:paraId="267725EA">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D8C0730">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生产制造</w:t>
            </w:r>
          </w:p>
        </w:tc>
        <w:tc>
          <w:tcPr>
            <w:tcW w:w="0" w:type="auto"/>
            <w:tcBorders>
              <w:top w:val="nil"/>
              <w:left w:val="nil"/>
              <w:bottom w:val="nil"/>
              <w:right w:val="nil"/>
            </w:tcBorders>
            <w:shd w:val="clear" w:color="auto" w:fill="FFFFFF"/>
            <w:vAlign w:val="center"/>
          </w:tcPr>
          <w:p w14:paraId="4F9711B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模块化组装、系统集成、软件预装</w:t>
            </w:r>
          </w:p>
        </w:tc>
        <w:tc>
          <w:tcPr>
            <w:tcW w:w="0" w:type="auto"/>
            <w:tcBorders>
              <w:top w:val="nil"/>
              <w:left w:val="nil"/>
              <w:bottom w:val="nil"/>
              <w:right w:val="nil"/>
            </w:tcBorders>
            <w:shd w:val="clear" w:color="auto" w:fill="FFFFFF"/>
            <w:vAlign w:val="center"/>
          </w:tcPr>
          <w:p w14:paraId="1A19B92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技术工人10-15人</w:t>
            </w:r>
          </w:p>
        </w:tc>
        <w:tc>
          <w:tcPr>
            <w:tcW w:w="0" w:type="auto"/>
            <w:tcBorders>
              <w:top w:val="nil"/>
              <w:left w:val="nil"/>
              <w:bottom w:val="nil"/>
              <w:right w:val="nil"/>
            </w:tcBorders>
            <w:shd w:val="clear" w:color="auto" w:fill="FFFFFF"/>
            <w:vAlign w:val="center"/>
          </w:tcPr>
          <w:p w14:paraId="627225E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模块化生产，支持客户定制配置</w:t>
            </w:r>
          </w:p>
        </w:tc>
        <w:tc>
          <w:tcPr>
            <w:tcW w:w="0" w:type="auto"/>
            <w:tcBorders>
              <w:top w:val="nil"/>
              <w:left w:val="nil"/>
              <w:bottom w:val="nil"/>
              <w:right w:val="nil"/>
            </w:tcBorders>
            <w:shd w:val="clear" w:color="auto" w:fill="FFFFFF"/>
            <w:vAlign w:val="center"/>
          </w:tcPr>
          <w:p w14:paraId="59C0327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制造成本占20%</w:t>
            </w:r>
          </w:p>
        </w:tc>
        <w:tc>
          <w:tcPr>
            <w:tcW w:w="0" w:type="auto"/>
            <w:tcBorders>
              <w:top w:val="nil"/>
              <w:left w:val="nil"/>
              <w:bottom w:val="nil"/>
              <w:right w:val="nil"/>
            </w:tcBorders>
            <w:shd w:val="clear" w:color="auto" w:fill="FFFFFF"/>
            <w:vAlign w:val="center"/>
          </w:tcPr>
          <w:p w14:paraId="2B8A722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模块测试、系统集成测试</w:t>
            </w:r>
          </w:p>
        </w:tc>
      </w:tr>
      <w:tr w14:paraId="58B272CC">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5111803B">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测试校准</w:t>
            </w:r>
          </w:p>
        </w:tc>
        <w:tc>
          <w:tcPr>
            <w:tcW w:w="0" w:type="auto"/>
            <w:tcBorders>
              <w:top w:val="nil"/>
              <w:left w:val="nil"/>
              <w:bottom w:val="nil"/>
              <w:right w:val="nil"/>
            </w:tcBorders>
            <w:shd w:val="clear" w:color="auto" w:fill="FFFFFF"/>
            <w:vAlign w:val="center"/>
          </w:tcPr>
          <w:p w14:paraId="23FF5B4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工业环境测试、长期稳定性测试</w:t>
            </w:r>
          </w:p>
        </w:tc>
        <w:tc>
          <w:tcPr>
            <w:tcW w:w="0" w:type="auto"/>
            <w:tcBorders>
              <w:top w:val="nil"/>
              <w:left w:val="nil"/>
              <w:bottom w:val="nil"/>
              <w:right w:val="nil"/>
            </w:tcBorders>
            <w:shd w:val="clear" w:color="auto" w:fill="FFFFFF"/>
            <w:vAlign w:val="center"/>
          </w:tcPr>
          <w:p w14:paraId="7260D28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测试工程师6-8人</w:t>
            </w:r>
          </w:p>
        </w:tc>
        <w:tc>
          <w:tcPr>
            <w:tcW w:w="0" w:type="auto"/>
            <w:tcBorders>
              <w:top w:val="nil"/>
              <w:left w:val="nil"/>
              <w:bottom w:val="nil"/>
              <w:right w:val="nil"/>
            </w:tcBorders>
            <w:shd w:val="clear" w:color="auto" w:fill="FFFFFF"/>
            <w:vAlign w:val="center"/>
          </w:tcPr>
          <w:p w14:paraId="4647EB5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模拟实际工业环境进行测试</w:t>
            </w:r>
          </w:p>
        </w:tc>
        <w:tc>
          <w:tcPr>
            <w:tcW w:w="0" w:type="auto"/>
            <w:tcBorders>
              <w:top w:val="nil"/>
              <w:left w:val="nil"/>
              <w:bottom w:val="nil"/>
              <w:right w:val="nil"/>
            </w:tcBorders>
            <w:shd w:val="clear" w:color="auto" w:fill="FFFFFF"/>
            <w:vAlign w:val="center"/>
          </w:tcPr>
          <w:p w14:paraId="34B033F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测试成本占5%</w:t>
            </w:r>
          </w:p>
        </w:tc>
        <w:tc>
          <w:tcPr>
            <w:tcW w:w="0" w:type="auto"/>
            <w:tcBorders>
              <w:top w:val="nil"/>
              <w:left w:val="nil"/>
              <w:bottom w:val="nil"/>
              <w:right w:val="nil"/>
            </w:tcBorders>
            <w:shd w:val="clear" w:color="auto" w:fill="FFFFFF"/>
            <w:vAlign w:val="center"/>
          </w:tcPr>
          <w:p w14:paraId="473F74F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环境适应性测试、连续运行测试</w:t>
            </w:r>
          </w:p>
        </w:tc>
      </w:tr>
      <w:tr w14:paraId="34761757">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7D2B3725">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技术支持</w:t>
            </w:r>
          </w:p>
        </w:tc>
        <w:tc>
          <w:tcPr>
            <w:tcW w:w="0" w:type="auto"/>
            <w:tcBorders>
              <w:top w:val="nil"/>
              <w:left w:val="nil"/>
              <w:bottom w:val="single" w:color="000000" w:sz="12" w:space="0"/>
              <w:right w:val="nil"/>
            </w:tcBorders>
            <w:shd w:val="clear" w:color="auto" w:fill="FFFFFF"/>
            <w:vAlign w:val="center"/>
          </w:tcPr>
          <w:p w14:paraId="43E65BA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客户培训、现场调试、远程支持</w:t>
            </w:r>
          </w:p>
        </w:tc>
        <w:tc>
          <w:tcPr>
            <w:tcW w:w="0" w:type="auto"/>
            <w:tcBorders>
              <w:top w:val="nil"/>
              <w:left w:val="nil"/>
              <w:bottom w:val="single" w:color="000000" w:sz="12" w:space="0"/>
              <w:right w:val="nil"/>
            </w:tcBorders>
            <w:shd w:val="clear" w:color="auto" w:fill="FFFFFF"/>
            <w:vAlign w:val="center"/>
          </w:tcPr>
          <w:p w14:paraId="071B25C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技术支持团队8-10人</w:t>
            </w:r>
          </w:p>
        </w:tc>
        <w:tc>
          <w:tcPr>
            <w:tcW w:w="0" w:type="auto"/>
            <w:tcBorders>
              <w:top w:val="nil"/>
              <w:left w:val="nil"/>
              <w:bottom w:val="single" w:color="000000" w:sz="12" w:space="0"/>
              <w:right w:val="nil"/>
            </w:tcBorders>
            <w:shd w:val="clear" w:color="auto" w:fill="FFFFFF"/>
            <w:vAlign w:val="center"/>
          </w:tcPr>
          <w:p w14:paraId="1651214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建立分级技术支持体系</w:t>
            </w:r>
          </w:p>
        </w:tc>
        <w:tc>
          <w:tcPr>
            <w:tcW w:w="0" w:type="auto"/>
            <w:tcBorders>
              <w:top w:val="nil"/>
              <w:left w:val="nil"/>
              <w:bottom w:val="single" w:color="000000" w:sz="12" w:space="0"/>
              <w:right w:val="nil"/>
            </w:tcBorders>
            <w:shd w:val="clear" w:color="auto" w:fill="FFFFFF"/>
            <w:vAlign w:val="center"/>
          </w:tcPr>
          <w:p w14:paraId="58AC83B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服务成本占5%</w:t>
            </w:r>
          </w:p>
        </w:tc>
        <w:tc>
          <w:tcPr>
            <w:tcW w:w="0" w:type="auto"/>
            <w:tcBorders>
              <w:top w:val="nil"/>
              <w:left w:val="nil"/>
              <w:bottom w:val="single" w:color="000000" w:sz="12" w:space="0"/>
              <w:right w:val="nil"/>
            </w:tcBorders>
            <w:shd w:val="clear" w:color="auto" w:fill="FFFFFF"/>
            <w:vAlign w:val="center"/>
          </w:tcPr>
          <w:p w14:paraId="10C62A0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客户满意度调查、问题解决时效</w:t>
            </w:r>
          </w:p>
        </w:tc>
      </w:tr>
    </w:tbl>
    <w:p w14:paraId="12A27CF8">
      <w:pPr>
        <w:pStyle w:val="36"/>
        <w:spacing w:before="0" w:after="0" w:line="400" w:lineRule="exact"/>
        <w:ind w:firstLine="480" w:firstLineChars="200"/>
        <w:jc w:val="both"/>
        <w:rPr>
          <w:rFonts w:ascii="Times New Roman" w:hAnsi="Times New Roman"/>
        </w:rPr>
      </w:pPr>
      <w:r>
        <w:rPr>
          <w:rFonts w:ascii="Times New Roman" w:hAnsi="Times New Roman"/>
        </w:rPr>
        <w:t>视频跟踪仪：作为问题产品，视频跟踪仪仍采用项目制运作模式，每个项目需要独立设计、开发和实施，资源复用率低，生产效率低下。</w:t>
      </w:r>
    </w:p>
    <w:bookmarkEnd w:id="124"/>
    <w:p w14:paraId="307E6A1A">
      <w:pPr>
        <w:pStyle w:val="4"/>
        <w:spacing w:before="240" w:after="120"/>
        <w:jc w:val="center"/>
        <w:rPr>
          <w:rFonts w:ascii="Times New Roman" w:hAnsi="Times New Roman"/>
          <w:sz w:val="22"/>
        </w:rPr>
      </w:pPr>
      <w:bookmarkStart w:id="125" w:name="表4-4视频跟踪仪生产链结构"/>
      <w:r>
        <w:rPr>
          <w:rFonts w:ascii="Times New Roman" w:hAnsi="Times New Roman"/>
          <w:sz w:val="22"/>
        </w:rPr>
        <w:t>表4</w:t>
      </w:r>
      <w:r>
        <w:rPr>
          <w:rFonts w:hint="eastAsia" w:ascii="Times New Roman" w:hAnsi="Times New Roman"/>
          <w:sz w:val="22"/>
          <w:lang w:eastAsia="zh-CN"/>
        </w:rPr>
        <w:t>.</w:t>
      </w:r>
      <w:r>
        <w:rPr>
          <w:rFonts w:ascii="Times New Roman" w:hAnsi="Times New Roman"/>
          <w:sz w:val="22"/>
        </w:rPr>
        <w:t>4：视频跟踪仪生产链结构</w:t>
      </w:r>
    </w:p>
    <w:tbl>
      <w:tblPr>
        <w:tblStyle w:val="41"/>
        <w:tblW w:w="5000" w:type="pct"/>
        <w:tblInd w:w="0" w:type="dxa"/>
        <w:tblLayout w:type="autofit"/>
        <w:tblCellMar>
          <w:top w:w="0" w:type="dxa"/>
          <w:left w:w="108" w:type="dxa"/>
          <w:bottom w:w="0" w:type="dxa"/>
          <w:right w:w="108" w:type="dxa"/>
        </w:tblCellMar>
      </w:tblPr>
      <w:tblGrid>
        <w:gridCol w:w="737"/>
        <w:gridCol w:w="1862"/>
        <w:gridCol w:w="1259"/>
        <w:gridCol w:w="2071"/>
        <w:gridCol w:w="1281"/>
        <w:gridCol w:w="1963"/>
      </w:tblGrid>
      <w:tr w14:paraId="4770F351">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340E354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生产环节</w:t>
            </w:r>
          </w:p>
        </w:tc>
        <w:tc>
          <w:tcPr>
            <w:tcW w:w="0" w:type="auto"/>
            <w:tcBorders>
              <w:top w:val="single" w:color="000000" w:sz="12" w:space="0"/>
              <w:left w:val="nil"/>
              <w:bottom w:val="single" w:color="000000" w:sz="4" w:space="0"/>
              <w:right w:val="nil"/>
            </w:tcBorders>
            <w:shd w:val="clear" w:color="auto" w:fill="FFFFFF"/>
            <w:vAlign w:val="center"/>
          </w:tcPr>
          <w:p w14:paraId="34AF0F9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主要活动</w:t>
            </w:r>
          </w:p>
        </w:tc>
        <w:tc>
          <w:tcPr>
            <w:tcW w:w="0" w:type="auto"/>
            <w:tcBorders>
              <w:top w:val="single" w:color="000000" w:sz="12" w:space="0"/>
              <w:left w:val="nil"/>
              <w:bottom w:val="single" w:color="000000" w:sz="4" w:space="0"/>
              <w:right w:val="nil"/>
            </w:tcBorders>
            <w:shd w:val="clear" w:color="auto" w:fill="FFFFFF"/>
            <w:vAlign w:val="center"/>
          </w:tcPr>
          <w:p w14:paraId="0EAAA3A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资源投入</w:t>
            </w:r>
          </w:p>
        </w:tc>
        <w:tc>
          <w:tcPr>
            <w:tcW w:w="0" w:type="auto"/>
            <w:tcBorders>
              <w:top w:val="single" w:color="000000" w:sz="12" w:space="0"/>
              <w:left w:val="nil"/>
              <w:bottom w:val="single" w:color="000000" w:sz="4" w:space="0"/>
              <w:right w:val="nil"/>
            </w:tcBorders>
            <w:shd w:val="clear" w:color="auto" w:fill="FFFFFF"/>
            <w:vAlign w:val="center"/>
          </w:tcPr>
          <w:p w14:paraId="4DDEC10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供应链特点</w:t>
            </w:r>
          </w:p>
        </w:tc>
        <w:tc>
          <w:tcPr>
            <w:tcW w:w="0" w:type="auto"/>
            <w:tcBorders>
              <w:top w:val="single" w:color="000000" w:sz="12" w:space="0"/>
              <w:left w:val="nil"/>
              <w:bottom w:val="single" w:color="000000" w:sz="4" w:space="0"/>
              <w:right w:val="nil"/>
            </w:tcBorders>
            <w:shd w:val="clear" w:color="auto" w:fill="FFFFFF"/>
            <w:vAlign w:val="center"/>
          </w:tcPr>
          <w:p w14:paraId="488D35A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成本结构</w:t>
            </w:r>
          </w:p>
        </w:tc>
        <w:tc>
          <w:tcPr>
            <w:tcW w:w="0" w:type="auto"/>
            <w:tcBorders>
              <w:top w:val="single" w:color="000000" w:sz="12" w:space="0"/>
              <w:left w:val="nil"/>
              <w:bottom w:val="single" w:color="000000" w:sz="4" w:space="0"/>
              <w:right w:val="nil"/>
            </w:tcBorders>
            <w:shd w:val="clear" w:color="auto" w:fill="FFFFFF"/>
            <w:vAlign w:val="center"/>
          </w:tcPr>
          <w:p w14:paraId="3C0BCA6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质量控制</w:t>
            </w:r>
          </w:p>
        </w:tc>
      </w:tr>
      <w:tr w14:paraId="604743CE">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2879ED71">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方案设计</w:t>
            </w:r>
          </w:p>
        </w:tc>
        <w:tc>
          <w:tcPr>
            <w:tcW w:w="0" w:type="auto"/>
            <w:tcBorders>
              <w:top w:val="single" w:color="000000" w:sz="4" w:space="0"/>
              <w:left w:val="nil"/>
              <w:bottom w:val="nil"/>
              <w:right w:val="nil"/>
            </w:tcBorders>
            <w:shd w:val="clear" w:color="auto" w:fill="FFFFFF"/>
            <w:vAlign w:val="center"/>
          </w:tcPr>
          <w:p w14:paraId="49C02F6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客户需求分析、监测方案设计</w:t>
            </w:r>
          </w:p>
        </w:tc>
        <w:tc>
          <w:tcPr>
            <w:tcW w:w="0" w:type="auto"/>
            <w:tcBorders>
              <w:top w:val="single" w:color="000000" w:sz="4" w:space="0"/>
              <w:left w:val="nil"/>
              <w:bottom w:val="nil"/>
              <w:right w:val="nil"/>
            </w:tcBorders>
            <w:shd w:val="clear" w:color="auto" w:fill="FFFFFF"/>
            <w:vAlign w:val="center"/>
          </w:tcPr>
          <w:p w14:paraId="013104D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方案工程师10-15人</w:t>
            </w:r>
          </w:p>
        </w:tc>
        <w:tc>
          <w:tcPr>
            <w:tcW w:w="0" w:type="auto"/>
            <w:tcBorders>
              <w:top w:val="single" w:color="000000" w:sz="4" w:space="0"/>
              <w:left w:val="nil"/>
              <w:bottom w:val="nil"/>
              <w:right w:val="nil"/>
            </w:tcBorders>
            <w:shd w:val="clear" w:color="auto" w:fill="FFFFFF"/>
            <w:vAlign w:val="center"/>
          </w:tcPr>
          <w:p w14:paraId="4269E53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深度定制，每个项目需独立设计</w:t>
            </w:r>
          </w:p>
        </w:tc>
        <w:tc>
          <w:tcPr>
            <w:tcW w:w="0" w:type="auto"/>
            <w:tcBorders>
              <w:top w:val="single" w:color="000000" w:sz="4" w:space="0"/>
              <w:left w:val="nil"/>
              <w:bottom w:val="nil"/>
              <w:right w:val="nil"/>
            </w:tcBorders>
            <w:shd w:val="clear" w:color="auto" w:fill="FFFFFF"/>
            <w:vAlign w:val="center"/>
          </w:tcPr>
          <w:p w14:paraId="7CAAFED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设计成本占15-20%</w:t>
            </w:r>
          </w:p>
        </w:tc>
        <w:tc>
          <w:tcPr>
            <w:tcW w:w="0" w:type="auto"/>
            <w:tcBorders>
              <w:top w:val="single" w:color="000000" w:sz="4" w:space="0"/>
              <w:left w:val="nil"/>
              <w:bottom w:val="nil"/>
              <w:right w:val="nil"/>
            </w:tcBorders>
            <w:shd w:val="clear" w:color="auto" w:fill="FFFFFF"/>
            <w:vAlign w:val="center"/>
          </w:tcPr>
          <w:p w14:paraId="30B0619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方案可行性评审、技术风险评估</w:t>
            </w:r>
          </w:p>
        </w:tc>
      </w:tr>
      <w:tr w14:paraId="06907A1D">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D4ADE5D">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设备定制</w:t>
            </w:r>
          </w:p>
        </w:tc>
        <w:tc>
          <w:tcPr>
            <w:tcW w:w="0" w:type="auto"/>
            <w:tcBorders>
              <w:top w:val="nil"/>
              <w:left w:val="nil"/>
              <w:bottom w:val="nil"/>
              <w:right w:val="nil"/>
            </w:tcBorders>
            <w:shd w:val="clear" w:color="auto" w:fill="FFFFFF"/>
            <w:vAlign w:val="center"/>
          </w:tcPr>
          <w:p w14:paraId="6C945E0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硬件定制开发、软件平台搭建</w:t>
            </w:r>
          </w:p>
        </w:tc>
        <w:tc>
          <w:tcPr>
            <w:tcW w:w="0" w:type="auto"/>
            <w:tcBorders>
              <w:top w:val="nil"/>
              <w:left w:val="nil"/>
              <w:bottom w:val="nil"/>
              <w:right w:val="nil"/>
            </w:tcBorders>
            <w:shd w:val="clear" w:color="auto" w:fill="FFFFFF"/>
            <w:vAlign w:val="center"/>
          </w:tcPr>
          <w:p w14:paraId="6772E5C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研发团队15-20人</w:t>
            </w:r>
          </w:p>
        </w:tc>
        <w:tc>
          <w:tcPr>
            <w:tcW w:w="0" w:type="auto"/>
            <w:tcBorders>
              <w:top w:val="nil"/>
              <w:left w:val="nil"/>
              <w:bottom w:val="nil"/>
              <w:right w:val="nil"/>
            </w:tcBorders>
            <w:shd w:val="clear" w:color="auto" w:fill="FFFFFF"/>
            <w:vAlign w:val="center"/>
          </w:tcPr>
          <w:p w14:paraId="29FFDDD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项目专用开发，复用率低</w:t>
            </w:r>
          </w:p>
        </w:tc>
        <w:tc>
          <w:tcPr>
            <w:tcW w:w="0" w:type="auto"/>
            <w:tcBorders>
              <w:top w:val="nil"/>
              <w:left w:val="nil"/>
              <w:bottom w:val="nil"/>
              <w:right w:val="nil"/>
            </w:tcBorders>
            <w:shd w:val="clear" w:color="auto" w:fill="FFFFFF"/>
            <w:vAlign w:val="center"/>
          </w:tcPr>
          <w:p w14:paraId="04C9384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开发成本占25-30%</w:t>
            </w:r>
          </w:p>
        </w:tc>
        <w:tc>
          <w:tcPr>
            <w:tcW w:w="0" w:type="auto"/>
            <w:tcBorders>
              <w:top w:val="nil"/>
              <w:left w:val="nil"/>
              <w:bottom w:val="nil"/>
              <w:right w:val="nil"/>
            </w:tcBorders>
            <w:shd w:val="clear" w:color="auto" w:fill="FFFFFF"/>
            <w:vAlign w:val="center"/>
          </w:tcPr>
          <w:p w14:paraId="11619E9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定制功能测试、平台稳定性测试</w:t>
            </w:r>
          </w:p>
        </w:tc>
      </w:tr>
      <w:tr w14:paraId="69E9CB5A">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38DB7A81">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工程实施</w:t>
            </w:r>
          </w:p>
        </w:tc>
        <w:tc>
          <w:tcPr>
            <w:tcW w:w="0" w:type="auto"/>
            <w:tcBorders>
              <w:top w:val="nil"/>
              <w:left w:val="nil"/>
              <w:bottom w:val="nil"/>
              <w:right w:val="nil"/>
            </w:tcBorders>
            <w:shd w:val="clear" w:color="auto" w:fill="FFFFFF"/>
            <w:vAlign w:val="center"/>
          </w:tcPr>
          <w:p w14:paraId="328C5DF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现场安装、调试、系统集成</w:t>
            </w:r>
          </w:p>
        </w:tc>
        <w:tc>
          <w:tcPr>
            <w:tcW w:w="0" w:type="auto"/>
            <w:tcBorders>
              <w:top w:val="nil"/>
              <w:left w:val="nil"/>
              <w:bottom w:val="nil"/>
              <w:right w:val="nil"/>
            </w:tcBorders>
            <w:shd w:val="clear" w:color="auto" w:fill="FFFFFF"/>
            <w:vAlign w:val="center"/>
          </w:tcPr>
          <w:p w14:paraId="2392CB0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实施工程师20-30人</w:t>
            </w:r>
          </w:p>
        </w:tc>
        <w:tc>
          <w:tcPr>
            <w:tcW w:w="0" w:type="auto"/>
            <w:tcBorders>
              <w:top w:val="nil"/>
              <w:left w:val="nil"/>
              <w:bottom w:val="nil"/>
              <w:right w:val="nil"/>
            </w:tcBorders>
            <w:shd w:val="clear" w:color="auto" w:fill="FFFFFF"/>
            <w:vAlign w:val="center"/>
          </w:tcPr>
          <w:p w14:paraId="62F48AF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现场工作量巨大，受环境因素影响大</w:t>
            </w:r>
          </w:p>
        </w:tc>
        <w:tc>
          <w:tcPr>
            <w:tcW w:w="0" w:type="auto"/>
            <w:tcBorders>
              <w:top w:val="nil"/>
              <w:left w:val="nil"/>
              <w:bottom w:val="nil"/>
              <w:right w:val="nil"/>
            </w:tcBorders>
            <w:shd w:val="clear" w:color="auto" w:fill="FFFFFF"/>
            <w:vAlign w:val="center"/>
          </w:tcPr>
          <w:p w14:paraId="1280FB6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实施成本占30-40%</w:t>
            </w:r>
          </w:p>
        </w:tc>
        <w:tc>
          <w:tcPr>
            <w:tcW w:w="0" w:type="auto"/>
            <w:tcBorders>
              <w:top w:val="nil"/>
              <w:left w:val="nil"/>
              <w:bottom w:val="nil"/>
              <w:right w:val="nil"/>
            </w:tcBorders>
            <w:shd w:val="clear" w:color="auto" w:fill="FFFFFF"/>
            <w:vAlign w:val="center"/>
          </w:tcPr>
          <w:p w14:paraId="660635B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现场安装质量检查、系统联调测试</w:t>
            </w:r>
          </w:p>
        </w:tc>
      </w:tr>
      <w:tr w14:paraId="05AB7EDF">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A5DB392">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运营维护</w:t>
            </w:r>
          </w:p>
        </w:tc>
        <w:tc>
          <w:tcPr>
            <w:tcW w:w="0" w:type="auto"/>
            <w:tcBorders>
              <w:top w:val="nil"/>
              <w:left w:val="nil"/>
              <w:bottom w:val="nil"/>
              <w:right w:val="nil"/>
            </w:tcBorders>
            <w:shd w:val="clear" w:color="auto" w:fill="FFFFFF"/>
            <w:vAlign w:val="center"/>
          </w:tcPr>
          <w:p w14:paraId="41490B8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长期监测、数据分析、预警服务</w:t>
            </w:r>
          </w:p>
        </w:tc>
        <w:tc>
          <w:tcPr>
            <w:tcW w:w="0" w:type="auto"/>
            <w:tcBorders>
              <w:top w:val="nil"/>
              <w:left w:val="nil"/>
              <w:bottom w:val="nil"/>
              <w:right w:val="nil"/>
            </w:tcBorders>
            <w:shd w:val="clear" w:color="auto" w:fill="FFFFFF"/>
            <w:vAlign w:val="center"/>
          </w:tcPr>
          <w:p w14:paraId="0DF6A1D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运营团队10-15人</w:t>
            </w:r>
          </w:p>
        </w:tc>
        <w:tc>
          <w:tcPr>
            <w:tcW w:w="0" w:type="auto"/>
            <w:tcBorders>
              <w:top w:val="nil"/>
              <w:left w:val="nil"/>
              <w:bottom w:val="nil"/>
              <w:right w:val="nil"/>
            </w:tcBorders>
            <w:shd w:val="clear" w:color="auto" w:fill="FFFFFF"/>
            <w:vAlign w:val="center"/>
          </w:tcPr>
          <w:p w14:paraId="08FD125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建立7×24小时监测中心</w:t>
            </w:r>
          </w:p>
        </w:tc>
        <w:tc>
          <w:tcPr>
            <w:tcW w:w="0" w:type="auto"/>
            <w:tcBorders>
              <w:top w:val="nil"/>
              <w:left w:val="nil"/>
              <w:bottom w:val="nil"/>
              <w:right w:val="nil"/>
            </w:tcBorders>
            <w:shd w:val="clear" w:color="auto" w:fill="FFFFFF"/>
            <w:vAlign w:val="center"/>
          </w:tcPr>
          <w:p w14:paraId="66A7C8C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运营成本占10-15%</w:t>
            </w:r>
          </w:p>
        </w:tc>
        <w:tc>
          <w:tcPr>
            <w:tcW w:w="0" w:type="auto"/>
            <w:tcBorders>
              <w:top w:val="nil"/>
              <w:left w:val="nil"/>
              <w:bottom w:val="nil"/>
              <w:right w:val="nil"/>
            </w:tcBorders>
            <w:shd w:val="clear" w:color="auto" w:fill="FFFFFF"/>
            <w:vAlign w:val="center"/>
          </w:tcPr>
          <w:p w14:paraId="41DA799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数据质量监控、预警准确性评估</w:t>
            </w:r>
          </w:p>
        </w:tc>
      </w:tr>
      <w:tr w14:paraId="5D97DDB3">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11BD0BD3">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项目交付</w:t>
            </w:r>
          </w:p>
        </w:tc>
        <w:tc>
          <w:tcPr>
            <w:tcW w:w="0" w:type="auto"/>
            <w:tcBorders>
              <w:top w:val="nil"/>
              <w:left w:val="nil"/>
              <w:bottom w:val="single" w:color="000000" w:sz="12" w:space="0"/>
              <w:right w:val="nil"/>
            </w:tcBorders>
            <w:shd w:val="clear" w:color="auto" w:fill="FFFFFF"/>
            <w:vAlign w:val="center"/>
          </w:tcPr>
          <w:p w14:paraId="081D10A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验收测试、文档交付、客户培训</w:t>
            </w:r>
          </w:p>
        </w:tc>
        <w:tc>
          <w:tcPr>
            <w:tcW w:w="0" w:type="auto"/>
            <w:tcBorders>
              <w:top w:val="nil"/>
              <w:left w:val="nil"/>
              <w:bottom w:val="single" w:color="000000" w:sz="12" w:space="0"/>
              <w:right w:val="nil"/>
            </w:tcBorders>
            <w:shd w:val="clear" w:color="auto" w:fill="FFFFFF"/>
            <w:vAlign w:val="center"/>
          </w:tcPr>
          <w:p w14:paraId="0B24243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项目管理人员5-8人</w:t>
            </w:r>
          </w:p>
        </w:tc>
        <w:tc>
          <w:tcPr>
            <w:tcW w:w="0" w:type="auto"/>
            <w:tcBorders>
              <w:top w:val="nil"/>
              <w:left w:val="nil"/>
              <w:bottom w:val="single" w:color="000000" w:sz="12" w:space="0"/>
              <w:right w:val="nil"/>
            </w:tcBorders>
            <w:shd w:val="clear" w:color="auto" w:fill="FFFFFF"/>
            <w:vAlign w:val="center"/>
          </w:tcPr>
          <w:p w14:paraId="2F0CCB6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项目验收周期长，客户要求复杂</w:t>
            </w:r>
          </w:p>
        </w:tc>
        <w:tc>
          <w:tcPr>
            <w:tcW w:w="0" w:type="auto"/>
            <w:tcBorders>
              <w:top w:val="nil"/>
              <w:left w:val="nil"/>
              <w:bottom w:val="single" w:color="000000" w:sz="12" w:space="0"/>
              <w:right w:val="nil"/>
            </w:tcBorders>
            <w:shd w:val="clear" w:color="auto" w:fill="FFFFFF"/>
            <w:vAlign w:val="center"/>
          </w:tcPr>
          <w:p w14:paraId="5CE7B57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管理成本占5%</w:t>
            </w:r>
          </w:p>
        </w:tc>
        <w:tc>
          <w:tcPr>
            <w:tcW w:w="0" w:type="auto"/>
            <w:tcBorders>
              <w:top w:val="nil"/>
              <w:left w:val="nil"/>
              <w:bottom w:val="single" w:color="000000" w:sz="12" w:space="0"/>
              <w:right w:val="nil"/>
            </w:tcBorders>
            <w:shd w:val="clear" w:color="auto" w:fill="FFFFFF"/>
            <w:vAlign w:val="center"/>
          </w:tcPr>
          <w:p w14:paraId="2302BC9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验收标准达成率、文档完整性</w:t>
            </w:r>
          </w:p>
        </w:tc>
      </w:tr>
      <w:bookmarkEnd w:id="122"/>
      <w:bookmarkEnd w:id="125"/>
    </w:tbl>
    <w:p w14:paraId="1D9A8D5C">
      <w:pPr>
        <w:pStyle w:val="5"/>
      </w:pPr>
      <w:bookmarkStart w:id="126" w:name="_Toc222822787"/>
      <w:bookmarkStart w:id="127" w:name="_Toc222913157"/>
      <w:bookmarkStart w:id="128" w:name="生产资源"/>
      <w:r>
        <w:t>4.2.3 生产资源</w:t>
      </w:r>
      <w:bookmarkEnd w:id="126"/>
      <w:bookmarkEnd w:id="127"/>
    </w:p>
    <w:p w14:paraId="1916414E">
      <w:pPr>
        <w:pStyle w:val="36"/>
        <w:spacing w:before="0" w:after="0" w:line="400" w:lineRule="exact"/>
        <w:ind w:firstLine="480" w:firstLineChars="200"/>
        <w:jc w:val="both"/>
        <w:rPr>
          <w:rFonts w:ascii="Times New Roman" w:hAnsi="Times New Roman"/>
        </w:rPr>
      </w:pPr>
      <w:r>
        <w:rPr>
          <w:rFonts w:ascii="Times New Roman" w:hAnsi="Times New Roman"/>
        </w:rPr>
        <w:t>HSM的生产资源呈现明显的”二元分化”特征：标准化产品（视频引伸计、视频应变仪）已建立高效的生产体系，形成规模效应；项目化产品（视频跟踪仪）仍处于低效的项目制运作模式。</w:t>
      </w:r>
    </w:p>
    <w:p w14:paraId="344EE1BC">
      <w:pPr>
        <w:pStyle w:val="4"/>
        <w:keepNext/>
        <w:keepLines w:val="0"/>
        <w:pageBreakBefore w:val="0"/>
        <w:widowControl/>
        <w:kinsoku/>
        <w:wordWrap/>
        <w:overflowPunct/>
        <w:topLinePunct w:val="0"/>
        <w:autoSpaceDE/>
        <w:autoSpaceDN/>
        <w:bidi w:val="0"/>
        <w:adjustRightInd/>
        <w:snapToGrid/>
        <w:spacing w:before="240" w:after="120"/>
        <w:jc w:val="center"/>
        <w:textAlignment w:val="auto"/>
        <w:rPr>
          <w:rFonts w:ascii="Times New Roman" w:hAnsi="Times New Roman"/>
          <w:sz w:val="22"/>
        </w:rPr>
      </w:pPr>
      <w:bookmarkStart w:id="129" w:name="表4-5生产模式与市场表现关联矩阵"/>
      <w:r>
        <w:rPr>
          <w:rFonts w:ascii="Times New Roman" w:hAnsi="Times New Roman"/>
          <w:sz w:val="22"/>
        </w:rPr>
        <w:t>表4</w:t>
      </w:r>
      <w:r>
        <w:rPr>
          <w:rFonts w:hint="eastAsia" w:ascii="Times New Roman" w:hAnsi="Times New Roman"/>
          <w:sz w:val="22"/>
          <w:lang w:eastAsia="zh-CN"/>
        </w:rPr>
        <w:t>.</w:t>
      </w:r>
      <w:r>
        <w:rPr>
          <w:rFonts w:ascii="Times New Roman" w:hAnsi="Times New Roman"/>
          <w:sz w:val="22"/>
        </w:rPr>
        <w:t>5：生产模式与市场表现关联矩阵</w:t>
      </w:r>
    </w:p>
    <w:tbl>
      <w:tblPr>
        <w:tblStyle w:val="41"/>
        <w:tblW w:w="5000" w:type="pct"/>
        <w:tblInd w:w="0" w:type="dxa"/>
        <w:tblLayout w:type="autofit"/>
        <w:tblCellMar>
          <w:top w:w="0" w:type="dxa"/>
          <w:left w:w="108" w:type="dxa"/>
          <w:bottom w:w="0" w:type="dxa"/>
          <w:right w:w="108" w:type="dxa"/>
        </w:tblCellMar>
      </w:tblPr>
      <w:tblGrid>
        <w:gridCol w:w="817"/>
        <w:gridCol w:w="1008"/>
        <w:gridCol w:w="1609"/>
        <w:gridCol w:w="2235"/>
        <w:gridCol w:w="1800"/>
        <w:gridCol w:w="1704"/>
      </w:tblGrid>
      <w:tr w14:paraId="6949C112">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6BF3D960">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产品线</w:t>
            </w:r>
          </w:p>
        </w:tc>
        <w:tc>
          <w:tcPr>
            <w:tcW w:w="0" w:type="auto"/>
            <w:tcBorders>
              <w:top w:val="single" w:color="000000" w:sz="12" w:space="0"/>
              <w:left w:val="nil"/>
              <w:bottom w:val="single" w:color="000000" w:sz="4" w:space="0"/>
              <w:right w:val="nil"/>
            </w:tcBorders>
            <w:shd w:val="clear" w:color="auto" w:fill="FFFFFF"/>
            <w:vAlign w:val="center"/>
          </w:tcPr>
          <w:p w14:paraId="257CF698">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生产模式</w:t>
            </w:r>
          </w:p>
        </w:tc>
        <w:tc>
          <w:tcPr>
            <w:tcW w:w="0" w:type="auto"/>
            <w:tcBorders>
              <w:top w:val="single" w:color="000000" w:sz="12" w:space="0"/>
              <w:left w:val="nil"/>
              <w:bottom w:val="single" w:color="000000" w:sz="4" w:space="0"/>
              <w:right w:val="nil"/>
            </w:tcBorders>
            <w:shd w:val="clear" w:color="auto" w:fill="FFFFFF"/>
            <w:vAlign w:val="center"/>
          </w:tcPr>
          <w:p w14:paraId="4A56F176">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市场表现</w:t>
            </w:r>
          </w:p>
        </w:tc>
        <w:tc>
          <w:tcPr>
            <w:tcW w:w="0" w:type="auto"/>
            <w:tcBorders>
              <w:top w:val="single" w:color="000000" w:sz="12" w:space="0"/>
              <w:left w:val="nil"/>
              <w:bottom w:val="single" w:color="000000" w:sz="4" w:space="0"/>
              <w:right w:val="nil"/>
            </w:tcBorders>
            <w:shd w:val="clear" w:color="auto" w:fill="FFFFFF"/>
            <w:vAlign w:val="center"/>
          </w:tcPr>
          <w:p w14:paraId="1C10EA29">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财务表现</w:t>
            </w:r>
          </w:p>
        </w:tc>
        <w:tc>
          <w:tcPr>
            <w:tcW w:w="0" w:type="auto"/>
            <w:tcBorders>
              <w:top w:val="single" w:color="000000" w:sz="12" w:space="0"/>
              <w:left w:val="nil"/>
              <w:bottom w:val="single" w:color="000000" w:sz="4" w:space="0"/>
              <w:right w:val="nil"/>
            </w:tcBorders>
            <w:shd w:val="clear" w:color="auto" w:fill="FFFFFF"/>
            <w:vAlign w:val="center"/>
          </w:tcPr>
          <w:p w14:paraId="3A6791D0">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资源效率</w:t>
            </w:r>
          </w:p>
        </w:tc>
        <w:tc>
          <w:tcPr>
            <w:tcW w:w="0" w:type="auto"/>
            <w:tcBorders>
              <w:top w:val="single" w:color="000000" w:sz="12" w:space="0"/>
              <w:left w:val="nil"/>
              <w:bottom w:val="single" w:color="000000" w:sz="4" w:space="0"/>
              <w:right w:val="nil"/>
            </w:tcBorders>
            <w:shd w:val="clear" w:color="auto" w:fill="FFFFFF"/>
            <w:vAlign w:val="center"/>
          </w:tcPr>
          <w:p w14:paraId="6FD19A98">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战略定位</w:t>
            </w:r>
          </w:p>
        </w:tc>
      </w:tr>
      <w:tr w14:paraId="238BE452">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46699B5B">
            <w:pPr>
              <w:pStyle w:val="37"/>
              <w:spacing w:before="60" w:after="60"/>
              <w:jc w:val="center"/>
              <w:rPr>
                <w:rFonts w:ascii="Times New Roman" w:hAnsi="Times New Roman" w:eastAsia="宋体"/>
                <w:color w:val="000000"/>
                <w:sz w:val="22"/>
              </w:rPr>
            </w:pPr>
            <w:r>
              <w:rPr>
                <w:rFonts w:ascii="Times New Roman" w:hAnsi="Times New Roman" w:eastAsia="宋体"/>
                <w:bCs/>
                <w:color w:val="000000"/>
                <w:sz w:val="22"/>
              </w:rPr>
              <w:t>视频引伸计</w:t>
            </w:r>
          </w:p>
        </w:tc>
        <w:tc>
          <w:tcPr>
            <w:tcW w:w="0" w:type="auto"/>
            <w:tcBorders>
              <w:top w:val="single" w:color="000000" w:sz="4" w:space="0"/>
              <w:left w:val="nil"/>
              <w:bottom w:val="nil"/>
              <w:right w:val="nil"/>
            </w:tcBorders>
            <w:shd w:val="clear" w:color="auto" w:fill="FFFFFF"/>
            <w:vAlign w:val="center"/>
          </w:tcPr>
          <w:p w14:paraId="53A1706B">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批量标准化生产</w:t>
            </w:r>
          </w:p>
        </w:tc>
        <w:tc>
          <w:tcPr>
            <w:tcW w:w="0" w:type="auto"/>
            <w:tcBorders>
              <w:top w:val="single" w:color="000000" w:sz="4" w:space="0"/>
              <w:left w:val="nil"/>
              <w:bottom w:val="nil"/>
              <w:right w:val="nil"/>
            </w:tcBorders>
            <w:shd w:val="clear" w:color="auto" w:fill="FFFFFF"/>
            <w:vAlign w:val="center"/>
          </w:tcPr>
          <w:p w14:paraId="5E394FE0">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稳定增长，市场占有率提升</w:t>
            </w:r>
          </w:p>
        </w:tc>
        <w:tc>
          <w:tcPr>
            <w:tcW w:w="0" w:type="auto"/>
            <w:tcBorders>
              <w:top w:val="single" w:color="000000" w:sz="4" w:space="0"/>
              <w:left w:val="nil"/>
              <w:bottom w:val="nil"/>
              <w:right w:val="nil"/>
            </w:tcBorders>
            <w:shd w:val="clear" w:color="auto" w:fill="FFFFFF"/>
            <w:vAlign w:val="center"/>
          </w:tcPr>
          <w:p w14:paraId="267B8D35">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高毛利率（65-70%），现金流良好</w:t>
            </w:r>
          </w:p>
        </w:tc>
        <w:tc>
          <w:tcPr>
            <w:tcW w:w="0" w:type="auto"/>
            <w:tcBorders>
              <w:top w:val="single" w:color="000000" w:sz="4" w:space="0"/>
              <w:left w:val="nil"/>
              <w:bottom w:val="nil"/>
              <w:right w:val="nil"/>
            </w:tcBorders>
            <w:shd w:val="clear" w:color="auto" w:fill="FFFFFF"/>
            <w:vAlign w:val="center"/>
          </w:tcPr>
          <w:p w14:paraId="02C12F65">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资源效率高，规模效应明显</w:t>
            </w:r>
          </w:p>
        </w:tc>
        <w:tc>
          <w:tcPr>
            <w:tcW w:w="0" w:type="auto"/>
            <w:tcBorders>
              <w:top w:val="single" w:color="000000" w:sz="4" w:space="0"/>
              <w:left w:val="nil"/>
              <w:bottom w:val="nil"/>
              <w:right w:val="nil"/>
            </w:tcBorders>
            <w:shd w:val="clear" w:color="auto" w:fill="FFFFFF"/>
            <w:vAlign w:val="center"/>
          </w:tcPr>
          <w:p w14:paraId="744C8833">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现金牛产品，提供稳定现金流</w:t>
            </w:r>
          </w:p>
        </w:tc>
      </w:tr>
      <w:tr w14:paraId="3F57E5BA">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1F8B035">
            <w:pPr>
              <w:pStyle w:val="37"/>
              <w:spacing w:before="60" w:after="60"/>
              <w:jc w:val="center"/>
              <w:rPr>
                <w:rFonts w:ascii="Times New Roman" w:hAnsi="Times New Roman" w:eastAsia="宋体"/>
                <w:color w:val="000000"/>
                <w:sz w:val="22"/>
              </w:rPr>
            </w:pPr>
            <w:r>
              <w:rPr>
                <w:rFonts w:ascii="Times New Roman" w:hAnsi="Times New Roman" w:eastAsia="宋体"/>
                <w:bCs/>
                <w:color w:val="000000"/>
                <w:sz w:val="22"/>
              </w:rPr>
              <w:t>视频应变仪</w:t>
            </w:r>
          </w:p>
        </w:tc>
        <w:tc>
          <w:tcPr>
            <w:tcW w:w="0" w:type="auto"/>
            <w:tcBorders>
              <w:top w:val="nil"/>
              <w:left w:val="nil"/>
              <w:bottom w:val="nil"/>
              <w:right w:val="nil"/>
            </w:tcBorders>
            <w:shd w:val="clear" w:color="auto" w:fill="FFFFFF"/>
            <w:vAlign w:val="center"/>
          </w:tcPr>
          <w:p w14:paraId="66D4D56E">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模块化配置生产</w:t>
            </w:r>
          </w:p>
        </w:tc>
        <w:tc>
          <w:tcPr>
            <w:tcW w:w="0" w:type="auto"/>
            <w:tcBorders>
              <w:top w:val="nil"/>
              <w:left w:val="nil"/>
              <w:bottom w:val="nil"/>
              <w:right w:val="nil"/>
            </w:tcBorders>
            <w:shd w:val="clear" w:color="auto" w:fill="FFFFFF"/>
            <w:vAlign w:val="center"/>
          </w:tcPr>
          <w:p w14:paraId="2A8AE90A">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快速增长，技术溢价明显</w:t>
            </w:r>
          </w:p>
        </w:tc>
        <w:tc>
          <w:tcPr>
            <w:tcW w:w="0" w:type="auto"/>
            <w:tcBorders>
              <w:top w:val="nil"/>
              <w:left w:val="nil"/>
              <w:bottom w:val="nil"/>
              <w:right w:val="nil"/>
            </w:tcBorders>
            <w:shd w:val="clear" w:color="auto" w:fill="FFFFFF"/>
            <w:vAlign w:val="center"/>
          </w:tcPr>
          <w:p w14:paraId="46518E60">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较高毛利率（60-65%），回款及时</w:t>
            </w:r>
          </w:p>
        </w:tc>
        <w:tc>
          <w:tcPr>
            <w:tcW w:w="0" w:type="auto"/>
            <w:tcBorders>
              <w:top w:val="nil"/>
              <w:left w:val="nil"/>
              <w:bottom w:val="nil"/>
              <w:right w:val="nil"/>
            </w:tcBorders>
            <w:shd w:val="clear" w:color="auto" w:fill="FFFFFF"/>
            <w:vAlign w:val="center"/>
          </w:tcPr>
          <w:p w14:paraId="577351F1">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资源效率较高，支持快速扩张</w:t>
            </w:r>
          </w:p>
        </w:tc>
        <w:tc>
          <w:tcPr>
            <w:tcW w:w="0" w:type="auto"/>
            <w:tcBorders>
              <w:top w:val="nil"/>
              <w:left w:val="nil"/>
              <w:bottom w:val="nil"/>
              <w:right w:val="nil"/>
            </w:tcBorders>
            <w:shd w:val="clear" w:color="auto" w:fill="FFFFFF"/>
            <w:vAlign w:val="center"/>
          </w:tcPr>
          <w:p w14:paraId="431FCBF4">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明星产品，支撑公司增长</w:t>
            </w:r>
          </w:p>
        </w:tc>
      </w:tr>
      <w:tr w14:paraId="16A83558">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038B17F5">
            <w:pPr>
              <w:pStyle w:val="37"/>
              <w:spacing w:before="60" w:after="60"/>
              <w:jc w:val="center"/>
              <w:rPr>
                <w:rFonts w:ascii="Times New Roman" w:hAnsi="Times New Roman" w:eastAsia="宋体"/>
                <w:color w:val="000000"/>
                <w:sz w:val="22"/>
              </w:rPr>
            </w:pPr>
            <w:r>
              <w:rPr>
                <w:rFonts w:ascii="Times New Roman" w:hAnsi="Times New Roman" w:eastAsia="宋体"/>
                <w:bCs/>
                <w:color w:val="000000"/>
                <w:sz w:val="22"/>
              </w:rPr>
              <w:t>视频跟踪仪</w:t>
            </w:r>
          </w:p>
        </w:tc>
        <w:tc>
          <w:tcPr>
            <w:tcW w:w="0" w:type="auto"/>
            <w:tcBorders>
              <w:top w:val="nil"/>
              <w:left w:val="nil"/>
              <w:bottom w:val="single" w:color="000000" w:sz="12" w:space="0"/>
              <w:right w:val="nil"/>
            </w:tcBorders>
            <w:shd w:val="clear" w:color="auto" w:fill="FFFFFF"/>
            <w:vAlign w:val="center"/>
          </w:tcPr>
          <w:p w14:paraId="0ADF0C14">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项目定制化生产</w:t>
            </w:r>
          </w:p>
        </w:tc>
        <w:tc>
          <w:tcPr>
            <w:tcW w:w="0" w:type="auto"/>
            <w:tcBorders>
              <w:top w:val="nil"/>
              <w:left w:val="nil"/>
              <w:bottom w:val="single" w:color="000000" w:sz="12" w:space="0"/>
              <w:right w:val="nil"/>
            </w:tcBorders>
            <w:shd w:val="clear" w:color="auto" w:fill="FFFFFF"/>
            <w:vAlign w:val="center"/>
          </w:tcPr>
          <w:p w14:paraId="743966FC">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波动增长，项目依赖性强</w:t>
            </w:r>
          </w:p>
        </w:tc>
        <w:tc>
          <w:tcPr>
            <w:tcW w:w="0" w:type="auto"/>
            <w:tcBorders>
              <w:top w:val="nil"/>
              <w:left w:val="nil"/>
              <w:bottom w:val="single" w:color="000000" w:sz="12" w:space="0"/>
              <w:right w:val="nil"/>
            </w:tcBorders>
            <w:shd w:val="clear" w:color="auto" w:fill="FFFFFF"/>
            <w:vAlign w:val="center"/>
          </w:tcPr>
          <w:p w14:paraId="5E30B7EA">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毛利率较低（45-55%），现金流紧张</w:t>
            </w:r>
          </w:p>
        </w:tc>
        <w:tc>
          <w:tcPr>
            <w:tcW w:w="0" w:type="auto"/>
            <w:tcBorders>
              <w:top w:val="nil"/>
              <w:left w:val="nil"/>
              <w:bottom w:val="single" w:color="000000" w:sz="12" w:space="0"/>
              <w:right w:val="nil"/>
            </w:tcBorders>
            <w:shd w:val="clear" w:color="auto" w:fill="FFFFFF"/>
            <w:vAlign w:val="center"/>
          </w:tcPr>
          <w:p w14:paraId="2D92E1E5">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资源效率低，难以形成规模效应</w:t>
            </w:r>
          </w:p>
        </w:tc>
        <w:tc>
          <w:tcPr>
            <w:tcW w:w="0" w:type="auto"/>
            <w:tcBorders>
              <w:top w:val="nil"/>
              <w:left w:val="nil"/>
              <w:bottom w:val="single" w:color="000000" w:sz="12" w:space="0"/>
              <w:right w:val="nil"/>
            </w:tcBorders>
            <w:shd w:val="clear" w:color="auto" w:fill="FFFFFF"/>
            <w:vAlign w:val="center"/>
          </w:tcPr>
          <w:p w14:paraId="1E8A9DE7">
            <w:pPr>
              <w:pStyle w:val="37"/>
              <w:spacing w:before="60" w:after="60"/>
              <w:jc w:val="center"/>
              <w:rPr>
                <w:rFonts w:ascii="Times New Roman" w:hAnsi="Times New Roman" w:eastAsia="宋体"/>
                <w:color w:val="000000"/>
                <w:sz w:val="22"/>
              </w:rPr>
            </w:pPr>
            <w:r>
              <w:rPr>
                <w:rFonts w:ascii="Times New Roman" w:hAnsi="Times New Roman" w:eastAsia="宋体"/>
                <w:color w:val="000000"/>
                <w:sz w:val="22"/>
              </w:rPr>
              <w:t>问题产品，需要战略转型</w:t>
            </w:r>
          </w:p>
        </w:tc>
      </w:tr>
    </w:tbl>
    <w:p w14:paraId="38366BF4">
      <w:pPr>
        <w:pStyle w:val="36"/>
        <w:spacing w:before="0" w:after="0" w:line="400" w:lineRule="exact"/>
        <w:ind w:firstLine="480" w:firstLineChars="200"/>
        <w:jc w:val="both"/>
        <w:rPr>
          <w:rFonts w:ascii="Times New Roman" w:hAnsi="Times New Roman"/>
          <w:lang w:eastAsia="zh-CN"/>
        </w:rPr>
      </w:pPr>
      <w:r>
        <w:rPr>
          <w:rFonts w:ascii="Times New Roman" w:hAnsi="Times New Roman"/>
        </w:rPr>
        <w:t>生产瓶颈分析：</w:t>
      </w:r>
    </w:p>
    <w:p w14:paraId="12296D9B">
      <w:pPr>
        <w:pStyle w:val="36"/>
        <w:spacing w:before="0" w:after="0" w:line="400" w:lineRule="exact"/>
        <w:ind w:firstLine="480" w:firstLineChars="200"/>
        <w:jc w:val="both"/>
        <w:rPr>
          <w:rFonts w:ascii="Times New Roman" w:hAnsi="Times New Roman"/>
        </w:rPr>
      </w:pPr>
      <w:r>
        <w:rPr>
          <w:rFonts w:hint="eastAsia" w:ascii="Times New Roman" w:hAnsi="Times New Roman"/>
          <w:lang w:eastAsia="zh-CN"/>
        </w:rPr>
        <w:t xml:space="preserve">1. </w:t>
      </w:r>
      <w:r>
        <w:rPr>
          <w:rFonts w:ascii="Times New Roman" w:hAnsi="Times New Roman"/>
        </w:rPr>
        <w:t>标准化产品：主要瓶颈在于产能限制和核心芯片供应稳定性，但整体供应链管理较为成熟。 2. 项目化产品：面临多重瓶颈：研发瓶颈（定制开发需求过多）、工程实施瓶颈（现场工作量大）、人才瓶颈（复合型项目人才稀缺）、资金瓶颈（项目垫资压力大）。</w:t>
      </w:r>
    </w:p>
    <w:bookmarkEnd w:id="128"/>
    <w:bookmarkEnd w:id="129"/>
    <w:p w14:paraId="634DEDCF">
      <w:pPr>
        <w:pStyle w:val="5"/>
      </w:pPr>
      <w:bookmarkStart w:id="130" w:name="_Toc222822788"/>
      <w:bookmarkStart w:id="131" w:name="_Toc222913158"/>
      <w:bookmarkStart w:id="132" w:name="客户资源"/>
      <w:r>
        <w:t>4.2.4 客户资源</w:t>
      </w:r>
      <w:bookmarkEnd w:id="130"/>
      <w:bookmarkEnd w:id="131"/>
    </w:p>
    <w:p w14:paraId="08EA3ACC">
      <w:pPr>
        <w:pStyle w:val="36"/>
        <w:spacing w:before="0" w:after="0" w:line="400" w:lineRule="exact"/>
        <w:ind w:firstLine="480" w:firstLineChars="200"/>
        <w:jc w:val="both"/>
        <w:rPr>
          <w:rFonts w:ascii="Times New Roman" w:hAnsi="Times New Roman"/>
        </w:rPr>
      </w:pPr>
      <w:r>
        <w:rPr>
          <w:rFonts w:ascii="Times New Roman" w:hAnsi="Times New Roman"/>
        </w:rPr>
        <w:t>HSM建立了坚实的客户基础，累计服务超过1000家客户，形成多层次客户结构：</w:t>
      </w:r>
    </w:p>
    <w:p w14:paraId="64451672">
      <w:pPr>
        <w:pStyle w:val="36"/>
        <w:spacing w:before="0" w:after="0" w:line="400" w:lineRule="exact"/>
        <w:ind w:firstLine="480" w:firstLineChars="200"/>
        <w:jc w:val="both"/>
        <w:rPr>
          <w:rFonts w:ascii="Times New Roman" w:hAnsi="Times New Roman"/>
        </w:rPr>
      </w:pPr>
      <w:r>
        <w:rPr>
          <w:rFonts w:ascii="Times New Roman" w:hAnsi="Times New Roman"/>
        </w:rPr>
        <w:t>高端科研客户：清华大学、北京航空航天大学、中科院等顶尖科研院所，对测量精度要求极高，是技术创新的重要推动力量。</w:t>
      </w:r>
    </w:p>
    <w:p w14:paraId="466C842E">
      <w:pPr>
        <w:pStyle w:val="36"/>
        <w:spacing w:before="0" w:after="0" w:line="400" w:lineRule="exact"/>
        <w:ind w:firstLine="480" w:firstLineChars="200"/>
        <w:jc w:val="both"/>
        <w:rPr>
          <w:rFonts w:ascii="Times New Roman" w:hAnsi="Times New Roman"/>
        </w:rPr>
      </w:pPr>
      <w:r>
        <w:rPr>
          <w:rFonts w:ascii="Times New Roman" w:hAnsi="Times New Roman"/>
        </w:rPr>
        <w:t>工业标杆客户：一汽集团、比亚迪、宁德时代、华为等制造业龙头企业，关注产品的稳定性、可靠性和生产效率提升，是规模化市场的重要支撑。</w:t>
      </w:r>
    </w:p>
    <w:p w14:paraId="61CF6717">
      <w:pPr>
        <w:pStyle w:val="36"/>
        <w:spacing w:before="0" w:after="0" w:line="400" w:lineRule="exact"/>
        <w:ind w:firstLine="480" w:firstLineChars="200"/>
        <w:jc w:val="both"/>
        <w:rPr>
          <w:rFonts w:ascii="Times New Roman" w:hAnsi="Times New Roman"/>
        </w:rPr>
      </w:pPr>
      <w:r>
        <w:rPr>
          <w:rFonts w:ascii="Times New Roman" w:hAnsi="Times New Roman"/>
        </w:rPr>
        <w:t>政府项目客户：交通运输部门、市政工程单位、基础设施运营商等，需求以安全监测为主，项目规模大但周期长、回款慢。</w:t>
      </w:r>
    </w:p>
    <w:p w14:paraId="06F5A701">
      <w:pPr>
        <w:pStyle w:val="36"/>
        <w:spacing w:before="0" w:after="0" w:line="400" w:lineRule="exact"/>
        <w:ind w:firstLine="480" w:firstLineChars="200"/>
        <w:jc w:val="both"/>
        <w:rPr>
          <w:rFonts w:ascii="Times New Roman" w:hAnsi="Times New Roman"/>
        </w:rPr>
      </w:pPr>
      <w:r>
        <w:rPr>
          <w:rFonts w:ascii="Times New Roman" w:hAnsi="Times New Roman"/>
        </w:rPr>
        <w:t>客户分布特征：标准化产品（视频引伸计、视频应变仪）客户以高校科研院所和制造企业为主，决策链相对清晰，回款及时；项目化产品（视频跟踪仪）客户以政府部门和大型国企为主，决策链复杂，回款周期长。</w:t>
      </w:r>
    </w:p>
    <w:bookmarkEnd w:id="132"/>
    <w:p w14:paraId="784A9D4B">
      <w:pPr>
        <w:pStyle w:val="5"/>
      </w:pPr>
      <w:bookmarkStart w:id="133" w:name="_Toc222822789"/>
      <w:bookmarkStart w:id="134" w:name="_Toc222913159"/>
      <w:bookmarkStart w:id="135" w:name="人力资源"/>
      <w:r>
        <w:t>4.2.5 人力资源</w:t>
      </w:r>
      <w:bookmarkEnd w:id="133"/>
      <w:bookmarkEnd w:id="134"/>
    </w:p>
    <w:p w14:paraId="0CFBD6F0">
      <w:pPr>
        <w:pStyle w:val="36"/>
        <w:spacing w:before="0" w:after="0" w:line="400" w:lineRule="exact"/>
        <w:ind w:firstLine="480" w:firstLineChars="200"/>
        <w:jc w:val="both"/>
        <w:rPr>
          <w:rFonts w:ascii="Times New Roman" w:hAnsi="Times New Roman"/>
        </w:rPr>
      </w:pPr>
      <w:r>
        <w:rPr>
          <w:rFonts w:ascii="Times New Roman" w:hAnsi="Times New Roman"/>
        </w:rPr>
        <w:t>截至2024年底，HSM员工总数120人，人才结构呈现以下特点：</w:t>
      </w:r>
    </w:p>
    <w:p w14:paraId="6A381143">
      <w:pPr>
        <w:pStyle w:val="36"/>
        <w:spacing w:before="0" w:after="0" w:line="400" w:lineRule="exact"/>
        <w:ind w:firstLine="480" w:firstLineChars="200"/>
        <w:jc w:val="both"/>
        <w:rPr>
          <w:rFonts w:ascii="Times New Roman" w:hAnsi="Times New Roman"/>
        </w:rPr>
      </w:pPr>
      <w:r>
        <w:rPr>
          <w:rFonts w:ascii="Times New Roman" w:hAnsi="Times New Roman"/>
        </w:rPr>
        <w:t>研发团队：占比40%，核心成员来自清华大学、北京航空航天大学等知名高校，具备扎实的理论基础和实践经验。团队形成了算法开发、硬件设计、软件工程、系统集成等专业分工。</w:t>
      </w:r>
    </w:p>
    <w:p w14:paraId="76594E9A">
      <w:pPr>
        <w:pStyle w:val="36"/>
        <w:spacing w:before="0" w:after="0" w:line="400" w:lineRule="exact"/>
        <w:ind w:firstLine="480" w:firstLineChars="200"/>
        <w:jc w:val="both"/>
        <w:rPr>
          <w:rFonts w:ascii="Times New Roman" w:hAnsi="Times New Roman"/>
        </w:rPr>
      </w:pPr>
      <w:r>
        <w:rPr>
          <w:rFonts w:ascii="Times New Roman" w:hAnsi="Times New Roman"/>
        </w:rPr>
        <w:t>管理团队：创始人技术背景深厚，在DIC算法领域有10年以上研究经验。公司正在引进具有产业经验和资本运作背景的管理人才，完善管理体系。</w:t>
      </w:r>
    </w:p>
    <w:p w14:paraId="54666018">
      <w:pPr>
        <w:pStyle w:val="36"/>
        <w:spacing w:before="0" w:after="0" w:line="400" w:lineRule="exact"/>
        <w:ind w:firstLine="480" w:firstLineChars="200"/>
        <w:jc w:val="both"/>
        <w:rPr>
          <w:rFonts w:ascii="Times New Roman" w:hAnsi="Times New Roman"/>
        </w:rPr>
      </w:pPr>
      <w:r>
        <w:rPr>
          <w:rFonts w:ascii="Times New Roman" w:hAnsi="Times New Roman"/>
        </w:rPr>
        <w:t>销售与服务团队：在全国主要城市设立办事处，建立了覆盖全国的销售网络。技术服务团队具备较强的现场调试和问题解决能力。</w:t>
      </w:r>
    </w:p>
    <w:p w14:paraId="1F94D7E2">
      <w:pPr>
        <w:pStyle w:val="36"/>
        <w:spacing w:before="0" w:after="0" w:line="400" w:lineRule="exact"/>
        <w:ind w:firstLine="480" w:firstLineChars="200"/>
        <w:jc w:val="both"/>
        <w:rPr>
          <w:rFonts w:ascii="Times New Roman" w:hAnsi="Times New Roman"/>
        </w:rPr>
      </w:pPr>
      <w:r>
        <w:rPr>
          <w:rFonts w:ascii="Times New Roman" w:hAnsi="Times New Roman"/>
        </w:rPr>
        <w:t>人才挑战：视频跟踪仪业务需要大量具备方案设计、工程实施、项目管理能力的复合型人才，这类人才市场稀缺，培养周期长，是制约业务发展的关键瓶颈。</w:t>
      </w:r>
    </w:p>
    <w:bookmarkEnd w:id="116"/>
    <w:bookmarkEnd w:id="135"/>
    <w:p w14:paraId="44ABDBA0">
      <w:pPr>
        <w:pStyle w:val="3"/>
      </w:pPr>
      <w:bookmarkStart w:id="136" w:name="_Toc222822790"/>
      <w:bookmarkStart w:id="137" w:name="_Toc222913160"/>
      <w:bookmarkStart w:id="138" w:name="hsm竞争战略"/>
      <w:r>
        <w:t>4.3 HSM竞争战略</w:t>
      </w:r>
      <w:bookmarkEnd w:id="136"/>
      <w:bookmarkEnd w:id="137"/>
    </w:p>
    <w:p w14:paraId="7744C81B">
      <w:pPr>
        <w:pStyle w:val="5"/>
      </w:pPr>
      <w:bookmarkStart w:id="139" w:name="_Toc222822791"/>
      <w:bookmarkStart w:id="140" w:name="_Toc222913161"/>
      <w:bookmarkStart w:id="141" w:name="hsm战略目标"/>
      <w:r>
        <w:t>4.3.1 HSM战略目标</w:t>
      </w:r>
      <w:bookmarkEnd w:id="139"/>
      <w:bookmarkEnd w:id="140"/>
    </w:p>
    <w:p w14:paraId="68FC789B">
      <w:pPr>
        <w:pStyle w:val="36"/>
        <w:spacing w:before="0" w:after="0" w:line="400" w:lineRule="exact"/>
        <w:ind w:firstLine="480" w:firstLineChars="200"/>
        <w:jc w:val="both"/>
        <w:rPr>
          <w:rFonts w:ascii="Times New Roman" w:hAnsi="Times New Roman"/>
        </w:rPr>
      </w:pPr>
      <w:r>
        <w:rPr>
          <w:rFonts w:ascii="Times New Roman" w:hAnsi="Times New Roman"/>
        </w:rPr>
        <w:t>基于内部资源能力分析和市场环境判断，HSM制定了分阶段的战略目标：</w:t>
      </w:r>
    </w:p>
    <w:p w14:paraId="1E3DF65B">
      <w:pPr>
        <w:pStyle w:val="36"/>
        <w:spacing w:before="0" w:after="0" w:line="400" w:lineRule="exact"/>
        <w:ind w:firstLine="480" w:firstLineChars="200"/>
        <w:jc w:val="both"/>
        <w:rPr>
          <w:rFonts w:ascii="Times New Roman" w:hAnsi="Times New Roman"/>
          <w:lang w:eastAsia="zh-CN"/>
        </w:rPr>
      </w:pPr>
      <w:r>
        <w:rPr>
          <w:rFonts w:ascii="Times New Roman" w:hAnsi="Times New Roman"/>
        </w:rPr>
        <w:t>短期目标（2026-2028年）：</w:t>
      </w:r>
    </w:p>
    <w:p w14:paraId="2E6F42E0">
      <w:pPr>
        <w:pStyle w:val="36"/>
        <w:spacing w:before="0" w:after="0" w:line="400" w:lineRule="exact"/>
        <w:ind w:firstLine="480" w:firstLineChars="200"/>
        <w:jc w:val="both"/>
        <w:rPr>
          <w:rFonts w:ascii="Times New Roman" w:hAnsi="Times New Roman"/>
        </w:rPr>
      </w:pPr>
      <w:r>
        <w:rPr>
          <w:rFonts w:hint="eastAsia" w:ascii="Times New Roman" w:hAnsi="Times New Roman"/>
          <w:lang w:eastAsia="zh-CN"/>
        </w:rPr>
        <w:t xml:space="preserve">1. </w:t>
      </w:r>
      <w:r>
        <w:rPr>
          <w:rFonts w:ascii="Times New Roman" w:hAnsi="Times New Roman"/>
        </w:rPr>
        <w:t>巩固标准化产品优势：视频引伸计和视频应变仪市场占有率提升至国内前三。 2. 优化项目制业务：将视频跟踪仪项目平均交付周期缩短30%，回款周期缩短至180天以内。 3. 技术持续创新：第三代DIC技术性能指标达到国际先进水平，新增专利50项以上。 4. 财务健康改善：标准化产品营收占比提升至70%以上，整体毛利率提升至60%以上。</w:t>
      </w:r>
    </w:p>
    <w:p w14:paraId="33C306D3">
      <w:pPr>
        <w:pStyle w:val="36"/>
        <w:spacing w:before="0" w:after="0" w:line="400" w:lineRule="exact"/>
        <w:ind w:firstLine="480" w:firstLineChars="200"/>
        <w:jc w:val="both"/>
        <w:rPr>
          <w:rFonts w:ascii="Times New Roman" w:hAnsi="Times New Roman"/>
          <w:lang w:eastAsia="zh-CN"/>
        </w:rPr>
      </w:pPr>
      <w:r>
        <w:rPr>
          <w:rFonts w:ascii="Times New Roman" w:hAnsi="Times New Roman"/>
        </w:rPr>
        <w:t>中期目标（2029-2032年）：</w:t>
      </w:r>
    </w:p>
    <w:p w14:paraId="39DDD646">
      <w:pPr>
        <w:pStyle w:val="36"/>
        <w:spacing w:before="0" w:after="0" w:line="400" w:lineRule="exact"/>
        <w:ind w:firstLine="480" w:firstLineChars="200"/>
        <w:jc w:val="both"/>
        <w:rPr>
          <w:rFonts w:ascii="Times New Roman" w:hAnsi="Times New Roman"/>
        </w:rPr>
      </w:pPr>
      <w:r>
        <w:rPr>
          <w:rFonts w:hint="eastAsia" w:ascii="Times New Roman" w:hAnsi="Times New Roman"/>
          <w:lang w:eastAsia="zh-CN"/>
        </w:rPr>
        <w:t xml:space="preserve">1. </w:t>
      </w:r>
      <w:r>
        <w:rPr>
          <w:rFonts w:ascii="Times New Roman" w:hAnsi="Times New Roman"/>
        </w:rPr>
        <w:t>完成视频跟踪仪产品化转型：开发标准化视频跟踪仪产品系列，项目制业务占比降至30%以下。 2. 拓展国际市场：海外市场营收占比达到20%，进入欧美主流市场。 3. 构建技术生态：建立DIC技术开发者平台，吸引第三方应用开发。 4. 资本运作规划：完成科创板上市准备，市值目标50亿元以上。</w:t>
      </w:r>
    </w:p>
    <w:p w14:paraId="17FB58FA">
      <w:pPr>
        <w:pStyle w:val="36"/>
        <w:spacing w:before="0" w:after="0" w:line="400" w:lineRule="exact"/>
        <w:ind w:firstLine="480" w:firstLineChars="200"/>
        <w:jc w:val="both"/>
        <w:rPr>
          <w:rFonts w:ascii="Times New Roman" w:hAnsi="Times New Roman"/>
          <w:lang w:eastAsia="zh-CN"/>
        </w:rPr>
      </w:pPr>
      <w:r>
        <w:rPr>
          <w:rFonts w:ascii="Times New Roman" w:hAnsi="Times New Roman"/>
        </w:rPr>
        <w:t>长期目标（2033-2035年）：</w:t>
      </w:r>
    </w:p>
    <w:p w14:paraId="24DDD1ED">
      <w:pPr>
        <w:pStyle w:val="36"/>
        <w:spacing w:before="0" w:after="0" w:line="400" w:lineRule="exact"/>
        <w:ind w:firstLine="480" w:firstLineChars="200"/>
        <w:jc w:val="both"/>
        <w:rPr>
          <w:rFonts w:ascii="Times New Roman" w:hAnsi="Times New Roman"/>
        </w:rPr>
      </w:pPr>
      <w:r>
        <w:rPr>
          <w:rFonts w:hint="eastAsia" w:ascii="Times New Roman" w:hAnsi="Times New Roman"/>
          <w:lang w:eastAsia="zh-CN"/>
        </w:rPr>
        <w:t xml:space="preserve">1. </w:t>
      </w:r>
      <w:r>
        <w:rPr>
          <w:rFonts w:ascii="Times New Roman" w:hAnsi="Times New Roman"/>
        </w:rPr>
        <w:t>成为全球视觉力学传感器领导者：在全球DIC视觉传感器市场进入前三。 2. 构建智能感知平台：融合AI、IoT、云计算等技术，打造工业智能感知生态系统。 3. 产业生态布局：通过投资并购完善产业链，形成从传感器到解决方案的完整产业生态。 4. 可持续发展：实现碳中和运营，研发绿色低碳的智能感知技术。</w:t>
      </w:r>
    </w:p>
    <w:bookmarkEnd w:id="141"/>
    <w:p w14:paraId="0BC38FEC">
      <w:pPr>
        <w:pStyle w:val="5"/>
      </w:pPr>
      <w:bookmarkStart w:id="142" w:name="_Toc222822792"/>
      <w:bookmarkStart w:id="143" w:name="_Toc222913162"/>
      <w:bookmarkStart w:id="144" w:name="基本价值链的竞争选择和实施路径"/>
      <w:r>
        <w:t>4.3.2 基本价值链的竞争选择和实施路径</w:t>
      </w:r>
      <w:bookmarkEnd w:id="142"/>
      <w:bookmarkEnd w:id="143"/>
    </w:p>
    <w:p w14:paraId="38203348">
      <w:pPr>
        <w:pStyle w:val="36"/>
        <w:spacing w:before="0" w:after="0" w:line="400" w:lineRule="exact"/>
        <w:ind w:firstLine="480" w:firstLineChars="200"/>
        <w:jc w:val="both"/>
        <w:rPr>
          <w:rFonts w:ascii="Times New Roman" w:hAnsi="Times New Roman"/>
        </w:rPr>
      </w:pPr>
      <w:r>
        <w:rPr>
          <w:rFonts w:ascii="Times New Roman" w:hAnsi="Times New Roman"/>
        </w:rPr>
        <w:t>HSM的基本价值链竞争选择围绕强化技术差异化、优化生产模式、提升资源效率展开，具体实施路径如下：</w:t>
      </w:r>
    </w:p>
    <w:p w14:paraId="1094019F">
      <w:pPr>
        <w:pStyle w:val="4"/>
        <w:keepNext/>
        <w:keepLines w:val="0"/>
        <w:pageBreakBefore w:val="0"/>
        <w:widowControl/>
        <w:kinsoku/>
        <w:wordWrap/>
        <w:overflowPunct/>
        <w:topLinePunct w:val="0"/>
        <w:autoSpaceDE/>
        <w:autoSpaceDN/>
        <w:bidi w:val="0"/>
        <w:adjustRightInd/>
        <w:snapToGrid/>
        <w:spacing w:before="240" w:after="120"/>
        <w:jc w:val="center"/>
        <w:textAlignment w:val="auto"/>
        <w:rPr>
          <w:rFonts w:ascii="Times New Roman" w:hAnsi="Times New Roman"/>
          <w:sz w:val="22"/>
        </w:rPr>
      </w:pPr>
      <w:bookmarkStart w:id="145" w:name="表4-6hsm基本价值链的竞争选择和实施路径"/>
      <w:r>
        <w:rPr>
          <w:rFonts w:ascii="Times New Roman" w:hAnsi="Times New Roman"/>
          <w:sz w:val="22"/>
        </w:rPr>
        <w:t>表4</w:t>
      </w:r>
      <w:r>
        <w:rPr>
          <w:rFonts w:hint="eastAsia" w:ascii="Times New Roman" w:hAnsi="Times New Roman"/>
          <w:sz w:val="22"/>
          <w:lang w:eastAsia="zh-CN"/>
        </w:rPr>
        <w:t>.</w:t>
      </w:r>
      <w:r>
        <w:rPr>
          <w:rFonts w:ascii="Times New Roman" w:hAnsi="Times New Roman"/>
          <w:sz w:val="22"/>
        </w:rPr>
        <w:t>6：HSM基本价值链的竞争选择和实施路径</w:t>
      </w:r>
    </w:p>
    <w:tbl>
      <w:tblPr>
        <w:tblStyle w:val="41"/>
        <w:tblW w:w="4998" w:type="pct"/>
        <w:tblInd w:w="0" w:type="dxa"/>
        <w:tblLayout w:type="autofit"/>
        <w:tblCellMar>
          <w:top w:w="0" w:type="dxa"/>
          <w:left w:w="108" w:type="dxa"/>
          <w:bottom w:w="0" w:type="dxa"/>
          <w:right w:w="108" w:type="dxa"/>
        </w:tblCellMar>
      </w:tblPr>
      <w:tblGrid>
        <w:gridCol w:w="605"/>
        <w:gridCol w:w="1477"/>
        <w:gridCol w:w="5093"/>
        <w:gridCol w:w="1994"/>
      </w:tblGrid>
      <w:tr w14:paraId="5C4052AE">
        <w:tblPrEx>
          <w:tblCellMar>
            <w:top w:w="0" w:type="dxa"/>
            <w:left w:w="108" w:type="dxa"/>
            <w:bottom w:w="0" w:type="dxa"/>
            <w:right w:w="108" w:type="dxa"/>
          </w:tblCellMar>
        </w:tblPrEx>
        <w:tc>
          <w:tcPr>
            <w:tcW w:w="330" w:type="pct"/>
            <w:tcBorders>
              <w:top w:val="single" w:color="000000" w:sz="12" w:space="0"/>
              <w:left w:val="nil"/>
              <w:bottom w:val="single" w:color="000000" w:sz="4" w:space="0"/>
              <w:right w:val="nil"/>
              <w:tl2br w:val="nil"/>
            </w:tcBorders>
            <w:shd w:val="clear" w:color="auto" w:fill="FFFFFF"/>
            <w:vAlign w:val="center"/>
          </w:tcPr>
          <w:p w14:paraId="6041C6B5">
            <w:pPr>
              <w:pStyle w:val="37"/>
              <w:keepNext/>
              <w:keepLines w:val="0"/>
              <w:pageBreakBefore w:val="0"/>
              <w:widowControl/>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价值链环节</w:t>
            </w:r>
          </w:p>
        </w:tc>
        <w:tc>
          <w:tcPr>
            <w:tcW w:w="805" w:type="pct"/>
            <w:tcBorders>
              <w:top w:val="single" w:color="000000" w:sz="12" w:space="0"/>
              <w:left w:val="nil"/>
              <w:bottom w:val="single" w:color="000000" w:sz="4" w:space="0"/>
              <w:right w:val="nil"/>
            </w:tcBorders>
            <w:shd w:val="clear" w:color="auto" w:fill="FFFFFF"/>
            <w:vAlign w:val="center"/>
          </w:tcPr>
          <w:p w14:paraId="531412E7">
            <w:pPr>
              <w:pStyle w:val="37"/>
              <w:keepNext/>
              <w:keepLines w:val="0"/>
              <w:pageBreakBefore w:val="0"/>
              <w:widowControl/>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核心竞争选择</w:t>
            </w:r>
          </w:p>
        </w:tc>
        <w:tc>
          <w:tcPr>
            <w:tcW w:w="2776" w:type="pct"/>
            <w:tcBorders>
              <w:top w:val="single" w:color="000000" w:sz="12" w:space="0"/>
              <w:left w:val="nil"/>
              <w:bottom w:val="single" w:color="000000" w:sz="4" w:space="0"/>
              <w:right w:val="nil"/>
            </w:tcBorders>
            <w:shd w:val="clear" w:color="auto" w:fill="FFFFFF"/>
            <w:vAlign w:val="center"/>
          </w:tcPr>
          <w:p w14:paraId="6592E2CB">
            <w:pPr>
              <w:pStyle w:val="37"/>
              <w:keepNext/>
              <w:keepLines w:val="0"/>
              <w:pageBreakBefore w:val="0"/>
              <w:widowControl/>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具体实施路径</w:t>
            </w:r>
          </w:p>
        </w:tc>
        <w:tc>
          <w:tcPr>
            <w:tcW w:w="1087" w:type="pct"/>
            <w:tcBorders>
              <w:top w:val="single" w:color="000000" w:sz="12" w:space="0"/>
              <w:left w:val="nil"/>
              <w:bottom w:val="single" w:color="000000" w:sz="4" w:space="0"/>
              <w:right w:val="nil"/>
            </w:tcBorders>
            <w:shd w:val="clear" w:color="auto" w:fill="FFFFFF"/>
            <w:vAlign w:val="center"/>
          </w:tcPr>
          <w:p w14:paraId="77F1D0E8">
            <w:pPr>
              <w:pStyle w:val="37"/>
              <w:keepNext/>
              <w:keepLines w:val="0"/>
              <w:pageBreakBefore w:val="0"/>
              <w:widowControl/>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预期成效</w:t>
            </w:r>
          </w:p>
        </w:tc>
      </w:tr>
      <w:tr w14:paraId="0AF542B9">
        <w:tblPrEx>
          <w:tblCellMar>
            <w:top w:w="0" w:type="dxa"/>
            <w:left w:w="108" w:type="dxa"/>
            <w:bottom w:w="0" w:type="dxa"/>
            <w:right w:w="108" w:type="dxa"/>
          </w:tblCellMar>
        </w:tblPrEx>
        <w:tc>
          <w:tcPr>
            <w:tcW w:w="330" w:type="pct"/>
            <w:tcBorders>
              <w:top w:val="single" w:color="000000" w:sz="4" w:space="0"/>
              <w:left w:val="nil"/>
              <w:bottom w:val="nil"/>
              <w:right w:val="nil"/>
            </w:tcBorders>
            <w:shd w:val="clear" w:color="auto" w:fill="FFFFFF"/>
            <w:vAlign w:val="center"/>
          </w:tcPr>
          <w:p w14:paraId="57BEFE56">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技术开发</w:t>
            </w:r>
          </w:p>
        </w:tc>
        <w:tc>
          <w:tcPr>
            <w:tcW w:w="805" w:type="pct"/>
            <w:tcBorders>
              <w:top w:val="single" w:color="000000" w:sz="4" w:space="0"/>
              <w:left w:val="nil"/>
              <w:bottom w:val="nil"/>
              <w:right w:val="nil"/>
            </w:tcBorders>
            <w:shd w:val="clear" w:color="auto" w:fill="FFFFFF"/>
            <w:vAlign w:val="center"/>
          </w:tcPr>
          <w:p w14:paraId="31FE2CD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强化单目三维DIC技术优势，构建高壁垒技术体系</w:t>
            </w:r>
          </w:p>
        </w:tc>
        <w:tc>
          <w:tcPr>
            <w:tcW w:w="2776" w:type="pct"/>
            <w:tcBorders>
              <w:top w:val="single" w:color="000000" w:sz="4" w:space="0"/>
              <w:left w:val="nil"/>
              <w:bottom w:val="nil"/>
              <w:right w:val="nil"/>
            </w:tcBorders>
            <w:shd w:val="clear" w:color="auto" w:fill="FFFFFF"/>
            <w:vAlign w:val="center"/>
          </w:tcPr>
          <w:p w14:paraId="3EFF8E4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 持续投入第三代DIC算法研发，提升测量精度和速度2. 融合AI技术，开发智能识别和预测分析功能3. 布局边缘计算和云平台架构，支持大规模部署4. 加强专利全球化布局，防范技术模仿风险</w:t>
            </w:r>
          </w:p>
        </w:tc>
        <w:tc>
          <w:tcPr>
            <w:tcW w:w="1087" w:type="pct"/>
            <w:tcBorders>
              <w:top w:val="single" w:color="000000" w:sz="4" w:space="0"/>
              <w:left w:val="nil"/>
              <w:bottom w:val="nil"/>
              <w:right w:val="nil"/>
            </w:tcBorders>
            <w:shd w:val="clear" w:color="auto" w:fill="FFFFFF"/>
            <w:vAlign w:val="center"/>
          </w:tcPr>
          <w:p w14:paraId="13F36F3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技术领先优势保持3-5年，形成难以模仿的技术壁垒</w:t>
            </w:r>
          </w:p>
        </w:tc>
      </w:tr>
      <w:tr w14:paraId="0AB0C417">
        <w:tblPrEx>
          <w:tblCellMar>
            <w:top w:w="0" w:type="dxa"/>
            <w:left w:w="108" w:type="dxa"/>
            <w:bottom w:w="0" w:type="dxa"/>
            <w:right w:w="108" w:type="dxa"/>
          </w:tblCellMar>
        </w:tblPrEx>
        <w:tc>
          <w:tcPr>
            <w:tcW w:w="330" w:type="pct"/>
            <w:tcBorders>
              <w:top w:val="nil"/>
              <w:left w:val="nil"/>
              <w:bottom w:val="nil"/>
              <w:right w:val="nil"/>
            </w:tcBorders>
            <w:shd w:val="clear" w:color="auto" w:fill="FFFFFF"/>
            <w:vAlign w:val="center"/>
          </w:tcPr>
          <w:p w14:paraId="4AB96D6E">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生产运营</w:t>
            </w:r>
          </w:p>
        </w:tc>
        <w:tc>
          <w:tcPr>
            <w:tcW w:w="805" w:type="pct"/>
            <w:tcBorders>
              <w:top w:val="nil"/>
              <w:left w:val="nil"/>
              <w:bottom w:val="nil"/>
              <w:right w:val="nil"/>
            </w:tcBorders>
            <w:shd w:val="clear" w:color="auto" w:fill="FFFFFF"/>
            <w:vAlign w:val="center"/>
          </w:tcPr>
          <w:p w14:paraId="025A085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推动生产模式从项目制向产品化转型</w:t>
            </w:r>
          </w:p>
        </w:tc>
        <w:tc>
          <w:tcPr>
            <w:tcW w:w="2776" w:type="pct"/>
            <w:tcBorders>
              <w:top w:val="nil"/>
              <w:left w:val="nil"/>
              <w:bottom w:val="nil"/>
              <w:right w:val="nil"/>
            </w:tcBorders>
            <w:shd w:val="clear" w:color="auto" w:fill="FFFFFF"/>
            <w:vAlign w:val="center"/>
          </w:tcPr>
          <w:p w14:paraId="206ECEE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 视频跟踪仪产品化改造：基于项目经验提炼共性需求，开发标准化产品版本2. 建立模块化生产体系：将定制功能模块化，提高资源复用率3. 优化供应链管理：建立适应不同产品线的差异化供应链体系4. 实施精益生产：降低生产成本，提升产品质量稳定性</w:t>
            </w:r>
          </w:p>
        </w:tc>
        <w:tc>
          <w:tcPr>
            <w:tcW w:w="1087" w:type="pct"/>
            <w:tcBorders>
              <w:top w:val="nil"/>
              <w:left w:val="nil"/>
              <w:bottom w:val="nil"/>
              <w:right w:val="nil"/>
            </w:tcBorders>
            <w:shd w:val="clear" w:color="auto" w:fill="FFFFFF"/>
            <w:vAlign w:val="center"/>
          </w:tcPr>
          <w:p w14:paraId="474718D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视频跟踪仪毛利率提升至60%以上，回款周期缩短至120天以内</w:t>
            </w:r>
          </w:p>
        </w:tc>
      </w:tr>
      <w:tr w14:paraId="767641F0">
        <w:tblPrEx>
          <w:tblCellMar>
            <w:top w:w="0" w:type="dxa"/>
            <w:left w:w="108" w:type="dxa"/>
            <w:bottom w:w="0" w:type="dxa"/>
            <w:right w:w="108" w:type="dxa"/>
          </w:tblCellMar>
        </w:tblPrEx>
        <w:tc>
          <w:tcPr>
            <w:tcW w:w="330" w:type="pct"/>
            <w:tcBorders>
              <w:top w:val="nil"/>
              <w:left w:val="nil"/>
              <w:bottom w:val="nil"/>
              <w:right w:val="nil"/>
            </w:tcBorders>
            <w:shd w:val="clear" w:color="auto" w:fill="FFFFFF"/>
            <w:vAlign w:val="center"/>
          </w:tcPr>
          <w:p w14:paraId="208734BA">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市场营销</w:t>
            </w:r>
          </w:p>
        </w:tc>
        <w:tc>
          <w:tcPr>
            <w:tcW w:w="805" w:type="pct"/>
            <w:tcBorders>
              <w:top w:val="nil"/>
              <w:left w:val="nil"/>
              <w:bottom w:val="nil"/>
              <w:right w:val="nil"/>
            </w:tcBorders>
            <w:shd w:val="clear" w:color="auto" w:fill="FFFFFF"/>
            <w:vAlign w:val="center"/>
          </w:tcPr>
          <w:p w14:paraId="4EBD63B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聚焦大客户toB市场，建立专业品牌形象</w:t>
            </w:r>
          </w:p>
        </w:tc>
        <w:tc>
          <w:tcPr>
            <w:tcW w:w="2776" w:type="pct"/>
            <w:tcBorders>
              <w:top w:val="nil"/>
              <w:left w:val="nil"/>
              <w:bottom w:val="nil"/>
              <w:right w:val="nil"/>
            </w:tcBorders>
            <w:shd w:val="clear" w:color="auto" w:fill="FFFFFF"/>
            <w:vAlign w:val="center"/>
          </w:tcPr>
          <w:p w14:paraId="5E9E5F0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 实施客户分层策略：针对科研、工业、政府不同客户提供差异化产品和服务2. 加强标杆案例建设：在重点行业建立示范应用，形成口碑效应3. 构建专业服务体系：提供从方案设计到运营维护的全周期服务4. 拓展海外渠道：通过本地合作伙伴进入国际市场</w:t>
            </w:r>
          </w:p>
        </w:tc>
        <w:tc>
          <w:tcPr>
            <w:tcW w:w="1087" w:type="pct"/>
            <w:tcBorders>
              <w:top w:val="nil"/>
              <w:left w:val="nil"/>
              <w:bottom w:val="nil"/>
              <w:right w:val="nil"/>
            </w:tcBorders>
            <w:shd w:val="clear" w:color="auto" w:fill="FFFFFF"/>
            <w:vAlign w:val="center"/>
          </w:tcPr>
          <w:p w14:paraId="7E14F01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在DIC视觉传感器领域建立专业领导品牌，客户满意度提升至90%以上</w:t>
            </w:r>
          </w:p>
        </w:tc>
      </w:tr>
      <w:tr w14:paraId="64F4B96C">
        <w:tblPrEx>
          <w:tblCellMar>
            <w:top w:w="0" w:type="dxa"/>
            <w:left w:w="108" w:type="dxa"/>
            <w:bottom w:w="0" w:type="dxa"/>
            <w:right w:w="108" w:type="dxa"/>
          </w:tblCellMar>
        </w:tblPrEx>
        <w:tc>
          <w:tcPr>
            <w:tcW w:w="330" w:type="pct"/>
            <w:tcBorders>
              <w:top w:val="nil"/>
              <w:left w:val="nil"/>
              <w:bottom w:val="nil"/>
              <w:right w:val="nil"/>
            </w:tcBorders>
            <w:shd w:val="clear" w:color="auto" w:fill="FFFFFF"/>
            <w:vAlign w:val="center"/>
          </w:tcPr>
          <w:p w14:paraId="01ACF503">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客户服务</w:t>
            </w:r>
          </w:p>
        </w:tc>
        <w:tc>
          <w:tcPr>
            <w:tcW w:w="805" w:type="pct"/>
            <w:tcBorders>
              <w:top w:val="nil"/>
              <w:left w:val="nil"/>
              <w:bottom w:val="nil"/>
              <w:right w:val="nil"/>
            </w:tcBorders>
            <w:shd w:val="clear" w:color="auto" w:fill="FFFFFF"/>
            <w:vAlign w:val="center"/>
          </w:tcPr>
          <w:p w14:paraId="2685370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提供全生命周期技术支持，提升客户粘性</w:t>
            </w:r>
          </w:p>
        </w:tc>
        <w:tc>
          <w:tcPr>
            <w:tcW w:w="2776" w:type="pct"/>
            <w:tcBorders>
              <w:top w:val="nil"/>
              <w:left w:val="nil"/>
              <w:bottom w:val="nil"/>
              <w:right w:val="nil"/>
            </w:tcBorders>
            <w:shd w:val="clear" w:color="auto" w:fill="FFFFFF"/>
            <w:vAlign w:val="center"/>
          </w:tcPr>
          <w:p w14:paraId="42B28B7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 建立三级技术支持体系：远程支持、现场服务、专家咨询2. 开发智能化运维平台：实现设备状态远程监控和预测性维护3. 提供定制化培训服务：针对不同客户需求提供差异化培训方案4. 建立客户成功体系：跟踪客户使用效果，确保价值实现</w:t>
            </w:r>
          </w:p>
        </w:tc>
        <w:tc>
          <w:tcPr>
            <w:tcW w:w="1087" w:type="pct"/>
            <w:tcBorders>
              <w:top w:val="nil"/>
              <w:left w:val="nil"/>
              <w:bottom w:val="nil"/>
              <w:right w:val="nil"/>
            </w:tcBorders>
            <w:shd w:val="clear" w:color="auto" w:fill="FFFFFF"/>
            <w:vAlign w:val="center"/>
          </w:tcPr>
          <w:p w14:paraId="3130CA1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客户续约率提升至85%以上，客户生命周期价值提升30%</w:t>
            </w:r>
          </w:p>
        </w:tc>
      </w:tr>
      <w:tr w14:paraId="7A7127CD">
        <w:tblPrEx>
          <w:tblCellMar>
            <w:top w:w="0" w:type="dxa"/>
            <w:left w:w="108" w:type="dxa"/>
            <w:bottom w:w="0" w:type="dxa"/>
            <w:right w:w="108" w:type="dxa"/>
          </w:tblCellMar>
        </w:tblPrEx>
        <w:tc>
          <w:tcPr>
            <w:tcW w:w="330" w:type="pct"/>
            <w:tcBorders>
              <w:top w:val="nil"/>
              <w:left w:val="nil"/>
              <w:bottom w:val="nil"/>
              <w:right w:val="nil"/>
            </w:tcBorders>
            <w:shd w:val="clear" w:color="auto" w:fill="FFFFFF"/>
            <w:vAlign w:val="center"/>
          </w:tcPr>
          <w:p w14:paraId="612B6531">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bCs/>
                <w:color w:val="000000"/>
                <w:sz w:val="22"/>
              </w:rPr>
              <w:t>人力资源</w:t>
            </w:r>
          </w:p>
        </w:tc>
        <w:tc>
          <w:tcPr>
            <w:tcW w:w="805" w:type="pct"/>
            <w:tcBorders>
              <w:top w:val="nil"/>
              <w:left w:val="nil"/>
              <w:bottom w:val="nil"/>
              <w:right w:val="nil"/>
            </w:tcBorders>
            <w:shd w:val="clear" w:color="auto" w:fill="FFFFFF"/>
            <w:vAlign w:val="center"/>
          </w:tcPr>
          <w:p w14:paraId="0F40ED02">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培养复合型人才，支撑业务模式转型</w:t>
            </w:r>
          </w:p>
        </w:tc>
        <w:tc>
          <w:tcPr>
            <w:tcW w:w="2776" w:type="pct"/>
            <w:tcBorders>
              <w:top w:val="nil"/>
              <w:left w:val="nil"/>
              <w:bottom w:val="nil"/>
              <w:right w:val="nil"/>
            </w:tcBorders>
            <w:shd w:val="clear" w:color="auto" w:fill="FFFFFF"/>
            <w:vAlign w:val="center"/>
          </w:tcPr>
          <w:p w14:paraId="2D6D62E2">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1. 实施”技术+管理”双通道发展路径：为技术人员提供管理发展机会2. 建立项目人才培养体系：通过实战项目培养复合型人才3. 优化激励机制：将项目成功与个人收益挂钩，激发团队积极性4. 加强外部合作：与高校联合培养，引进行业专家</w:t>
            </w:r>
          </w:p>
        </w:tc>
        <w:tc>
          <w:tcPr>
            <w:tcW w:w="1087" w:type="pct"/>
            <w:tcBorders>
              <w:top w:val="nil"/>
              <w:left w:val="nil"/>
              <w:bottom w:val="nil"/>
              <w:right w:val="nil"/>
            </w:tcBorders>
            <w:shd w:val="clear" w:color="auto" w:fill="FFFFFF"/>
            <w:vAlign w:val="center"/>
          </w:tcPr>
          <w:p w14:paraId="2491D873">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复合型人才占比提升至30%以上，关键人才流失率降低至10%以下</w:t>
            </w:r>
          </w:p>
        </w:tc>
      </w:tr>
      <w:tr w14:paraId="1DC38F03">
        <w:tblPrEx>
          <w:tblCellMar>
            <w:top w:w="0" w:type="dxa"/>
            <w:left w:w="108" w:type="dxa"/>
            <w:bottom w:w="0" w:type="dxa"/>
            <w:right w:w="108" w:type="dxa"/>
          </w:tblCellMar>
        </w:tblPrEx>
        <w:tc>
          <w:tcPr>
            <w:tcW w:w="330" w:type="pct"/>
            <w:tcBorders>
              <w:top w:val="nil"/>
              <w:left w:val="nil"/>
              <w:bottom w:val="single" w:color="000000" w:sz="12" w:space="0"/>
              <w:right w:val="nil"/>
            </w:tcBorders>
            <w:shd w:val="clear" w:color="auto" w:fill="FFFFFF"/>
            <w:vAlign w:val="center"/>
          </w:tcPr>
          <w:p w14:paraId="4123374E">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bCs/>
                <w:color w:val="000000"/>
                <w:sz w:val="22"/>
              </w:rPr>
              <w:t>融资管理</w:t>
            </w:r>
          </w:p>
        </w:tc>
        <w:tc>
          <w:tcPr>
            <w:tcW w:w="805" w:type="pct"/>
            <w:tcBorders>
              <w:top w:val="nil"/>
              <w:left w:val="nil"/>
              <w:bottom w:val="single" w:color="000000" w:sz="12" w:space="0"/>
              <w:right w:val="nil"/>
            </w:tcBorders>
            <w:shd w:val="clear" w:color="auto" w:fill="FFFFFF"/>
            <w:vAlign w:val="center"/>
          </w:tcPr>
          <w:p w14:paraId="030751D1">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优化资本结构，支撑战略转型投入</w:t>
            </w:r>
          </w:p>
        </w:tc>
        <w:tc>
          <w:tcPr>
            <w:tcW w:w="2776" w:type="pct"/>
            <w:tcBorders>
              <w:top w:val="nil"/>
              <w:left w:val="nil"/>
              <w:bottom w:val="single" w:color="000000" w:sz="12" w:space="0"/>
              <w:right w:val="nil"/>
            </w:tcBorders>
            <w:shd w:val="clear" w:color="auto" w:fill="FFFFFF"/>
            <w:vAlign w:val="center"/>
          </w:tcPr>
          <w:p w14:paraId="68290B2F">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1. 分阶段融资规划：匹配业务发展阶段，合理控制融资节奏2. 资金使用专项管理：确保研发投入和市场拓展的资金需求3. 财务风险防控：建立现金流预警机制，防范项目垫资风险4. 上市规划准备：按照科创板要求规范公司治理和财务管理</w:t>
            </w:r>
          </w:p>
        </w:tc>
        <w:tc>
          <w:tcPr>
            <w:tcW w:w="1087" w:type="pct"/>
            <w:tcBorders>
              <w:top w:val="nil"/>
              <w:left w:val="nil"/>
              <w:bottom w:val="single" w:color="000000" w:sz="12" w:space="0"/>
              <w:right w:val="nil"/>
            </w:tcBorders>
            <w:shd w:val="clear" w:color="auto" w:fill="FFFFFF"/>
            <w:vAlign w:val="center"/>
          </w:tcPr>
          <w:p w14:paraId="35FBE465">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资金使用效率提升20%，为战略转型提供稳定资金支持</w:t>
            </w:r>
          </w:p>
        </w:tc>
      </w:tr>
    </w:tbl>
    <w:p w14:paraId="623C36C4"/>
    <w:bookmarkEnd w:id="138"/>
    <w:bookmarkEnd w:id="144"/>
    <w:bookmarkEnd w:id="145"/>
    <w:p w14:paraId="69EB78C8">
      <w:pPr>
        <w:pStyle w:val="3"/>
      </w:pPr>
      <w:bookmarkStart w:id="146" w:name="_Toc222913163"/>
      <w:bookmarkStart w:id="147" w:name="_Toc222822793"/>
      <w:bookmarkStart w:id="148" w:name="hsm面临的机遇和挑战"/>
      <w:r>
        <w:t>4.4 HSM面临的机遇和挑战</w:t>
      </w:r>
      <w:bookmarkEnd w:id="146"/>
      <w:bookmarkEnd w:id="147"/>
    </w:p>
    <w:p w14:paraId="533F5B67">
      <w:pPr>
        <w:pStyle w:val="5"/>
      </w:pPr>
      <w:bookmarkStart w:id="149" w:name="_Toc222913164"/>
      <w:bookmarkStart w:id="150" w:name="_Toc222822794"/>
      <w:bookmarkStart w:id="151" w:name="机遇"/>
      <w:r>
        <w:t>4.4.1 机遇</w:t>
      </w:r>
      <w:bookmarkEnd w:id="149"/>
      <w:bookmarkEnd w:id="150"/>
    </w:p>
    <w:p w14:paraId="15658799">
      <w:pPr>
        <w:pStyle w:val="36"/>
        <w:spacing w:before="0" w:after="0" w:line="400" w:lineRule="exact"/>
        <w:ind w:firstLine="480" w:firstLineChars="200"/>
        <w:jc w:val="both"/>
        <w:rPr>
          <w:rFonts w:ascii="Times New Roman" w:hAnsi="Times New Roman"/>
        </w:rPr>
      </w:pPr>
      <w:r>
        <w:rPr>
          <w:rFonts w:ascii="Times New Roman" w:hAnsi="Times New Roman"/>
        </w:rPr>
        <w:t>政策机遇：国家”中国制造2025”、“十四五”规划等战略将智能制造和国产替代作为重点方向，为视觉力学传感器企业提供了广阔的政策支持。特别是在中美科技竞争背景下，国产高端传感器的进口替代需求迫切，为HSM创造了重要的市场窗口期。</w:t>
      </w:r>
    </w:p>
    <w:p w14:paraId="5D9922B4">
      <w:pPr>
        <w:pStyle w:val="36"/>
        <w:spacing w:before="0" w:after="0" w:line="400" w:lineRule="exact"/>
        <w:ind w:firstLine="480" w:firstLineChars="200"/>
        <w:jc w:val="both"/>
        <w:rPr>
          <w:rFonts w:ascii="Times New Roman" w:hAnsi="Times New Roman"/>
        </w:rPr>
      </w:pPr>
      <w:r>
        <w:rPr>
          <w:rFonts w:ascii="Times New Roman" w:hAnsi="Times New Roman"/>
        </w:rPr>
        <w:t>市场机遇：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14:paraId="7A01940A">
      <w:pPr>
        <w:pStyle w:val="36"/>
        <w:spacing w:before="0" w:after="0" w:line="400" w:lineRule="exact"/>
        <w:ind w:firstLine="480" w:firstLineChars="200"/>
        <w:jc w:val="both"/>
        <w:rPr>
          <w:rFonts w:ascii="Times New Roman" w:hAnsi="Times New Roman"/>
        </w:rPr>
      </w:pPr>
      <w:r>
        <w:rPr>
          <w:rFonts w:ascii="Times New Roman" w:hAnsi="Times New Roman"/>
        </w:rPr>
        <w:t>技术机遇：人工智能、物联网、边缘计算等新一代信息技术与DIC技术的融合，为视觉力学传感器向智能化、平台化发展提供了技术路径。单目三维DIC技术的突破性进展，使HSM在技术路线上具备了差异化竞争优势。</w:t>
      </w:r>
    </w:p>
    <w:p w14:paraId="1051D663">
      <w:pPr>
        <w:pStyle w:val="36"/>
        <w:spacing w:before="0" w:after="0" w:line="400" w:lineRule="exact"/>
        <w:ind w:firstLine="480" w:firstLineChars="200"/>
        <w:jc w:val="both"/>
        <w:rPr>
          <w:rFonts w:ascii="Times New Roman" w:hAnsi="Times New Roman"/>
        </w:rPr>
      </w:pPr>
      <w:r>
        <w:rPr>
          <w:rFonts w:ascii="Times New Roman" w:hAnsi="Times New Roman"/>
        </w:rPr>
        <w:t>资本机遇：硬科技投资热度持续，资本市场对具备核心技术的传感器企业给予较高估值。科创板为科技型企业提供了良好的上市通道，为HSM的资本运作创造了有利条件。</w:t>
      </w:r>
    </w:p>
    <w:bookmarkEnd w:id="151"/>
    <w:p w14:paraId="552228E5">
      <w:pPr>
        <w:pStyle w:val="5"/>
      </w:pPr>
      <w:bookmarkStart w:id="152" w:name="_Toc222913165"/>
      <w:bookmarkStart w:id="153" w:name="_Toc222822795"/>
      <w:bookmarkStart w:id="154" w:name="挑战"/>
      <w:r>
        <w:t>4.4.2 挑战</w:t>
      </w:r>
      <w:bookmarkEnd w:id="152"/>
      <w:bookmarkEnd w:id="153"/>
    </w:p>
    <w:p w14:paraId="13EE931D">
      <w:pPr>
        <w:pStyle w:val="36"/>
        <w:spacing w:before="0" w:after="0" w:line="400" w:lineRule="exact"/>
        <w:ind w:firstLine="480" w:firstLineChars="200"/>
        <w:jc w:val="both"/>
        <w:rPr>
          <w:rFonts w:ascii="Times New Roman" w:hAnsi="Times New Roman"/>
        </w:rPr>
      </w:pPr>
      <w:r>
        <w:rPr>
          <w:rFonts w:ascii="Times New Roman" w:hAnsi="Times New Roman"/>
        </w:rPr>
        <w:t>视频跟踪仪项目制困境：这是HSM面临的最核心挑战，具体表现为：</w:t>
      </w:r>
    </w:p>
    <w:p w14:paraId="5F59E1F6">
      <w:pPr>
        <w:pStyle w:val="4"/>
        <w:spacing w:before="240" w:after="120"/>
        <w:jc w:val="center"/>
        <w:rPr>
          <w:rFonts w:ascii="Times New Roman" w:hAnsi="Times New Roman"/>
          <w:sz w:val="22"/>
        </w:rPr>
      </w:pPr>
      <w:bookmarkStart w:id="155" w:name="表4-7标准化产品与项目化产品关键指标对比"/>
      <w:r>
        <w:rPr>
          <w:rFonts w:ascii="Times New Roman" w:hAnsi="Times New Roman"/>
          <w:sz w:val="22"/>
        </w:rPr>
        <w:t>表4</w:t>
      </w:r>
      <w:r>
        <w:rPr>
          <w:rFonts w:hint="eastAsia" w:ascii="Times New Roman" w:hAnsi="Times New Roman"/>
          <w:sz w:val="22"/>
          <w:lang w:eastAsia="zh-CN"/>
        </w:rPr>
        <w:t>.</w:t>
      </w:r>
      <w:r>
        <w:rPr>
          <w:rFonts w:ascii="Times New Roman" w:hAnsi="Times New Roman"/>
          <w:sz w:val="22"/>
        </w:rPr>
        <w:t>7：标准化产品与项目化产品关键指标对比</w:t>
      </w:r>
    </w:p>
    <w:tbl>
      <w:tblPr>
        <w:tblStyle w:val="41"/>
        <w:tblW w:w="5000" w:type="pct"/>
        <w:tblInd w:w="0" w:type="dxa"/>
        <w:tblLayout w:type="autofit"/>
        <w:tblCellMar>
          <w:top w:w="0" w:type="dxa"/>
          <w:left w:w="108" w:type="dxa"/>
          <w:bottom w:w="0" w:type="dxa"/>
          <w:right w:w="108" w:type="dxa"/>
        </w:tblCellMar>
      </w:tblPr>
      <w:tblGrid>
        <w:gridCol w:w="1232"/>
        <w:gridCol w:w="3299"/>
        <w:gridCol w:w="2646"/>
        <w:gridCol w:w="1996"/>
      </w:tblGrid>
      <w:tr w14:paraId="43A6162B">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0C04C28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指标维度</w:t>
            </w:r>
          </w:p>
        </w:tc>
        <w:tc>
          <w:tcPr>
            <w:tcW w:w="0" w:type="auto"/>
            <w:tcBorders>
              <w:top w:val="single" w:color="000000" w:sz="12" w:space="0"/>
              <w:left w:val="nil"/>
              <w:bottom w:val="single" w:color="000000" w:sz="4" w:space="0"/>
              <w:right w:val="nil"/>
            </w:tcBorders>
            <w:shd w:val="clear" w:color="auto" w:fill="FFFFFF"/>
            <w:vAlign w:val="center"/>
          </w:tcPr>
          <w:p w14:paraId="42FD48A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标准化产品（视频引伸计/应变仪）</w:t>
            </w:r>
          </w:p>
        </w:tc>
        <w:tc>
          <w:tcPr>
            <w:tcW w:w="0" w:type="auto"/>
            <w:tcBorders>
              <w:top w:val="single" w:color="000000" w:sz="12" w:space="0"/>
              <w:left w:val="nil"/>
              <w:bottom w:val="single" w:color="000000" w:sz="4" w:space="0"/>
              <w:right w:val="nil"/>
            </w:tcBorders>
            <w:shd w:val="clear" w:color="auto" w:fill="FFFFFF"/>
            <w:vAlign w:val="center"/>
          </w:tcPr>
          <w:p w14:paraId="47AFDA5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项目化产品（视频跟踪仪）</w:t>
            </w:r>
          </w:p>
        </w:tc>
        <w:tc>
          <w:tcPr>
            <w:tcW w:w="0" w:type="auto"/>
            <w:tcBorders>
              <w:top w:val="single" w:color="000000" w:sz="12" w:space="0"/>
              <w:left w:val="nil"/>
              <w:bottom w:val="single" w:color="000000" w:sz="4" w:space="0"/>
              <w:right w:val="nil"/>
            </w:tcBorders>
            <w:shd w:val="clear" w:color="auto" w:fill="FFFFFF"/>
            <w:vAlign w:val="center"/>
          </w:tcPr>
          <w:p w14:paraId="55CAB11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差距分析</w:t>
            </w:r>
          </w:p>
        </w:tc>
      </w:tr>
      <w:tr w14:paraId="0242F941">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55CA85BC">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毛利率</w:t>
            </w:r>
          </w:p>
        </w:tc>
        <w:tc>
          <w:tcPr>
            <w:tcW w:w="0" w:type="auto"/>
            <w:tcBorders>
              <w:top w:val="single" w:color="000000" w:sz="4" w:space="0"/>
              <w:left w:val="nil"/>
              <w:bottom w:val="nil"/>
              <w:right w:val="nil"/>
            </w:tcBorders>
            <w:shd w:val="clear" w:color="auto" w:fill="FFFFFF"/>
            <w:vAlign w:val="center"/>
          </w:tcPr>
          <w:p w14:paraId="57710AD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65-70%</w:t>
            </w:r>
          </w:p>
        </w:tc>
        <w:tc>
          <w:tcPr>
            <w:tcW w:w="0" w:type="auto"/>
            <w:tcBorders>
              <w:top w:val="single" w:color="000000" w:sz="4" w:space="0"/>
              <w:left w:val="nil"/>
              <w:bottom w:val="nil"/>
              <w:right w:val="nil"/>
            </w:tcBorders>
            <w:shd w:val="clear" w:color="auto" w:fill="FFFFFF"/>
            <w:vAlign w:val="center"/>
          </w:tcPr>
          <w:p w14:paraId="763D4FD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45-55%</w:t>
            </w:r>
          </w:p>
        </w:tc>
        <w:tc>
          <w:tcPr>
            <w:tcW w:w="0" w:type="auto"/>
            <w:tcBorders>
              <w:top w:val="single" w:color="000000" w:sz="4" w:space="0"/>
              <w:left w:val="nil"/>
              <w:bottom w:val="nil"/>
              <w:right w:val="nil"/>
            </w:tcBorders>
            <w:shd w:val="clear" w:color="auto" w:fill="FFFFFF"/>
            <w:vAlign w:val="center"/>
          </w:tcPr>
          <w:p w14:paraId="402AD42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相差20-25个百分点</w:t>
            </w:r>
          </w:p>
        </w:tc>
      </w:tr>
      <w:tr w14:paraId="38B837D1">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7D42C46">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回款周期</w:t>
            </w:r>
          </w:p>
        </w:tc>
        <w:tc>
          <w:tcPr>
            <w:tcW w:w="0" w:type="auto"/>
            <w:tcBorders>
              <w:top w:val="nil"/>
              <w:left w:val="nil"/>
              <w:bottom w:val="nil"/>
              <w:right w:val="nil"/>
            </w:tcBorders>
            <w:shd w:val="clear" w:color="auto" w:fill="FFFFFF"/>
            <w:vAlign w:val="center"/>
          </w:tcPr>
          <w:p w14:paraId="1351F78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90天</w:t>
            </w:r>
          </w:p>
        </w:tc>
        <w:tc>
          <w:tcPr>
            <w:tcW w:w="0" w:type="auto"/>
            <w:tcBorders>
              <w:top w:val="nil"/>
              <w:left w:val="nil"/>
              <w:bottom w:val="nil"/>
              <w:right w:val="nil"/>
            </w:tcBorders>
            <w:shd w:val="clear" w:color="auto" w:fill="FFFFFF"/>
            <w:vAlign w:val="center"/>
          </w:tcPr>
          <w:p w14:paraId="486B7CC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270天</w:t>
            </w:r>
          </w:p>
        </w:tc>
        <w:tc>
          <w:tcPr>
            <w:tcW w:w="0" w:type="auto"/>
            <w:tcBorders>
              <w:top w:val="nil"/>
              <w:left w:val="nil"/>
              <w:bottom w:val="nil"/>
              <w:right w:val="nil"/>
            </w:tcBorders>
            <w:shd w:val="clear" w:color="auto" w:fill="FFFFFF"/>
            <w:vAlign w:val="center"/>
          </w:tcPr>
          <w:p w14:paraId="005A987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相差180天</w:t>
            </w:r>
          </w:p>
        </w:tc>
      </w:tr>
      <w:tr w14:paraId="2163B14A">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59C4012C">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人均产值</w:t>
            </w:r>
          </w:p>
        </w:tc>
        <w:tc>
          <w:tcPr>
            <w:tcW w:w="0" w:type="auto"/>
            <w:tcBorders>
              <w:top w:val="nil"/>
              <w:left w:val="nil"/>
              <w:bottom w:val="nil"/>
              <w:right w:val="nil"/>
            </w:tcBorders>
            <w:shd w:val="clear" w:color="auto" w:fill="FFFFFF"/>
            <w:vAlign w:val="center"/>
          </w:tcPr>
          <w:p w14:paraId="5970650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150万元/年</w:t>
            </w:r>
          </w:p>
        </w:tc>
        <w:tc>
          <w:tcPr>
            <w:tcW w:w="0" w:type="auto"/>
            <w:tcBorders>
              <w:top w:val="nil"/>
              <w:left w:val="nil"/>
              <w:bottom w:val="nil"/>
              <w:right w:val="nil"/>
            </w:tcBorders>
            <w:shd w:val="clear" w:color="auto" w:fill="FFFFFF"/>
            <w:vAlign w:val="center"/>
          </w:tcPr>
          <w:p w14:paraId="2DAAA04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60万元/年</w:t>
            </w:r>
          </w:p>
        </w:tc>
        <w:tc>
          <w:tcPr>
            <w:tcW w:w="0" w:type="auto"/>
            <w:tcBorders>
              <w:top w:val="nil"/>
              <w:left w:val="nil"/>
              <w:bottom w:val="nil"/>
              <w:right w:val="nil"/>
            </w:tcBorders>
            <w:shd w:val="clear" w:color="auto" w:fill="FFFFFF"/>
            <w:vAlign w:val="center"/>
          </w:tcPr>
          <w:p w14:paraId="1DCBC97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相差90万元/年</w:t>
            </w:r>
          </w:p>
        </w:tc>
      </w:tr>
      <w:tr w14:paraId="1872AB92">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EB77051">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客户满意度</w:t>
            </w:r>
          </w:p>
        </w:tc>
        <w:tc>
          <w:tcPr>
            <w:tcW w:w="0" w:type="auto"/>
            <w:tcBorders>
              <w:top w:val="nil"/>
              <w:left w:val="nil"/>
              <w:bottom w:val="nil"/>
              <w:right w:val="nil"/>
            </w:tcBorders>
            <w:shd w:val="clear" w:color="auto" w:fill="FFFFFF"/>
            <w:vAlign w:val="center"/>
          </w:tcPr>
          <w:p w14:paraId="3C49AA0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92%</w:t>
            </w:r>
          </w:p>
        </w:tc>
        <w:tc>
          <w:tcPr>
            <w:tcW w:w="0" w:type="auto"/>
            <w:tcBorders>
              <w:top w:val="nil"/>
              <w:left w:val="nil"/>
              <w:bottom w:val="nil"/>
              <w:right w:val="nil"/>
            </w:tcBorders>
            <w:shd w:val="clear" w:color="auto" w:fill="FFFFFF"/>
            <w:vAlign w:val="center"/>
          </w:tcPr>
          <w:p w14:paraId="28E447D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78%</w:t>
            </w:r>
          </w:p>
        </w:tc>
        <w:tc>
          <w:tcPr>
            <w:tcW w:w="0" w:type="auto"/>
            <w:tcBorders>
              <w:top w:val="nil"/>
              <w:left w:val="nil"/>
              <w:bottom w:val="nil"/>
              <w:right w:val="nil"/>
            </w:tcBorders>
            <w:shd w:val="clear" w:color="auto" w:fill="FFFFFF"/>
            <w:vAlign w:val="center"/>
          </w:tcPr>
          <w:p w14:paraId="362BC1C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相差14个百分点</w:t>
            </w:r>
          </w:p>
        </w:tc>
      </w:tr>
      <w:tr w14:paraId="20138006">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24788DB">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资源复用率</w:t>
            </w:r>
          </w:p>
        </w:tc>
        <w:tc>
          <w:tcPr>
            <w:tcW w:w="0" w:type="auto"/>
            <w:tcBorders>
              <w:top w:val="nil"/>
              <w:left w:val="nil"/>
              <w:bottom w:val="nil"/>
              <w:right w:val="nil"/>
            </w:tcBorders>
            <w:shd w:val="clear" w:color="auto" w:fill="FFFFFF"/>
            <w:vAlign w:val="center"/>
          </w:tcPr>
          <w:p w14:paraId="22D8C09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80%以上</w:t>
            </w:r>
          </w:p>
        </w:tc>
        <w:tc>
          <w:tcPr>
            <w:tcW w:w="0" w:type="auto"/>
            <w:tcBorders>
              <w:top w:val="nil"/>
              <w:left w:val="nil"/>
              <w:bottom w:val="nil"/>
              <w:right w:val="nil"/>
            </w:tcBorders>
            <w:shd w:val="clear" w:color="auto" w:fill="FFFFFF"/>
            <w:vAlign w:val="center"/>
          </w:tcPr>
          <w:p w14:paraId="58690B9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30%以下</w:t>
            </w:r>
          </w:p>
        </w:tc>
        <w:tc>
          <w:tcPr>
            <w:tcW w:w="0" w:type="auto"/>
            <w:tcBorders>
              <w:top w:val="nil"/>
              <w:left w:val="nil"/>
              <w:bottom w:val="nil"/>
              <w:right w:val="nil"/>
            </w:tcBorders>
            <w:shd w:val="clear" w:color="auto" w:fill="FFFFFF"/>
            <w:vAlign w:val="center"/>
          </w:tcPr>
          <w:p w14:paraId="52C0DA2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相差50个百分点</w:t>
            </w:r>
          </w:p>
        </w:tc>
      </w:tr>
      <w:tr w14:paraId="69864865">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6C408EC1">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交付周期</w:t>
            </w:r>
          </w:p>
        </w:tc>
        <w:tc>
          <w:tcPr>
            <w:tcW w:w="0" w:type="auto"/>
            <w:tcBorders>
              <w:top w:val="nil"/>
              <w:left w:val="nil"/>
              <w:bottom w:val="single" w:color="000000" w:sz="12" w:space="0"/>
              <w:right w:val="nil"/>
            </w:tcBorders>
            <w:shd w:val="clear" w:color="auto" w:fill="FFFFFF"/>
            <w:vAlign w:val="center"/>
          </w:tcPr>
          <w:p w14:paraId="4F946D8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7-14天</w:t>
            </w:r>
          </w:p>
        </w:tc>
        <w:tc>
          <w:tcPr>
            <w:tcW w:w="0" w:type="auto"/>
            <w:tcBorders>
              <w:top w:val="nil"/>
              <w:left w:val="nil"/>
              <w:bottom w:val="single" w:color="000000" w:sz="12" w:space="0"/>
              <w:right w:val="nil"/>
            </w:tcBorders>
            <w:shd w:val="clear" w:color="auto" w:fill="FFFFFF"/>
            <w:vAlign w:val="center"/>
          </w:tcPr>
          <w:p w14:paraId="6676517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3-12个月</w:t>
            </w:r>
          </w:p>
        </w:tc>
        <w:tc>
          <w:tcPr>
            <w:tcW w:w="0" w:type="auto"/>
            <w:tcBorders>
              <w:top w:val="nil"/>
              <w:left w:val="nil"/>
              <w:bottom w:val="single" w:color="000000" w:sz="12" w:space="0"/>
              <w:right w:val="nil"/>
            </w:tcBorders>
            <w:shd w:val="clear" w:color="auto" w:fill="FFFFFF"/>
            <w:vAlign w:val="center"/>
          </w:tcPr>
          <w:p w14:paraId="11F8023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相差10倍以上</w:t>
            </w:r>
          </w:p>
        </w:tc>
      </w:tr>
    </w:tbl>
    <w:p w14:paraId="72A6887F">
      <w:pPr>
        <w:pStyle w:val="4"/>
      </w:pPr>
      <w:r>
        <w:rPr>
          <w:b/>
          <w:bCs/>
        </w:rPr>
        <w:t>具体挑战分析</w:t>
      </w:r>
      <w:r>
        <w:t>：</w:t>
      </w:r>
    </w:p>
    <w:p w14:paraId="66E7492B">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交付周期长：视频跟踪仪从方案设计到最终验收通常需要6-12个月，占用大量技术和管理资源，影响了其他产品线的研发和市场拓展。</w:t>
      </w:r>
    </w:p>
    <w:p w14:paraId="1B2524C0">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回款速度慢：政府类项目回款周期普遍在9-12个月，2024年公司应收账款周转天数达到270天，远高于行业健康水平90天，造成严重的现金流压力。</w:t>
      </w:r>
    </w:p>
    <w:p w14:paraId="55100E03">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产品力投入竞争力不足：</w:t>
      </w:r>
    </w:p>
    <w:p w14:paraId="524E3D97">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资源分散：大量研发资源投入项目定制开发，难以集中力量进行标准化产品创新</w:t>
      </w:r>
    </w:p>
    <w:p w14:paraId="446F32E4">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技术沉淀难：项目经验难以系统化积累和转化为可复用的产品模块</w:t>
      </w:r>
    </w:p>
    <w:p w14:paraId="3CC642D6">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人才压力：需要大量具备方案设计、工程实施、项目管理能力的复合型人才，这类人才市场稀缺</w:t>
      </w:r>
    </w:p>
    <w:p w14:paraId="40AEBE27">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资源分配矛盾：项目制业务占用公司40%以上的优质资源（高端研发人才、管理精力、资金），但仅贡献30%的营收和20%的利润，资源使用效率低下。</w:t>
      </w:r>
    </w:p>
    <w:p w14:paraId="6287C307">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竞争环境变化：国际巨头加大中国市场投入，国内新进入者增多，价格竞争加剧。在视频跟踪仪市场，HSM需要与国际巨头直接竞争，技术优势难以转化为价格优势。</w:t>
      </w:r>
    </w:p>
    <w:p w14:paraId="7CC5ED79">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组织能力瓶颈：创业团队向规模化企业转型过程中，管理体系、流程制度、人才培养等方面面临挑战。特别是项目管理能力、供应链管理能力、资本运作能力需要快速提升。</w:t>
      </w:r>
    </w:p>
    <w:p w14:paraId="2DC2E8D5">
      <w:pPr>
        <w:pStyle w:val="36"/>
        <w:numPr>
          <w:ilvl w:val="0"/>
          <w:numId w:val="1"/>
        </w:numPr>
        <w:spacing w:before="0" w:after="0" w:line="400" w:lineRule="exact"/>
        <w:ind w:firstLine="480" w:firstLineChars="200"/>
        <w:jc w:val="both"/>
        <w:rPr>
          <w:rFonts w:ascii="Times New Roman" w:hAnsi="Times New Roman"/>
        </w:rPr>
      </w:pPr>
      <w:r>
        <w:rPr>
          <w:rFonts w:ascii="Times New Roman" w:hAnsi="Times New Roman"/>
        </w:rPr>
        <w:t>转型必要性：基于以上机遇和挑战分析，HSM必须加速战略转型，核心是将视频跟踪仪从项目制向产品化转型，优化资源配置，提升整体运营效率。这不仅是应对当前挑战的需要，更是把握市场机遇、实现可持续发展的必然选择。</w:t>
      </w:r>
    </w:p>
    <w:p w14:paraId="7E2483BA">
      <w:pPr>
        <w:pStyle w:val="36"/>
        <w:spacing w:before="0" w:after="0" w:line="400" w:lineRule="exact"/>
        <w:ind w:firstLine="480" w:firstLineChars="200"/>
        <w:rPr>
          <w:rFonts w:ascii="Times New Roman" w:hAnsi="Times New Roman"/>
        </w:rPr>
        <w:sectPr>
          <w:headerReference r:id="rId23" w:type="default"/>
          <w:headerReference r:id="rId24" w:type="even"/>
          <w:type w:val="oddPage"/>
          <w:pgSz w:w="11905" w:h="16838"/>
          <w:pgMar w:top="1701" w:right="1474" w:bottom="1417" w:left="1474" w:header="1134" w:footer="992" w:gutter="0"/>
          <w:cols w:space="0" w:num="1"/>
          <w:docGrid w:type="linesAndChars" w:linePitch="327" w:charSpace="0"/>
        </w:sectPr>
      </w:pPr>
      <w:r>
        <w:rPr>
          <w:rFonts w:ascii="Times New Roman" w:hAnsi="Times New Roman"/>
        </w:rPr>
        <w:t>本章小结：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p>
    <w:bookmarkEnd w:id="108"/>
    <w:bookmarkEnd w:id="148"/>
    <w:bookmarkEnd w:id="154"/>
    <w:bookmarkEnd w:id="155"/>
    <w:p w14:paraId="5C7C3450">
      <w:pPr>
        <w:pStyle w:val="2"/>
      </w:pPr>
      <w:bookmarkStart w:id="156" w:name="_Toc222913166"/>
      <w:bookmarkStart w:id="157" w:name="_Toc222822796"/>
      <w:bookmarkStart w:id="158" w:name="第五章-hsm战略转型的实施路径"/>
      <w:r>
        <w:t>第五章 HSM战略转型的实施路径</w:t>
      </w:r>
      <w:bookmarkEnd w:id="156"/>
      <w:bookmarkEnd w:id="157"/>
    </w:p>
    <w:p w14:paraId="4678595A">
      <w:pPr>
        <w:pStyle w:val="36"/>
        <w:spacing w:before="0" w:after="0" w:line="400" w:lineRule="exact"/>
        <w:ind w:firstLine="480" w:firstLineChars="200"/>
        <w:jc w:val="both"/>
        <w:rPr>
          <w:rFonts w:ascii="Times New Roman" w:hAnsi="Times New Roman"/>
        </w:rPr>
      </w:pPr>
      <w:r>
        <w:rPr>
          <w:rFonts w:ascii="Times New Roman" w:hAnsi="Times New Roman"/>
        </w:rPr>
        <w:t>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p w14:paraId="54F6BD97">
      <w:pPr>
        <w:pStyle w:val="3"/>
      </w:pPr>
      <w:bookmarkStart w:id="159" w:name="_Toc222822797"/>
      <w:bookmarkStart w:id="160" w:name="_Toc222913167"/>
      <w:bookmarkStart w:id="161" w:name="技术战略产品线差异化研发与创新"/>
      <w:r>
        <w:t>5.1产品线差异化研发与创新</w:t>
      </w:r>
      <w:bookmarkEnd w:id="159"/>
      <w:bookmarkEnd w:id="160"/>
    </w:p>
    <w:p w14:paraId="0B3E058D">
      <w:pPr>
        <w:pStyle w:val="36"/>
        <w:spacing w:before="0" w:after="0" w:line="400" w:lineRule="exact"/>
        <w:ind w:firstLine="480" w:firstLineChars="200"/>
        <w:jc w:val="both"/>
        <w:rPr>
          <w:rFonts w:ascii="Times New Roman" w:hAnsi="Times New Roman"/>
        </w:rPr>
      </w:pPr>
      <w:r>
        <w:rPr>
          <w:rFonts w:ascii="Times New Roman" w:hAnsi="Times New Roman"/>
        </w:rPr>
        <w:t>HSM的技术战略聚焦于三条产品线的差异化研发需求，通过资源优化配置实现技术创新的最大化价值转化。</w:t>
      </w:r>
    </w:p>
    <w:p w14:paraId="4EA8A8B6">
      <w:pPr>
        <w:pStyle w:val="5"/>
      </w:pPr>
      <w:bookmarkStart w:id="162" w:name="_Toc222913168"/>
      <w:bookmarkStart w:id="163" w:name="_Toc222822798"/>
      <w:bookmarkStart w:id="164" w:name="视频引伸计与视频应变仪标准化生产与技术迭代"/>
      <w:r>
        <w:t>5.1.1</w:t>
      </w:r>
      <w:r>
        <w:rPr>
          <w:rFonts w:hint="eastAsia"/>
          <w:lang w:eastAsia="zh-CN"/>
        </w:rPr>
        <w:t>产品</w:t>
      </w:r>
      <w:r>
        <w:t>标准化生产与技术迭代</w:t>
      </w:r>
      <w:bookmarkEnd w:id="162"/>
      <w:bookmarkEnd w:id="163"/>
    </w:p>
    <w:p w14:paraId="1B358BB6">
      <w:pPr>
        <w:pStyle w:val="36"/>
        <w:spacing w:before="0" w:after="0" w:line="400" w:lineRule="exact"/>
        <w:ind w:firstLine="480" w:firstLineChars="200"/>
        <w:jc w:val="both"/>
        <w:rPr>
          <w:rFonts w:ascii="Times New Roman" w:hAnsi="Times New Roman"/>
          <w:lang w:eastAsia="zh-CN"/>
        </w:rPr>
      </w:pPr>
      <w:r>
        <w:rPr>
          <w:rFonts w:ascii="Times New Roman" w:hAnsi="Times New Roman"/>
        </w:rPr>
        <w:t>视频引伸计和视频应变仪作为HSM的成熟产品线，已实现高度标准化生产。技术战略的重点从原始创新转向持续优化：</w:t>
      </w:r>
    </w:p>
    <w:p w14:paraId="06FF345C">
      <w:pPr>
        <w:pStyle w:val="36"/>
        <w:spacing w:before="0" w:after="0" w:line="400" w:lineRule="exact"/>
        <w:ind w:firstLine="480" w:firstLineChars="200"/>
        <w:jc w:val="both"/>
        <w:rPr>
          <w:rFonts w:ascii="Times New Roman" w:hAnsi="Times New Roman"/>
          <w:lang w:eastAsia="zh-CN"/>
        </w:rPr>
      </w:pPr>
      <w:r>
        <w:rPr>
          <w:rFonts w:ascii="Times New Roman" w:hAnsi="Times New Roman"/>
        </w:rPr>
        <w:t>算法精度提升：基于海量实验数据持续优化DIC算法，目标将测量精度从当前的0.01%提升至0.005%</w:t>
      </w:r>
    </w:p>
    <w:p w14:paraId="02354A84">
      <w:pPr>
        <w:pStyle w:val="36"/>
        <w:spacing w:before="0" w:after="0" w:line="400" w:lineRule="exact"/>
        <w:ind w:firstLine="480" w:firstLineChars="200"/>
        <w:jc w:val="both"/>
        <w:rPr>
          <w:rFonts w:ascii="Times New Roman" w:hAnsi="Times New Roman"/>
          <w:lang w:eastAsia="zh-CN"/>
        </w:rPr>
      </w:pPr>
      <w:r>
        <w:rPr>
          <w:rFonts w:ascii="Times New Roman" w:hAnsi="Times New Roman"/>
        </w:rPr>
        <w:t>硬件标准化设计：推动第四代硬件平台标准化，将核心组件从120个减少至80个，降低供应链复杂度</w:t>
      </w:r>
    </w:p>
    <w:p w14:paraId="391E87C5">
      <w:pPr>
        <w:pStyle w:val="36"/>
        <w:spacing w:before="0" w:after="0" w:line="400" w:lineRule="exact"/>
        <w:ind w:firstLine="480" w:firstLineChars="200"/>
        <w:jc w:val="both"/>
        <w:rPr>
          <w:rFonts w:ascii="Times New Roman" w:hAnsi="Times New Roman"/>
        </w:rPr>
      </w:pPr>
      <w:r>
        <w:rPr>
          <w:rFonts w:ascii="Times New Roman" w:hAnsi="Times New Roman"/>
        </w:rPr>
        <w:t>智能化升级：集成AI辅助分析功能，实现异常数据自动识别与预警</w:t>
      </w:r>
    </w:p>
    <w:p w14:paraId="7BDF9CEB">
      <w:pPr>
        <w:pStyle w:val="4"/>
        <w:spacing w:before="240" w:after="120"/>
        <w:jc w:val="center"/>
        <w:rPr>
          <w:rFonts w:ascii="Times New Roman" w:hAnsi="Times New Roman"/>
          <w:sz w:val="22"/>
        </w:rPr>
      </w:pPr>
      <w:bookmarkStart w:id="165" w:name="表5-1视频引伸计与视频应变仪技术迭代路线图"/>
      <w:r>
        <w:rPr>
          <w:rFonts w:ascii="Times New Roman" w:hAnsi="Times New Roman"/>
          <w:sz w:val="22"/>
        </w:rPr>
        <w:t>表5</w:t>
      </w:r>
      <w:r>
        <w:rPr>
          <w:rFonts w:hint="eastAsia" w:ascii="Times New Roman" w:hAnsi="Times New Roman"/>
          <w:sz w:val="22"/>
          <w:lang w:eastAsia="zh-CN"/>
        </w:rPr>
        <w:t>.</w:t>
      </w:r>
      <w:r>
        <w:rPr>
          <w:rFonts w:ascii="Times New Roman" w:hAnsi="Times New Roman"/>
          <w:sz w:val="22"/>
        </w:rPr>
        <w:t>1：视频引伸计与视频应变仪技术迭代路线图</w:t>
      </w:r>
    </w:p>
    <w:tbl>
      <w:tblPr>
        <w:tblStyle w:val="41"/>
        <w:tblW w:w="5000" w:type="pct"/>
        <w:tblInd w:w="0" w:type="dxa"/>
        <w:tblLayout w:type="autofit"/>
        <w:tblCellMar>
          <w:top w:w="0" w:type="dxa"/>
          <w:left w:w="108" w:type="dxa"/>
          <w:bottom w:w="0" w:type="dxa"/>
          <w:right w:w="108" w:type="dxa"/>
        </w:tblCellMar>
      </w:tblPr>
      <w:tblGrid>
        <w:gridCol w:w="1501"/>
        <w:gridCol w:w="1482"/>
        <w:gridCol w:w="1566"/>
        <w:gridCol w:w="1552"/>
        <w:gridCol w:w="3072"/>
      </w:tblGrid>
      <w:tr w14:paraId="6B636EAA">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0377EE0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技术方向</w:t>
            </w:r>
          </w:p>
        </w:tc>
        <w:tc>
          <w:tcPr>
            <w:tcW w:w="0" w:type="auto"/>
            <w:tcBorders>
              <w:top w:val="single" w:color="000000" w:sz="12" w:space="0"/>
              <w:left w:val="nil"/>
              <w:bottom w:val="single" w:color="000000" w:sz="4" w:space="0"/>
              <w:right w:val="nil"/>
            </w:tcBorders>
            <w:shd w:val="clear" w:color="auto" w:fill="FFFFFF"/>
            <w:vAlign w:val="center"/>
          </w:tcPr>
          <w:p w14:paraId="362B014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当前状态</w:t>
            </w:r>
          </w:p>
        </w:tc>
        <w:tc>
          <w:tcPr>
            <w:tcW w:w="0" w:type="auto"/>
            <w:tcBorders>
              <w:top w:val="single" w:color="000000" w:sz="12" w:space="0"/>
              <w:left w:val="nil"/>
              <w:bottom w:val="single" w:color="000000" w:sz="4" w:space="0"/>
              <w:right w:val="nil"/>
            </w:tcBorders>
            <w:shd w:val="clear" w:color="auto" w:fill="FFFFFF"/>
            <w:vAlign w:val="center"/>
          </w:tcPr>
          <w:p w14:paraId="3BD4877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2026年目标</w:t>
            </w:r>
          </w:p>
        </w:tc>
        <w:tc>
          <w:tcPr>
            <w:tcW w:w="0" w:type="auto"/>
            <w:tcBorders>
              <w:top w:val="single" w:color="000000" w:sz="12" w:space="0"/>
              <w:left w:val="nil"/>
              <w:bottom w:val="single" w:color="000000" w:sz="4" w:space="0"/>
              <w:right w:val="nil"/>
            </w:tcBorders>
            <w:shd w:val="clear" w:color="auto" w:fill="FFFFFF"/>
            <w:vAlign w:val="center"/>
          </w:tcPr>
          <w:p w14:paraId="7F3826A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2027年目标</w:t>
            </w:r>
          </w:p>
        </w:tc>
        <w:tc>
          <w:tcPr>
            <w:tcW w:w="0" w:type="auto"/>
            <w:tcBorders>
              <w:top w:val="single" w:color="000000" w:sz="12" w:space="0"/>
              <w:left w:val="nil"/>
              <w:bottom w:val="single" w:color="000000" w:sz="4" w:space="0"/>
              <w:right w:val="nil"/>
            </w:tcBorders>
            <w:shd w:val="clear" w:color="auto" w:fill="FFFFFF"/>
            <w:vAlign w:val="center"/>
          </w:tcPr>
          <w:p w14:paraId="000400B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关键举措</w:t>
            </w:r>
          </w:p>
        </w:tc>
      </w:tr>
      <w:tr w14:paraId="6A3419BB">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2B1FE890">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测量精度</w:t>
            </w:r>
          </w:p>
        </w:tc>
        <w:tc>
          <w:tcPr>
            <w:tcW w:w="0" w:type="auto"/>
            <w:tcBorders>
              <w:top w:val="single" w:color="000000" w:sz="4" w:space="0"/>
              <w:left w:val="nil"/>
              <w:bottom w:val="nil"/>
              <w:right w:val="nil"/>
            </w:tcBorders>
            <w:shd w:val="clear" w:color="auto" w:fill="FFFFFF"/>
            <w:vAlign w:val="center"/>
          </w:tcPr>
          <w:p w14:paraId="48D8D3F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0.01%应变</w:t>
            </w:r>
          </w:p>
        </w:tc>
        <w:tc>
          <w:tcPr>
            <w:tcW w:w="0" w:type="auto"/>
            <w:tcBorders>
              <w:top w:val="single" w:color="000000" w:sz="4" w:space="0"/>
              <w:left w:val="nil"/>
              <w:bottom w:val="nil"/>
              <w:right w:val="nil"/>
            </w:tcBorders>
            <w:shd w:val="clear" w:color="auto" w:fill="FFFFFF"/>
            <w:vAlign w:val="center"/>
          </w:tcPr>
          <w:p w14:paraId="48590E0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0.008%应变</w:t>
            </w:r>
          </w:p>
        </w:tc>
        <w:tc>
          <w:tcPr>
            <w:tcW w:w="0" w:type="auto"/>
            <w:tcBorders>
              <w:top w:val="single" w:color="000000" w:sz="4" w:space="0"/>
              <w:left w:val="nil"/>
              <w:bottom w:val="nil"/>
              <w:right w:val="nil"/>
            </w:tcBorders>
            <w:shd w:val="clear" w:color="auto" w:fill="FFFFFF"/>
            <w:vAlign w:val="center"/>
          </w:tcPr>
          <w:p w14:paraId="1308897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0.005%应变</w:t>
            </w:r>
          </w:p>
        </w:tc>
        <w:tc>
          <w:tcPr>
            <w:tcW w:w="0" w:type="auto"/>
            <w:tcBorders>
              <w:top w:val="single" w:color="000000" w:sz="4" w:space="0"/>
              <w:left w:val="nil"/>
              <w:bottom w:val="nil"/>
              <w:right w:val="nil"/>
            </w:tcBorders>
            <w:shd w:val="clear" w:color="auto" w:fill="FFFFFF"/>
            <w:vAlign w:val="center"/>
          </w:tcPr>
          <w:p w14:paraId="68D21B0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算法优化、标定技术改进</w:t>
            </w:r>
          </w:p>
        </w:tc>
      </w:tr>
      <w:tr w14:paraId="0D4E1CB1">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725B8864">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处理速度</w:t>
            </w:r>
          </w:p>
        </w:tc>
        <w:tc>
          <w:tcPr>
            <w:tcW w:w="0" w:type="auto"/>
            <w:tcBorders>
              <w:top w:val="nil"/>
              <w:left w:val="nil"/>
              <w:bottom w:val="nil"/>
              <w:right w:val="nil"/>
            </w:tcBorders>
            <w:shd w:val="clear" w:color="auto" w:fill="FFFFFF"/>
            <w:vAlign w:val="center"/>
          </w:tcPr>
          <w:p w14:paraId="0FC1DED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30帧/秒</w:t>
            </w:r>
          </w:p>
        </w:tc>
        <w:tc>
          <w:tcPr>
            <w:tcW w:w="0" w:type="auto"/>
            <w:tcBorders>
              <w:top w:val="nil"/>
              <w:left w:val="nil"/>
              <w:bottom w:val="nil"/>
              <w:right w:val="nil"/>
            </w:tcBorders>
            <w:shd w:val="clear" w:color="auto" w:fill="FFFFFF"/>
            <w:vAlign w:val="center"/>
          </w:tcPr>
          <w:p w14:paraId="51F700E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50帧/秒</w:t>
            </w:r>
          </w:p>
        </w:tc>
        <w:tc>
          <w:tcPr>
            <w:tcW w:w="0" w:type="auto"/>
            <w:tcBorders>
              <w:top w:val="nil"/>
              <w:left w:val="nil"/>
              <w:bottom w:val="nil"/>
              <w:right w:val="nil"/>
            </w:tcBorders>
            <w:shd w:val="clear" w:color="auto" w:fill="FFFFFF"/>
            <w:vAlign w:val="center"/>
          </w:tcPr>
          <w:p w14:paraId="69357F4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100帧/秒</w:t>
            </w:r>
          </w:p>
        </w:tc>
        <w:tc>
          <w:tcPr>
            <w:tcW w:w="0" w:type="auto"/>
            <w:tcBorders>
              <w:top w:val="nil"/>
              <w:left w:val="nil"/>
              <w:bottom w:val="nil"/>
              <w:right w:val="nil"/>
            </w:tcBorders>
            <w:shd w:val="clear" w:color="auto" w:fill="FFFFFF"/>
            <w:vAlign w:val="center"/>
          </w:tcPr>
          <w:p w14:paraId="2D6774E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GPU加速算法、硬件升级</w:t>
            </w:r>
          </w:p>
        </w:tc>
      </w:tr>
      <w:tr w14:paraId="4DD01A8F">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833BEBD">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环境适应性</w:t>
            </w:r>
          </w:p>
        </w:tc>
        <w:tc>
          <w:tcPr>
            <w:tcW w:w="0" w:type="auto"/>
            <w:tcBorders>
              <w:top w:val="nil"/>
              <w:left w:val="nil"/>
              <w:bottom w:val="nil"/>
              <w:right w:val="nil"/>
            </w:tcBorders>
            <w:shd w:val="clear" w:color="auto" w:fill="FFFFFF"/>
            <w:vAlign w:val="center"/>
          </w:tcPr>
          <w:p w14:paraId="3B6AABC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-10℃~50℃</w:t>
            </w:r>
          </w:p>
        </w:tc>
        <w:tc>
          <w:tcPr>
            <w:tcW w:w="0" w:type="auto"/>
            <w:tcBorders>
              <w:top w:val="nil"/>
              <w:left w:val="nil"/>
              <w:bottom w:val="nil"/>
              <w:right w:val="nil"/>
            </w:tcBorders>
            <w:shd w:val="clear" w:color="auto" w:fill="FFFFFF"/>
            <w:vAlign w:val="center"/>
          </w:tcPr>
          <w:p w14:paraId="5D29872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-20℃~60℃</w:t>
            </w:r>
          </w:p>
        </w:tc>
        <w:tc>
          <w:tcPr>
            <w:tcW w:w="0" w:type="auto"/>
            <w:tcBorders>
              <w:top w:val="nil"/>
              <w:left w:val="nil"/>
              <w:bottom w:val="nil"/>
              <w:right w:val="nil"/>
            </w:tcBorders>
            <w:shd w:val="clear" w:color="auto" w:fill="FFFFFF"/>
            <w:vAlign w:val="center"/>
          </w:tcPr>
          <w:p w14:paraId="6A22BDD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-30℃~70℃</w:t>
            </w:r>
          </w:p>
        </w:tc>
        <w:tc>
          <w:tcPr>
            <w:tcW w:w="0" w:type="auto"/>
            <w:tcBorders>
              <w:top w:val="nil"/>
              <w:left w:val="nil"/>
              <w:bottom w:val="nil"/>
              <w:right w:val="nil"/>
            </w:tcBorders>
            <w:shd w:val="clear" w:color="auto" w:fill="FFFFFF"/>
            <w:vAlign w:val="center"/>
          </w:tcPr>
          <w:p w14:paraId="1A66054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工业级元器件、防护设计</w:t>
            </w:r>
          </w:p>
        </w:tc>
      </w:tr>
      <w:tr w14:paraId="504D94BC">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76BC180">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智能化程度</w:t>
            </w:r>
          </w:p>
        </w:tc>
        <w:tc>
          <w:tcPr>
            <w:tcW w:w="0" w:type="auto"/>
            <w:tcBorders>
              <w:top w:val="nil"/>
              <w:left w:val="nil"/>
              <w:bottom w:val="nil"/>
              <w:right w:val="nil"/>
            </w:tcBorders>
            <w:shd w:val="clear" w:color="auto" w:fill="FFFFFF"/>
            <w:vAlign w:val="center"/>
          </w:tcPr>
          <w:p w14:paraId="3A4F80E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基础分析</w:t>
            </w:r>
          </w:p>
        </w:tc>
        <w:tc>
          <w:tcPr>
            <w:tcW w:w="0" w:type="auto"/>
            <w:tcBorders>
              <w:top w:val="nil"/>
              <w:left w:val="nil"/>
              <w:bottom w:val="nil"/>
              <w:right w:val="nil"/>
            </w:tcBorders>
            <w:shd w:val="clear" w:color="auto" w:fill="FFFFFF"/>
            <w:vAlign w:val="center"/>
          </w:tcPr>
          <w:p w14:paraId="65A18C7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AI辅助分析</w:t>
            </w:r>
          </w:p>
        </w:tc>
        <w:tc>
          <w:tcPr>
            <w:tcW w:w="0" w:type="auto"/>
            <w:tcBorders>
              <w:top w:val="nil"/>
              <w:left w:val="nil"/>
              <w:bottom w:val="nil"/>
              <w:right w:val="nil"/>
            </w:tcBorders>
            <w:shd w:val="clear" w:color="auto" w:fill="FFFFFF"/>
            <w:vAlign w:val="center"/>
          </w:tcPr>
          <w:p w14:paraId="0675885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全自动分析</w:t>
            </w:r>
          </w:p>
        </w:tc>
        <w:tc>
          <w:tcPr>
            <w:tcW w:w="0" w:type="auto"/>
            <w:tcBorders>
              <w:top w:val="nil"/>
              <w:left w:val="nil"/>
              <w:bottom w:val="nil"/>
              <w:right w:val="nil"/>
            </w:tcBorders>
            <w:shd w:val="clear" w:color="auto" w:fill="FFFFFF"/>
            <w:vAlign w:val="center"/>
          </w:tcPr>
          <w:p w14:paraId="0B11628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AI算法集成、大数据训练</w:t>
            </w:r>
          </w:p>
        </w:tc>
      </w:tr>
      <w:tr w14:paraId="30A8F648">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629A52C8">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标准化程度</w:t>
            </w:r>
          </w:p>
        </w:tc>
        <w:tc>
          <w:tcPr>
            <w:tcW w:w="0" w:type="auto"/>
            <w:tcBorders>
              <w:top w:val="nil"/>
              <w:left w:val="nil"/>
              <w:bottom w:val="single" w:color="000000" w:sz="12" w:space="0"/>
              <w:right w:val="nil"/>
            </w:tcBorders>
            <w:shd w:val="clear" w:color="auto" w:fill="FFFFFF"/>
            <w:vAlign w:val="center"/>
          </w:tcPr>
          <w:p w14:paraId="355B36C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85%</w:t>
            </w:r>
          </w:p>
        </w:tc>
        <w:tc>
          <w:tcPr>
            <w:tcW w:w="0" w:type="auto"/>
            <w:tcBorders>
              <w:top w:val="nil"/>
              <w:left w:val="nil"/>
              <w:bottom w:val="single" w:color="000000" w:sz="12" w:space="0"/>
              <w:right w:val="nil"/>
            </w:tcBorders>
            <w:shd w:val="clear" w:color="auto" w:fill="FFFFFF"/>
            <w:vAlign w:val="center"/>
          </w:tcPr>
          <w:p w14:paraId="30C1161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90%</w:t>
            </w:r>
          </w:p>
        </w:tc>
        <w:tc>
          <w:tcPr>
            <w:tcW w:w="0" w:type="auto"/>
            <w:tcBorders>
              <w:top w:val="nil"/>
              <w:left w:val="nil"/>
              <w:bottom w:val="single" w:color="000000" w:sz="12" w:space="0"/>
              <w:right w:val="nil"/>
            </w:tcBorders>
            <w:shd w:val="clear" w:color="auto" w:fill="FFFFFF"/>
            <w:vAlign w:val="center"/>
          </w:tcPr>
          <w:p w14:paraId="019ACB4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95%</w:t>
            </w:r>
          </w:p>
        </w:tc>
        <w:tc>
          <w:tcPr>
            <w:tcW w:w="0" w:type="auto"/>
            <w:tcBorders>
              <w:top w:val="nil"/>
              <w:left w:val="nil"/>
              <w:bottom w:val="single" w:color="000000" w:sz="12" w:space="0"/>
              <w:right w:val="nil"/>
            </w:tcBorders>
            <w:shd w:val="clear" w:color="auto" w:fill="FFFFFF"/>
            <w:vAlign w:val="center"/>
          </w:tcPr>
          <w:p w14:paraId="52502E5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模块化设计、接口统一</w:t>
            </w:r>
          </w:p>
        </w:tc>
      </w:tr>
      <w:bookmarkEnd w:id="164"/>
      <w:bookmarkEnd w:id="165"/>
    </w:tbl>
    <w:p w14:paraId="07B12808">
      <w:pPr>
        <w:pStyle w:val="5"/>
      </w:pPr>
      <w:bookmarkStart w:id="166" w:name="_Toc222822799"/>
      <w:bookmarkStart w:id="167" w:name="_Toc222913169"/>
      <w:bookmarkStart w:id="168" w:name="视频跟踪仪垂直领域技术聚焦与新产品研发"/>
      <w:r>
        <w:t>5.1.2垂直领域技术聚焦与新产品研发</w:t>
      </w:r>
      <w:bookmarkEnd w:id="166"/>
      <w:bookmarkEnd w:id="167"/>
    </w:p>
    <w:p w14:paraId="077ED19A">
      <w:pPr>
        <w:pStyle w:val="36"/>
        <w:spacing w:before="0" w:after="0" w:line="400" w:lineRule="exact"/>
        <w:ind w:firstLine="480" w:firstLineChars="200"/>
        <w:jc w:val="both"/>
        <w:rPr>
          <w:rFonts w:ascii="Times New Roman" w:hAnsi="Times New Roman"/>
          <w:lang w:eastAsia="zh-CN"/>
        </w:rPr>
      </w:pPr>
      <w:r>
        <w:rPr>
          <w:rFonts w:ascii="Times New Roman" w:hAnsi="Times New Roman"/>
        </w:rPr>
        <w:t>视频跟踪仪的技术战略从广泛定制转向垂直领域深度聚焦：</w:t>
      </w:r>
    </w:p>
    <w:p w14:paraId="780A5AEA">
      <w:pPr>
        <w:pStyle w:val="36"/>
        <w:spacing w:before="0" w:after="0" w:line="400" w:lineRule="exact"/>
        <w:ind w:firstLine="480" w:firstLineChars="200"/>
        <w:jc w:val="both"/>
        <w:rPr>
          <w:rFonts w:ascii="Times New Roman" w:hAnsi="Times New Roman"/>
          <w:lang w:eastAsia="zh-CN"/>
        </w:rPr>
      </w:pPr>
      <w:r>
        <w:rPr>
          <w:rFonts w:ascii="Times New Roman" w:hAnsi="Times New Roman"/>
        </w:rPr>
        <w:t>桥梁监测专项技术：开发大跨径桥梁动态变形监测算法，适应风荷载、温度变化等复杂环境</w:t>
      </w:r>
    </w:p>
    <w:p w14:paraId="3EBF0F05">
      <w:pPr>
        <w:pStyle w:val="36"/>
        <w:spacing w:before="0" w:after="0" w:line="400" w:lineRule="exact"/>
        <w:ind w:firstLine="480" w:firstLineChars="200"/>
        <w:jc w:val="both"/>
        <w:rPr>
          <w:rFonts w:ascii="Times New Roman" w:hAnsi="Times New Roman"/>
          <w:lang w:eastAsia="zh-CN"/>
        </w:rPr>
      </w:pPr>
      <w:r>
        <w:rPr>
          <w:rFonts w:ascii="Times New Roman" w:hAnsi="Times New Roman"/>
        </w:rPr>
        <w:t>隧道收敛监测技术：针对隧道施工与运营期收敛变形监测需求，开发多相机同步测量系统</w:t>
      </w:r>
    </w:p>
    <w:p w14:paraId="4954BE82">
      <w:pPr>
        <w:pStyle w:val="36"/>
        <w:spacing w:before="0" w:after="0" w:line="400" w:lineRule="exact"/>
        <w:ind w:firstLine="480" w:firstLineChars="200"/>
        <w:jc w:val="both"/>
        <w:rPr>
          <w:rFonts w:ascii="Times New Roman" w:hAnsi="Times New Roman"/>
          <w:lang w:eastAsia="zh-CN"/>
        </w:rPr>
      </w:pPr>
      <w:r>
        <w:rPr>
          <w:rFonts w:ascii="Times New Roman" w:hAnsi="Times New Roman"/>
        </w:rPr>
        <w:t>边坡稳定性监测：结合地质雷达数据，开发边坡表面位移与内部变形关联分析模型</w:t>
      </w:r>
    </w:p>
    <w:p w14:paraId="134C0840">
      <w:pPr>
        <w:pStyle w:val="36"/>
        <w:spacing w:before="0" w:after="0" w:line="400" w:lineRule="exact"/>
        <w:ind w:firstLine="480" w:firstLineChars="200"/>
        <w:jc w:val="both"/>
        <w:rPr>
          <w:rFonts w:ascii="Times New Roman" w:hAnsi="Times New Roman"/>
        </w:rPr>
      </w:pPr>
      <w:r>
        <w:rPr>
          <w:rFonts w:ascii="Times New Roman" w:hAnsi="Times New Roman"/>
        </w:rPr>
        <w:t>新产品研发：启动柔性跟踪仪和并联跟踪仪的研发，前者适用于柔性结构监测，后者实现多点同步测量</w:t>
      </w:r>
    </w:p>
    <w:bookmarkEnd w:id="168"/>
    <w:p w14:paraId="4A9986CA">
      <w:pPr>
        <w:pStyle w:val="5"/>
      </w:pPr>
      <w:bookmarkStart w:id="169" w:name="_Toc222822800"/>
      <w:bookmarkStart w:id="170" w:name="_Toc222913170"/>
      <w:bookmarkStart w:id="171" w:name="柔性跟踪仪与并联跟踪仪下一代产品布局"/>
      <w:r>
        <w:t>5.1.3下一代产品布局</w:t>
      </w:r>
      <w:bookmarkEnd w:id="169"/>
      <w:bookmarkEnd w:id="170"/>
    </w:p>
    <w:p w14:paraId="05A4720C">
      <w:pPr>
        <w:pStyle w:val="36"/>
        <w:spacing w:before="0" w:after="0" w:line="400" w:lineRule="exact"/>
        <w:ind w:firstLine="480" w:firstLineChars="200"/>
        <w:jc w:val="both"/>
        <w:rPr>
          <w:rFonts w:ascii="Times New Roman" w:hAnsi="Times New Roman"/>
          <w:lang w:eastAsia="zh-CN"/>
        </w:rPr>
      </w:pPr>
      <w:r>
        <w:rPr>
          <w:rFonts w:ascii="Times New Roman" w:hAnsi="Times New Roman"/>
        </w:rPr>
        <w:t>为保持技术领先优势，HSM启动下一代产品研发：</w:t>
      </w:r>
    </w:p>
    <w:p w14:paraId="64D81809">
      <w:pPr>
        <w:pStyle w:val="36"/>
        <w:spacing w:before="0" w:after="0" w:line="400" w:lineRule="exact"/>
        <w:ind w:firstLine="480" w:firstLineChars="200"/>
        <w:jc w:val="both"/>
        <w:rPr>
          <w:rFonts w:ascii="Times New Roman" w:hAnsi="Times New Roman"/>
          <w:lang w:eastAsia="zh-CN"/>
        </w:rPr>
      </w:pPr>
      <w:r>
        <w:rPr>
          <w:rFonts w:ascii="Times New Roman" w:hAnsi="Times New Roman"/>
        </w:rPr>
        <w:t>柔性跟踪仪：采用柔性传感器阵列，适用于复合材料、生物组织等柔性结构的全场应变测量</w:t>
      </w:r>
    </w:p>
    <w:p w14:paraId="7D0F878E">
      <w:pPr>
        <w:pStyle w:val="36"/>
        <w:spacing w:before="0" w:after="0" w:line="400" w:lineRule="exact"/>
        <w:ind w:firstLine="480" w:firstLineChars="200"/>
        <w:jc w:val="both"/>
        <w:rPr>
          <w:rFonts w:ascii="Times New Roman" w:hAnsi="Times New Roman"/>
        </w:rPr>
      </w:pPr>
      <w:r>
        <w:rPr>
          <w:rFonts w:ascii="Times New Roman" w:hAnsi="Times New Roman"/>
        </w:rPr>
        <w:t>并联跟踪仪：通过多相机并联架构，实现大型结构的多区域同步监测，测量范围扩大至传统产品的3-5倍</w:t>
      </w:r>
    </w:p>
    <w:bookmarkEnd w:id="161"/>
    <w:bookmarkEnd w:id="171"/>
    <w:p w14:paraId="3827A886">
      <w:pPr>
        <w:pStyle w:val="3"/>
      </w:pPr>
      <w:bookmarkStart w:id="172" w:name="_Toc222822801"/>
      <w:bookmarkStart w:id="173" w:name="_Toc222913171"/>
      <w:bookmarkStart w:id="174" w:name="市场战略销售模式重构与市场聚焦"/>
      <w:r>
        <w:t>5.2 市场销售模式重构与市场聚焦</w:t>
      </w:r>
      <w:bookmarkEnd w:id="172"/>
      <w:bookmarkEnd w:id="173"/>
    </w:p>
    <w:p w14:paraId="0FE7A735">
      <w:pPr>
        <w:pStyle w:val="36"/>
        <w:spacing w:before="0" w:after="0" w:line="400" w:lineRule="exact"/>
        <w:ind w:firstLine="480" w:firstLineChars="200"/>
        <w:jc w:val="both"/>
        <w:rPr>
          <w:rFonts w:ascii="Times New Roman" w:hAnsi="Times New Roman"/>
        </w:rPr>
      </w:pPr>
      <w:r>
        <w:rPr>
          <w:rFonts w:ascii="Times New Roman" w:hAnsi="Times New Roman"/>
        </w:rPr>
        <w:t>HSM的市场战略以产品线特性为基础，构建差异化的销售模式和市场拓展路径。</w:t>
      </w:r>
    </w:p>
    <w:p w14:paraId="542A69F5">
      <w:pPr>
        <w:pStyle w:val="5"/>
      </w:pPr>
      <w:bookmarkStart w:id="175" w:name="_Toc222822802"/>
      <w:bookmarkStart w:id="176" w:name="_Toc222913172"/>
      <w:bookmarkStart w:id="177" w:name="视频引伸计与视频应变仪捆绑销售模式与渠道合作"/>
      <w:r>
        <w:t>5.2.1捆绑销售模式与渠道合作</w:t>
      </w:r>
      <w:bookmarkEnd w:id="175"/>
      <w:bookmarkEnd w:id="176"/>
    </w:p>
    <w:p w14:paraId="422CB22E">
      <w:pPr>
        <w:pStyle w:val="36"/>
        <w:spacing w:before="0" w:after="0" w:line="400" w:lineRule="exact"/>
        <w:ind w:firstLine="480" w:firstLineChars="200"/>
        <w:jc w:val="both"/>
        <w:rPr>
          <w:rFonts w:ascii="Times New Roman" w:hAnsi="Times New Roman"/>
          <w:lang w:eastAsia="zh-CN"/>
        </w:rPr>
      </w:pPr>
      <w:r>
        <w:rPr>
          <w:rFonts w:ascii="Times New Roman" w:hAnsi="Times New Roman"/>
        </w:rPr>
        <w:t>针对视频引伸计和视频应变仪的高标准化特性，HSM推行捆绑销售模式：</w:t>
      </w:r>
    </w:p>
    <w:p w14:paraId="36C47BE9">
      <w:pPr>
        <w:pStyle w:val="36"/>
        <w:spacing w:before="0" w:after="0" w:line="400" w:lineRule="exact"/>
        <w:ind w:firstLine="480" w:firstLineChars="200"/>
        <w:jc w:val="both"/>
        <w:rPr>
          <w:rFonts w:ascii="Times New Roman" w:hAnsi="Times New Roman"/>
          <w:lang w:eastAsia="zh-CN"/>
        </w:rPr>
      </w:pPr>
      <w:r>
        <w:rPr>
          <w:rFonts w:ascii="Times New Roman" w:hAnsi="Times New Roman"/>
        </w:rPr>
        <w:t>与试验机厂家战略合作：将HSM产品作为试验机标准配置，通过厂家渠道触达终端客户</w:t>
      </w:r>
    </w:p>
    <w:p w14:paraId="78719CD6">
      <w:pPr>
        <w:pStyle w:val="36"/>
        <w:spacing w:before="0" w:after="0" w:line="400" w:lineRule="exact"/>
        <w:ind w:firstLine="480" w:firstLineChars="200"/>
        <w:jc w:val="both"/>
        <w:rPr>
          <w:rFonts w:ascii="Times New Roman" w:hAnsi="Times New Roman"/>
          <w:lang w:eastAsia="zh-CN"/>
        </w:rPr>
      </w:pPr>
      <w:r>
        <w:rPr>
          <w:rFonts w:ascii="Times New Roman" w:hAnsi="Times New Roman"/>
        </w:rPr>
        <w:t>渠道利润共享：建立阶梯式返点机制，激励合作伙伴推广HSM产品</w:t>
      </w:r>
    </w:p>
    <w:p w14:paraId="0B0E9243">
      <w:pPr>
        <w:pStyle w:val="36"/>
        <w:spacing w:before="0" w:after="0" w:line="400" w:lineRule="exact"/>
        <w:ind w:firstLine="480" w:firstLineChars="200"/>
        <w:jc w:val="both"/>
        <w:rPr>
          <w:rFonts w:ascii="Times New Roman" w:hAnsi="Times New Roman"/>
        </w:rPr>
      </w:pPr>
      <w:r>
        <w:rPr>
          <w:rFonts w:ascii="Times New Roman" w:hAnsi="Times New Roman"/>
        </w:rPr>
        <w:t>联合品牌推广：与合作伙伴联合举办技术研讨会、行业展会，共同提升品牌影响力</w:t>
      </w:r>
    </w:p>
    <w:p w14:paraId="31DB9ED4">
      <w:pPr>
        <w:pStyle w:val="4"/>
        <w:keepNext/>
        <w:keepLines w:val="0"/>
        <w:pageBreakBefore w:val="0"/>
        <w:widowControl w:val="0"/>
        <w:kinsoku/>
        <w:wordWrap/>
        <w:overflowPunct/>
        <w:topLinePunct w:val="0"/>
        <w:autoSpaceDE/>
        <w:autoSpaceDN/>
        <w:bidi w:val="0"/>
        <w:adjustRightInd/>
        <w:snapToGrid/>
        <w:spacing w:before="240" w:after="120"/>
        <w:jc w:val="center"/>
        <w:textAlignment w:val="auto"/>
        <w:rPr>
          <w:rFonts w:ascii="Times New Roman" w:hAnsi="Times New Roman"/>
          <w:sz w:val="22"/>
        </w:rPr>
      </w:pPr>
      <w:bookmarkStart w:id="178" w:name="表5-2视频引伸计应变仪捆绑销售合作厂家列表"/>
      <w:r>
        <w:rPr>
          <w:rFonts w:ascii="Times New Roman" w:hAnsi="Times New Roman"/>
          <w:sz w:val="22"/>
        </w:rPr>
        <w:t>表5</w:t>
      </w:r>
      <w:r>
        <w:rPr>
          <w:rFonts w:hint="eastAsia" w:ascii="Times New Roman" w:hAnsi="Times New Roman"/>
          <w:sz w:val="22"/>
          <w:lang w:eastAsia="zh-CN"/>
        </w:rPr>
        <w:t>.</w:t>
      </w:r>
      <w:r>
        <w:rPr>
          <w:rFonts w:ascii="Times New Roman" w:hAnsi="Times New Roman"/>
          <w:sz w:val="22"/>
        </w:rPr>
        <w:t>2：视频引伸计/应变仪捆绑销售合作厂家列表</w:t>
      </w:r>
    </w:p>
    <w:tbl>
      <w:tblPr>
        <w:tblStyle w:val="41"/>
        <w:tblW w:w="5000" w:type="pct"/>
        <w:tblInd w:w="0" w:type="dxa"/>
        <w:tblLayout w:type="autofit"/>
        <w:tblCellMar>
          <w:top w:w="0" w:type="dxa"/>
          <w:left w:w="108" w:type="dxa"/>
          <w:bottom w:w="0" w:type="dxa"/>
          <w:right w:w="108" w:type="dxa"/>
        </w:tblCellMar>
      </w:tblPr>
      <w:tblGrid>
        <w:gridCol w:w="2424"/>
        <w:gridCol w:w="661"/>
        <w:gridCol w:w="1627"/>
        <w:gridCol w:w="949"/>
        <w:gridCol w:w="1223"/>
        <w:gridCol w:w="2289"/>
      </w:tblGrid>
      <w:tr w14:paraId="57D19F2F">
        <w:tblPrEx>
          <w:tblCellMar>
            <w:top w:w="0" w:type="dxa"/>
            <w:left w:w="108" w:type="dxa"/>
            <w:bottom w:w="0" w:type="dxa"/>
            <w:right w:w="108" w:type="dxa"/>
          </w:tblCellMar>
        </w:tblPrEx>
        <w:trPr>
          <w:trHeight w:val="492" w:hRule="atLeast"/>
        </w:trPr>
        <w:tc>
          <w:tcPr>
            <w:tcW w:w="1321" w:type="pct"/>
            <w:tcBorders>
              <w:top w:val="single" w:color="000000" w:sz="12" w:space="0"/>
              <w:left w:val="nil"/>
              <w:bottom w:val="single" w:color="000000" w:sz="4" w:space="0"/>
              <w:right w:val="nil"/>
              <w:tl2br w:val="nil"/>
            </w:tcBorders>
            <w:shd w:val="clear" w:color="auto" w:fill="FFFFFF"/>
            <w:vAlign w:val="center"/>
          </w:tcPr>
          <w:p w14:paraId="08BB0E86">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合作厂家</w:t>
            </w:r>
          </w:p>
        </w:tc>
        <w:tc>
          <w:tcPr>
            <w:tcW w:w="360" w:type="pct"/>
            <w:tcBorders>
              <w:top w:val="single" w:color="000000" w:sz="12" w:space="0"/>
              <w:left w:val="nil"/>
              <w:bottom w:val="single" w:color="000000" w:sz="4" w:space="0"/>
              <w:right w:val="nil"/>
            </w:tcBorders>
            <w:shd w:val="clear" w:color="auto" w:fill="FFFFFF"/>
            <w:vAlign w:val="center"/>
          </w:tcPr>
          <w:p w14:paraId="781038D6">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所在地区</w:t>
            </w:r>
          </w:p>
        </w:tc>
        <w:tc>
          <w:tcPr>
            <w:tcW w:w="886" w:type="pct"/>
            <w:tcBorders>
              <w:top w:val="single" w:color="000000" w:sz="12" w:space="0"/>
              <w:left w:val="nil"/>
              <w:bottom w:val="single" w:color="000000" w:sz="4" w:space="0"/>
              <w:right w:val="nil"/>
            </w:tcBorders>
            <w:shd w:val="clear" w:color="auto" w:fill="FFFFFF"/>
            <w:vAlign w:val="center"/>
          </w:tcPr>
          <w:p w14:paraId="5AA410DD">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合作模式</w:t>
            </w:r>
          </w:p>
        </w:tc>
        <w:tc>
          <w:tcPr>
            <w:tcW w:w="517" w:type="pct"/>
            <w:tcBorders>
              <w:top w:val="single" w:color="000000" w:sz="12" w:space="0"/>
              <w:left w:val="nil"/>
              <w:bottom w:val="single" w:color="000000" w:sz="4" w:space="0"/>
              <w:right w:val="nil"/>
            </w:tcBorders>
            <w:shd w:val="clear" w:color="auto" w:fill="FFFFFF"/>
            <w:vAlign w:val="center"/>
          </w:tcPr>
          <w:p w14:paraId="394B32D5">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年预期销量</w:t>
            </w:r>
          </w:p>
        </w:tc>
        <w:tc>
          <w:tcPr>
            <w:tcW w:w="666" w:type="pct"/>
            <w:tcBorders>
              <w:top w:val="single" w:color="000000" w:sz="12" w:space="0"/>
              <w:left w:val="nil"/>
              <w:bottom w:val="single" w:color="000000" w:sz="4" w:space="0"/>
              <w:right w:val="nil"/>
            </w:tcBorders>
            <w:shd w:val="clear" w:color="auto" w:fill="FFFFFF"/>
            <w:vAlign w:val="center"/>
          </w:tcPr>
          <w:p w14:paraId="2B025DC2">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合作启动时间</w:t>
            </w:r>
          </w:p>
        </w:tc>
        <w:tc>
          <w:tcPr>
            <w:tcW w:w="1247" w:type="pct"/>
            <w:tcBorders>
              <w:top w:val="single" w:color="000000" w:sz="12" w:space="0"/>
              <w:left w:val="nil"/>
              <w:bottom w:val="single" w:color="000000" w:sz="4" w:space="0"/>
              <w:right w:val="nil"/>
            </w:tcBorders>
            <w:shd w:val="clear" w:color="auto" w:fill="FFFFFF"/>
            <w:vAlign w:val="center"/>
          </w:tcPr>
          <w:p w14:paraId="6E8F2F69">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战略意义</w:t>
            </w:r>
          </w:p>
        </w:tc>
      </w:tr>
      <w:tr w14:paraId="751CCF07">
        <w:tblPrEx>
          <w:tblCellMar>
            <w:top w:w="0" w:type="dxa"/>
            <w:left w:w="108" w:type="dxa"/>
            <w:bottom w:w="0" w:type="dxa"/>
            <w:right w:w="108" w:type="dxa"/>
          </w:tblCellMar>
        </w:tblPrEx>
        <w:tc>
          <w:tcPr>
            <w:tcW w:w="1321" w:type="pct"/>
            <w:tcBorders>
              <w:top w:val="single" w:color="000000" w:sz="4" w:space="0"/>
              <w:left w:val="nil"/>
              <w:bottom w:val="nil"/>
              <w:right w:val="nil"/>
            </w:tcBorders>
            <w:shd w:val="clear" w:color="auto" w:fill="FFFFFF"/>
            <w:vAlign w:val="center"/>
          </w:tcPr>
          <w:p w14:paraId="514AEA46">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bCs/>
                <w:color w:val="000000"/>
                <w:sz w:val="22"/>
              </w:rPr>
              <w:t>国内试验机龙头企业A</w:t>
            </w:r>
          </w:p>
        </w:tc>
        <w:tc>
          <w:tcPr>
            <w:tcW w:w="360" w:type="pct"/>
            <w:tcBorders>
              <w:top w:val="single" w:color="000000" w:sz="4" w:space="0"/>
              <w:left w:val="nil"/>
              <w:bottom w:val="nil"/>
              <w:right w:val="nil"/>
            </w:tcBorders>
            <w:shd w:val="clear" w:color="auto" w:fill="FFFFFF"/>
            <w:vAlign w:val="center"/>
          </w:tcPr>
          <w:p w14:paraId="444FC052">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北京</w:t>
            </w:r>
          </w:p>
        </w:tc>
        <w:tc>
          <w:tcPr>
            <w:tcW w:w="886" w:type="pct"/>
            <w:tcBorders>
              <w:top w:val="single" w:color="000000" w:sz="4" w:space="0"/>
              <w:left w:val="nil"/>
              <w:bottom w:val="nil"/>
              <w:right w:val="nil"/>
            </w:tcBorders>
            <w:shd w:val="clear" w:color="auto" w:fill="FFFFFF"/>
            <w:vAlign w:val="center"/>
          </w:tcPr>
          <w:p w14:paraId="22DD19C9">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独家捆绑合作</w:t>
            </w:r>
          </w:p>
        </w:tc>
        <w:tc>
          <w:tcPr>
            <w:tcW w:w="517" w:type="pct"/>
            <w:tcBorders>
              <w:top w:val="single" w:color="000000" w:sz="4" w:space="0"/>
              <w:left w:val="nil"/>
              <w:bottom w:val="nil"/>
              <w:right w:val="nil"/>
            </w:tcBorders>
            <w:shd w:val="clear" w:color="auto" w:fill="FFFFFF"/>
            <w:vAlign w:val="center"/>
          </w:tcPr>
          <w:p w14:paraId="3990AE03">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300台</w:t>
            </w:r>
          </w:p>
        </w:tc>
        <w:tc>
          <w:tcPr>
            <w:tcW w:w="666" w:type="pct"/>
            <w:tcBorders>
              <w:top w:val="single" w:color="000000" w:sz="4" w:space="0"/>
              <w:left w:val="nil"/>
              <w:bottom w:val="nil"/>
              <w:right w:val="nil"/>
            </w:tcBorders>
            <w:shd w:val="clear" w:color="auto" w:fill="FFFFFF"/>
            <w:vAlign w:val="center"/>
          </w:tcPr>
          <w:p w14:paraId="2F4833E4">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2026Q2</w:t>
            </w:r>
          </w:p>
        </w:tc>
        <w:tc>
          <w:tcPr>
            <w:tcW w:w="1247" w:type="pct"/>
            <w:tcBorders>
              <w:top w:val="single" w:color="000000" w:sz="4" w:space="0"/>
              <w:left w:val="nil"/>
              <w:bottom w:val="nil"/>
              <w:right w:val="nil"/>
            </w:tcBorders>
            <w:shd w:val="clear" w:color="auto" w:fill="FFFFFF"/>
            <w:vAlign w:val="center"/>
          </w:tcPr>
          <w:p w14:paraId="3332074C">
            <w:pPr>
              <w:pStyle w:val="37"/>
              <w:keepNext/>
              <w:keepLines w:val="0"/>
              <w:pageBreakBefore w:val="0"/>
              <w:kinsoku/>
              <w:wordWrap/>
              <w:overflowPunct/>
              <w:topLinePunct w:val="0"/>
              <w:autoSpaceDE/>
              <w:autoSpaceDN/>
              <w:bidi w:val="0"/>
              <w:adjustRightInd/>
              <w:snapToGrid/>
              <w:spacing w:before="60" w:after="60"/>
              <w:jc w:val="center"/>
              <w:textAlignment w:val="auto"/>
              <w:rPr>
                <w:rFonts w:ascii="Times New Roman" w:hAnsi="Times New Roman" w:eastAsia="宋体"/>
                <w:b w:val="0"/>
                <w:color w:val="000000"/>
                <w:sz w:val="22"/>
              </w:rPr>
            </w:pPr>
            <w:r>
              <w:rPr>
                <w:rFonts w:ascii="Times New Roman" w:hAnsi="Times New Roman" w:eastAsia="宋体"/>
                <w:b w:val="0"/>
                <w:color w:val="000000"/>
                <w:sz w:val="22"/>
              </w:rPr>
              <w:t>覆盖华北市场，树立标杆案例</w:t>
            </w:r>
          </w:p>
        </w:tc>
      </w:tr>
      <w:tr w14:paraId="394506E5">
        <w:tc>
          <w:tcPr>
            <w:tcW w:w="1321" w:type="pct"/>
            <w:tcBorders>
              <w:top w:val="nil"/>
              <w:left w:val="nil"/>
              <w:bottom w:val="nil"/>
              <w:right w:val="nil"/>
            </w:tcBorders>
            <w:shd w:val="clear" w:color="auto" w:fill="FFFFFF"/>
            <w:vAlign w:val="center"/>
          </w:tcPr>
          <w:p w14:paraId="2A59C95E">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国际试验机品牌B</w:t>
            </w:r>
          </w:p>
        </w:tc>
        <w:tc>
          <w:tcPr>
            <w:tcW w:w="360" w:type="pct"/>
            <w:tcBorders>
              <w:top w:val="nil"/>
              <w:left w:val="nil"/>
              <w:bottom w:val="nil"/>
              <w:right w:val="nil"/>
            </w:tcBorders>
            <w:shd w:val="clear" w:color="auto" w:fill="FFFFFF"/>
            <w:vAlign w:val="center"/>
          </w:tcPr>
          <w:p w14:paraId="0432D27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上海</w:t>
            </w:r>
          </w:p>
        </w:tc>
        <w:tc>
          <w:tcPr>
            <w:tcW w:w="886" w:type="pct"/>
            <w:tcBorders>
              <w:top w:val="nil"/>
              <w:left w:val="nil"/>
              <w:bottom w:val="nil"/>
              <w:right w:val="nil"/>
            </w:tcBorders>
            <w:shd w:val="clear" w:color="auto" w:fill="FFFFFF"/>
            <w:vAlign w:val="center"/>
          </w:tcPr>
          <w:p w14:paraId="10BCA81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区域代理合作</w:t>
            </w:r>
          </w:p>
        </w:tc>
        <w:tc>
          <w:tcPr>
            <w:tcW w:w="517" w:type="pct"/>
            <w:tcBorders>
              <w:top w:val="nil"/>
              <w:left w:val="nil"/>
              <w:bottom w:val="nil"/>
              <w:right w:val="nil"/>
            </w:tcBorders>
            <w:shd w:val="clear" w:color="auto" w:fill="FFFFFF"/>
            <w:vAlign w:val="center"/>
          </w:tcPr>
          <w:p w14:paraId="35CA526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200台</w:t>
            </w:r>
          </w:p>
        </w:tc>
        <w:tc>
          <w:tcPr>
            <w:tcW w:w="666" w:type="pct"/>
            <w:tcBorders>
              <w:top w:val="nil"/>
              <w:left w:val="nil"/>
              <w:bottom w:val="nil"/>
              <w:right w:val="nil"/>
            </w:tcBorders>
            <w:shd w:val="clear" w:color="auto" w:fill="FFFFFF"/>
            <w:vAlign w:val="center"/>
          </w:tcPr>
          <w:p w14:paraId="25B09BA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2026Q3</w:t>
            </w:r>
          </w:p>
        </w:tc>
        <w:tc>
          <w:tcPr>
            <w:tcW w:w="1247" w:type="pct"/>
            <w:tcBorders>
              <w:top w:val="nil"/>
              <w:left w:val="nil"/>
              <w:bottom w:val="nil"/>
              <w:right w:val="nil"/>
            </w:tcBorders>
            <w:shd w:val="clear" w:color="auto" w:fill="FFFFFF"/>
            <w:vAlign w:val="center"/>
          </w:tcPr>
          <w:p w14:paraId="2D58F34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提升国际品牌影响力</w:t>
            </w:r>
          </w:p>
        </w:tc>
      </w:tr>
      <w:tr w14:paraId="77BACB31">
        <w:tblPrEx>
          <w:tblCellMar>
            <w:top w:w="0" w:type="dxa"/>
            <w:left w:w="108" w:type="dxa"/>
            <w:bottom w:w="0" w:type="dxa"/>
            <w:right w:w="108" w:type="dxa"/>
          </w:tblCellMar>
        </w:tblPrEx>
        <w:tc>
          <w:tcPr>
            <w:tcW w:w="1321" w:type="pct"/>
            <w:tcBorders>
              <w:top w:val="nil"/>
              <w:left w:val="nil"/>
              <w:bottom w:val="nil"/>
              <w:right w:val="nil"/>
            </w:tcBorders>
            <w:shd w:val="clear" w:color="auto" w:fill="FFFFFF"/>
            <w:vAlign w:val="center"/>
          </w:tcPr>
          <w:p w14:paraId="3A6041DF">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专业检测设备公司C</w:t>
            </w:r>
          </w:p>
        </w:tc>
        <w:tc>
          <w:tcPr>
            <w:tcW w:w="360" w:type="pct"/>
            <w:tcBorders>
              <w:top w:val="nil"/>
              <w:left w:val="nil"/>
              <w:bottom w:val="nil"/>
              <w:right w:val="nil"/>
            </w:tcBorders>
            <w:shd w:val="clear" w:color="auto" w:fill="FFFFFF"/>
            <w:vAlign w:val="center"/>
          </w:tcPr>
          <w:p w14:paraId="7162E71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广州</w:t>
            </w:r>
          </w:p>
        </w:tc>
        <w:tc>
          <w:tcPr>
            <w:tcW w:w="886" w:type="pct"/>
            <w:tcBorders>
              <w:top w:val="nil"/>
              <w:left w:val="nil"/>
              <w:bottom w:val="nil"/>
              <w:right w:val="nil"/>
            </w:tcBorders>
            <w:shd w:val="clear" w:color="auto" w:fill="FFFFFF"/>
            <w:vAlign w:val="center"/>
          </w:tcPr>
          <w:p w14:paraId="6344673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OEM合作</w:t>
            </w:r>
          </w:p>
        </w:tc>
        <w:tc>
          <w:tcPr>
            <w:tcW w:w="517" w:type="pct"/>
            <w:tcBorders>
              <w:top w:val="nil"/>
              <w:left w:val="nil"/>
              <w:bottom w:val="nil"/>
              <w:right w:val="nil"/>
            </w:tcBorders>
            <w:shd w:val="clear" w:color="auto" w:fill="FFFFFF"/>
            <w:vAlign w:val="center"/>
          </w:tcPr>
          <w:p w14:paraId="0A3AFF1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150台</w:t>
            </w:r>
          </w:p>
        </w:tc>
        <w:tc>
          <w:tcPr>
            <w:tcW w:w="666" w:type="pct"/>
            <w:tcBorders>
              <w:top w:val="nil"/>
              <w:left w:val="nil"/>
              <w:bottom w:val="nil"/>
              <w:right w:val="nil"/>
            </w:tcBorders>
            <w:shd w:val="clear" w:color="auto" w:fill="FFFFFF"/>
            <w:vAlign w:val="center"/>
          </w:tcPr>
          <w:p w14:paraId="0BE539E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2026Q4</w:t>
            </w:r>
          </w:p>
        </w:tc>
        <w:tc>
          <w:tcPr>
            <w:tcW w:w="1247" w:type="pct"/>
            <w:tcBorders>
              <w:top w:val="nil"/>
              <w:left w:val="nil"/>
              <w:bottom w:val="nil"/>
              <w:right w:val="nil"/>
            </w:tcBorders>
            <w:shd w:val="clear" w:color="auto" w:fill="FFFFFF"/>
            <w:vAlign w:val="center"/>
          </w:tcPr>
          <w:p w14:paraId="06F3C91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拓展华南市场，快速增量</w:t>
            </w:r>
          </w:p>
        </w:tc>
      </w:tr>
      <w:tr w14:paraId="6BF41613">
        <w:tblPrEx>
          <w:tblCellMar>
            <w:top w:w="0" w:type="dxa"/>
            <w:left w:w="108" w:type="dxa"/>
            <w:bottom w:w="0" w:type="dxa"/>
            <w:right w:w="108" w:type="dxa"/>
          </w:tblCellMar>
        </w:tblPrEx>
        <w:tc>
          <w:tcPr>
            <w:tcW w:w="1321" w:type="pct"/>
            <w:tcBorders>
              <w:top w:val="nil"/>
              <w:left w:val="nil"/>
              <w:bottom w:val="nil"/>
              <w:right w:val="nil"/>
            </w:tcBorders>
            <w:shd w:val="clear" w:color="auto" w:fill="FFFFFF"/>
            <w:vAlign w:val="center"/>
          </w:tcPr>
          <w:p w14:paraId="4AC4C6D0">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科研仪器集团D</w:t>
            </w:r>
          </w:p>
        </w:tc>
        <w:tc>
          <w:tcPr>
            <w:tcW w:w="360" w:type="pct"/>
            <w:tcBorders>
              <w:top w:val="nil"/>
              <w:left w:val="nil"/>
              <w:bottom w:val="nil"/>
              <w:right w:val="nil"/>
            </w:tcBorders>
            <w:shd w:val="clear" w:color="auto" w:fill="FFFFFF"/>
            <w:vAlign w:val="center"/>
          </w:tcPr>
          <w:p w14:paraId="5A6F20E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武汉</w:t>
            </w:r>
          </w:p>
        </w:tc>
        <w:tc>
          <w:tcPr>
            <w:tcW w:w="886" w:type="pct"/>
            <w:tcBorders>
              <w:top w:val="nil"/>
              <w:left w:val="nil"/>
              <w:bottom w:val="nil"/>
              <w:right w:val="nil"/>
            </w:tcBorders>
            <w:shd w:val="clear" w:color="auto" w:fill="FFFFFF"/>
            <w:vAlign w:val="center"/>
          </w:tcPr>
          <w:p w14:paraId="32144E4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分销合作</w:t>
            </w:r>
          </w:p>
        </w:tc>
        <w:tc>
          <w:tcPr>
            <w:tcW w:w="517" w:type="pct"/>
            <w:tcBorders>
              <w:top w:val="nil"/>
              <w:left w:val="nil"/>
              <w:bottom w:val="nil"/>
              <w:right w:val="nil"/>
            </w:tcBorders>
            <w:shd w:val="clear" w:color="auto" w:fill="FFFFFF"/>
            <w:vAlign w:val="center"/>
          </w:tcPr>
          <w:p w14:paraId="55375D8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100台</w:t>
            </w:r>
          </w:p>
        </w:tc>
        <w:tc>
          <w:tcPr>
            <w:tcW w:w="666" w:type="pct"/>
            <w:tcBorders>
              <w:top w:val="nil"/>
              <w:left w:val="nil"/>
              <w:bottom w:val="nil"/>
              <w:right w:val="nil"/>
            </w:tcBorders>
            <w:shd w:val="clear" w:color="auto" w:fill="FFFFFF"/>
            <w:vAlign w:val="center"/>
          </w:tcPr>
          <w:p w14:paraId="3FCBB34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2027Q1</w:t>
            </w:r>
          </w:p>
        </w:tc>
        <w:tc>
          <w:tcPr>
            <w:tcW w:w="1247" w:type="pct"/>
            <w:tcBorders>
              <w:top w:val="nil"/>
              <w:left w:val="nil"/>
              <w:bottom w:val="nil"/>
              <w:right w:val="nil"/>
            </w:tcBorders>
            <w:shd w:val="clear" w:color="auto" w:fill="FFFFFF"/>
            <w:vAlign w:val="center"/>
          </w:tcPr>
          <w:p w14:paraId="5601F8D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覆盖高校科研市场</w:t>
            </w:r>
          </w:p>
        </w:tc>
      </w:tr>
      <w:tr w14:paraId="0742CEAD">
        <w:tblPrEx>
          <w:tblCellMar>
            <w:top w:w="0" w:type="dxa"/>
            <w:left w:w="108" w:type="dxa"/>
            <w:bottom w:w="0" w:type="dxa"/>
            <w:right w:w="108" w:type="dxa"/>
          </w:tblCellMar>
        </w:tblPrEx>
        <w:tc>
          <w:tcPr>
            <w:tcW w:w="1321" w:type="pct"/>
            <w:tcBorders>
              <w:top w:val="nil"/>
              <w:left w:val="nil"/>
              <w:bottom w:val="single" w:color="000000" w:sz="12" w:space="0"/>
              <w:right w:val="nil"/>
            </w:tcBorders>
            <w:shd w:val="clear" w:color="auto" w:fill="FFFFFF"/>
            <w:vAlign w:val="center"/>
          </w:tcPr>
          <w:p w14:paraId="363F32B5">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工业检测方案商E</w:t>
            </w:r>
          </w:p>
        </w:tc>
        <w:tc>
          <w:tcPr>
            <w:tcW w:w="360" w:type="pct"/>
            <w:tcBorders>
              <w:top w:val="nil"/>
              <w:left w:val="nil"/>
              <w:bottom w:val="single" w:color="000000" w:sz="12" w:space="0"/>
              <w:right w:val="nil"/>
            </w:tcBorders>
            <w:shd w:val="clear" w:color="auto" w:fill="FFFFFF"/>
            <w:vAlign w:val="center"/>
          </w:tcPr>
          <w:p w14:paraId="4A13E50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成都</w:t>
            </w:r>
          </w:p>
        </w:tc>
        <w:tc>
          <w:tcPr>
            <w:tcW w:w="886" w:type="pct"/>
            <w:tcBorders>
              <w:top w:val="nil"/>
              <w:left w:val="nil"/>
              <w:bottom w:val="single" w:color="000000" w:sz="12" w:space="0"/>
              <w:right w:val="nil"/>
            </w:tcBorders>
            <w:shd w:val="clear" w:color="auto" w:fill="FFFFFF"/>
            <w:vAlign w:val="center"/>
          </w:tcPr>
          <w:p w14:paraId="0CE9FD4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项目合作</w:t>
            </w:r>
          </w:p>
        </w:tc>
        <w:tc>
          <w:tcPr>
            <w:tcW w:w="517" w:type="pct"/>
            <w:tcBorders>
              <w:top w:val="nil"/>
              <w:left w:val="nil"/>
              <w:bottom w:val="single" w:color="000000" w:sz="12" w:space="0"/>
              <w:right w:val="nil"/>
            </w:tcBorders>
            <w:shd w:val="clear" w:color="auto" w:fill="FFFFFF"/>
            <w:vAlign w:val="center"/>
          </w:tcPr>
          <w:p w14:paraId="7528C18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80台</w:t>
            </w:r>
          </w:p>
        </w:tc>
        <w:tc>
          <w:tcPr>
            <w:tcW w:w="666" w:type="pct"/>
            <w:tcBorders>
              <w:top w:val="nil"/>
              <w:left w:val="nil"/>
              <w:bottom w:val="single" w:color="000000" w:sz="12" w:space="0"/>
              <w:right w:val="nil"/>
            </w:tcBorders>
            <w:shd w:val="clear" w:color="auto" w:fill="FFFFFF"/>
            <w:vAlign w:val="center"/>
          </w:tcPr>
          <w:p w14:paraId="208E811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2027Q2</w:t>
            </w:r>
          </w:p>
        </w:tc>
        <w:tc>
          <w:tcPr>
            <w:tcW w:w="1247" w:type="pct"/>
            <w:tcBorders>
              <w:top w:val="nil"/>
              <w:left w:val="nil"/>
              <w:bottom w:val="single" w:color="000000" w:sz="12" w:space="0"/>
              <w:right w:val="nil"/>
            </w:tcBorders>
            <w:shd w:val="clear" w:color="auto" w:fill="FFFFFF"/>
            <w:vAlign w:val="center"/>
          </w:tcPr>
          <w:p w14:paraId="4033D23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拓展西南工业市场</w:t>
            </w:r>
          </w:p>
        </w:tc>
      </w:tr>
      <w:bookmarkEnd w:id="177"/>
      <w:bookmarkEnd w:id="178"/>
    </w:tbl>
    <w:p w14:paraId="58FE6E2B">
      <w:pPr>
        <w:pStyle w:val="5"/>
      </w:pPr>
      <w:bookmarkStart w:id="179" w:name="_Toc222822803"/>
      <w:bookmarkStart w:id="180" w:name="_Toc222913173"/>
      <w:bookmarkStart w:id="181" w:name="视频跟踪仪垂直行业聚焦与地区合作伙伴体系"/>
      <w:r>
        <w:t>5.2.2垂直行业聚焦与地区合作伙伴体系</w:t>
      </w:r>
      <w:bookmarkEnd w:id="179"/>
      <w:bookmarkEnd w:id="180"/>
    </w:p>
    <w:p w14:paraId="4984A8D4">
      <w:pPr>
        <w:pStyle w:val="36"/>
        <w:spacing w:before="0" w:after="0" w:line="400" w:lineRule="exact"/>
        <w:ind w:firstLine="480" w:firstLineChars="200"/>
        <w:jc w:val="both"/>
        <w:rPr>
          <w:rFonts w:ascii="Times New Roman" w:hAnsi="Times New Roman"/>
          <w:lang w:eastAsia="zh-CN"/>
        </w:rPr>
      </w:pPr>
      <w:r>
        <w:rPr>
          <w:rFonts w:ascii="Times New Roman" w:hAnsi="Times New Roman"/>
        </w:rPr>
        <w:t>视频跟踪仪的市场战略从全面铺开转向垂直深耕：</w:t>
      </w:r>
    </w:p>
    <w:p w14:paraId="675E6D9A">
      <w:pPr>
        <w:pStyle w:val="36"/>
        <w:spacing w:before="0" w:after="0" w:line="400" w:lineRule="exact"/>
        <w:ind w:firstLine="480" w:firstLineChars="200"/>
        <w:jc w:val="both"/>
        <w:rPr>
          <w:rFonts w:ascii="Times New Roman" w:hAnsi="Times New Roman"/>
          <w:lang w:eastAsia="zh-CN"/>
        </w:rPr>
      </w:pPr>
      <w:r>
        <w:rPr>
          <w:rFonts w:ascii="Times New Roman" w:hAnsi="Times New Roman"/>
        </w:rPr>
        <w:t>聚焦三大垂直领域：桥梁、隧道、边坡监测，每个领域建立专业解决方案团队</w:t>
      </w:r>
    </w:p>
    <w:p w14:paraId="2BA1FD00">
      <w:pPr>
        <w:pStyle w:val="36"/>
        <w:spacing w:before="0" w:after="0" w:line="400" w:lineRule="exact"/>
        <w:ind w:firstLine="480" w:firstLineChars="200"/>
        <w:jc w:val="both"/>
        <w:rPr>
          <w:rFonts w:ascii="Times New Roman" w:hAnsi="Times New Roman"/>
          <w:lang w:eastAsia="zh-CN"/>
        </w:rPr>
      </w:pPr>
      <w:r>
        <w:rPr>
          <w:rFonts w:ascii="Times New Roman" w:hAnsi="Times New Roman"/>
        </w:rPr>
        <w:t>地区合作伙伴发展：每个重点区域发展2-3家类似”亿维”的整包项目合作伙伴</w:t>
      </w:r>
    </w:p>
    <w:p w14:paraId="017D76E4">
      <w:pPr>
        <w:pStyle w:val="36"/>
        <w:spacing w:before="0" w:after="0" w:line="400" w:lineRule="exact"/>
        <w:ind w:firstLine="480" w:firstLineChars="200"/>
        <w:jc w:val="both"/>
        <w:rPr>
          <w:rFonts w:ascii="Times New Roman" w:hAnsi="Times New Roman"/>
        </w:rPr>
      </w:pPr>
      <w:r>
        <w:rPr>
          <w:rFonts w:ascii="Times New Roman" w:hAnsi="Times New Roman"/>
        </w:rPr>
        <w:t>快速回款机制：优化合同条款，将回款周期从270天缩短至120天以内</w:t>
      </w:r>
    </w:p>
    <w:p w14:paraId="13F00335">
      <w:pPr>
        <w:pStyle w:val="4"/>
        <w:keepNext/>
        <w:widowControl w:val="0"/>
        <w:spacing w:before="240" w:after="120"/>
        <w:jc w:val="center"/>
        <w:rPr>
          <w:rFonts w:ascii="Times New Roman" w:hAnsi="Times New Roman"/>
          <w:sz w:val="22"/>
        </w:rPr>
      </w:pPr>
      <w:bookmarkStart w:id="182" w:name="表5-3视频跟踪仪垂直领域市场聚焦策略"/>
      <w:r>
        <w:rPr>
          <w:rFonts w:ascii="Times New Roman" w:hAnsi="Times New Roman"/>
          <w:sz w:val="22"/>
        </w:rPr>
        <w:t>表5</w:t>
      </w:r>
      <w:r>
        <w:rPr>
          <w:rFonts w:hint="eastAsia" w:ascii="Times New Roman" w:hAnsi="Times New Roman"/>
          <w:sz w:val="22"/>
          <w:lang w:eastAsia="zh-CN"/>
        </w:rPr>
        <w:t>.</w:t>
      </w:r>
      <w:r>
        <w:rPr>
          <w:rFonts w:ascii="Times New Roman" w:hAnsi="Times New Roman"/>
          <w:sz w:val="22"/>
        </w:rPr>
        <w:t>3：视频跟踪仪垂直领域市场聚焦策略</w:t>
      </w:r>
    </w:p>
    <w:tbl>
      <w:tblPr>
        <w:tblStyle w:val="41"/>
        <w:tblW w:w="5000" w:type="pct"/>
        <w:tblInd w:w="0" w:type="dxa"/>
        <w:tblLayout w:type="autofit"/>
        <w:tblCellMar>
          <w:top w:w="0" w:type="dxa"/>
          <w:left w:w="108" w:type="dxa"/>
          <w:bottom w:w="0" w:type="dxa"/>
          <w:right w:w="108" w:type="dxa"/>
        </w:tblCellMar>
      </w:tblPr>
      <w:tblGrid>
        <w:gridCol w:w="958"/>
        <w:gridCol w:w="1761"/>
        <w:gridCol w:w="2035"/>
        <w:gridCol w:w="1913"/>
        <w:gridCol w:w="1208"/>
        <w:gridCol w:w="1298"/>
      </w:tblGrid>
      <w:tr w14:paraId="7AF29B03">
        <w:tblPrEx>
          <w:tblCellMar>
            <w:top w:w="0" w:type="dxa"/>
            <w:left w:w="108" w:type="dxa"/>
            <w:bottom w:w="0" w:type="dxa"/>
            <w:right w:w="108" w:type="dxa"/>
          </w:tblCellMar>
        </w:tblPrEx>
        <w:trPr>
          <w:tblHeader/>
        </w:trPr>
        <w:tc>
          <w:tcPr>
            <w:tcW w:w="522" w:type="pct"/>
            <w:tcBorders>
              <w:top w:val="single" w:color="000000" w:sz="12" w:space="0"/>
              <w:left w:val="nil"/>
              <w:bottom w:val="single" w:color="000000" w:sz="4" w:space="0"/>
              <w:right w:val="nil"/>
              <w:tl2br w:val="nil"/>
            </w:tcBorders>
            <w:shd w:val="clear" w:color="auto" w:fill="FFFFFF"/>
            <w:vAlign w:val="center"/>
          </w:tcPr>
          <w:p w14:paraId="65554DA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垂直领域</w:t>
            </w:r>
          </w:p>
        </w:tc>
        <w:tc>
          <w:tcPr>
            <w:tcW w:w="960" w:type="pct"/>
            <w:tcBorders>
              <w:top w:val="single" w:color="000000" w:sz="12" w:space="0"/>
              <w:left w:val="nil"/>
              <w:bottom w:val="single" w:color="000000" w:sz="4" w:space="0"/>
              <w:right w:val="nil"/>
            </w:tcBorders>
            <w:shd w:val="clear" w:color="auto" w:fill="FFFFFF"/>
            <w:vAlign w:val="center"/>
          </w:tcPr>
          <w:p w14:paraId="4508DE8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重点应用场景</w:t>
            </w:r>
          </w:p>
        </w:tc>
        <w:tc>
          <w:tcPr>
            <w:tcW w:w="0" w:type="auto"/>
            <w:tcBorders>
              <w:top w:val="single" w:color="000000" w:sz="12" w:space="0"/>
              <w:left w:val="nil"/>
              <w:bottom w:val="single" w:color="000000" w:sz="4" w:space="0"/>
              <w:right w:val="nil"/>
            </w:tcBorders>
            <w:shd w:val="clear" w:color="auto" w:fill="FFFFFF"/>
            <w:vAlign w:val="center"/>
          </w:tcPr>
          <w:p w14:paraId="4B7355C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目标客户</w:t>
            </w:r>
          </w:p>
        </w:tc>
        <w:tc>
          <w:tcPr>
            <w:tcW w:w="0" w:type="auto"/>
            <w:tcBorders>
              <w:top w:val="single" w:color="000000" w:sz="12" w:space="0"/>
              <w:left w:val="nil"/>
              <w:bottom w:val="single" w:color="000000" w:sz="4" w:space="0"/>
              <w:right w:val="nil"/>
            </w:tcBorders>
            <w:shd w:val="clear" w:color="auto" w:fill="FFFFFF"/>
            <w:vAlign w:val="center"/>
          </w:tcPr>
          <w:p w14:paraId="0A7B535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竞争策略</w:t>
            </w:r>
          </w:p>
        </w:tc>
        <w:tc>
          <w:tcPr>
            <w:tcW w:w="0" w:type="auto"/>
            <w:tcBorders>
              <w:top w:val="single" w:color="000000" w:sz="12" w:space="0"/>
              <w:left w:val="nil"/>
              <w:bottom w:val="single" w:color="000000" w:sz="4" w:space="0"/>
              <w:right w:val="nil"/>
            </w:tcBorders>
            <w:shd w:val="clear" w:color="auto" w:fill="FFFFFF"/>
            <w:vAlign w:val="center"/>
          </w:tcPr>
          <w:p w14:paraId="6E485DA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2026年目标</w:t>
            </w:r>
          </w:p>
        </w:tc>
        <w:tc>
          <w:tcPr>
            <w:tcW w:w="0" w:type="auto"/>
            <w:tcBorders>
              <w:top w:val="single" w:color="000000" w:sz="12" w:space="0"/>
              <w:left w:val="nil"/>
              <w:bottom w:val="single" w:color="000000" w:sz="4" w:space="0"/>
              <w:right w:val="nil"/>
            </w:tcBorders>
            <w:shd w:val="clear" w:color="auto" w:fill="FFFFFF"/>
            <w:vAlign w:val="center"/>
          </w:tcPr>
          <w:p w14:paraId="1457516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资源投入</w:t>
            </w:r>
          </w:p>
        </w:tc>
      </w:tr>
      <w:tr w14:paraId="69B6076B">
        <w:tblPrEx>
          <w:tblCellMar>
            <w:top w:w="0" w:type="dxa"/>
            <w:left w:w="108" w:type="dxa"/>
            <w:bottom w:w="0" w:type="dxa"/>
            <w:right w:w="108" w:type="dxa"/>
          </w:tblCellMar>
        </w:tblPrEx>
        <w:tc>
          <w:tcPr>
            <w:tcW w:w="522" w:type="pct"/>
            <w:tcBorders>
              <w:top w:val="single" w:color="000000" w:sz="4" w:space="0"/>
              <w:left w:val="nil"/>
              <w:bottom w:val="nil"/>
              <w:right w:val="nil"/>
            </w:tcBorders>
            <w:shd w:val="clear" w:color="auto" w:fill="FFFFFF"/>
            <w:vAlign w:val="center"/>
          </w:tcPr>
          <w:p w14:paraId="7B91CBAA">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桥梁监测</w:t>
            </w:r>
          </w:p>
        </w:tc>
        <w:tc>
          <w:tcPr>
            <w:tcW w:w="960" w:type="pct"/>
            <w:tcBorders>
              <w:top w:val="single" w:color="000000" w:sz="4" w:space="0"/>
              <w:left w:val="nil"/>
              <w:bottom w:val="nil"/>
              <w:right w:val="nil"/>
            </w:tcBorders>
            <w:shd w:val="clear" w:color="auto" w:fill="FFFFFF"/>
            <w:vAlign w:val="center"/>
          </w:tcPr>
          <w:p w14:paraId="06ECBD2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大跨径桥梁健康监测</w:t>
            </w:r>
          </w:p>
        </w:tc>
        <w:tc>
          <w:tcPr>
            <w:tcW w:w="0" w:type="auto"/>
            <w:tcBorders>
              <w:top w:val="single" w:color="000000" w:sz="4" w:space="0"/>
              <w:left w:val="nil"/>
              <w:bottom w:val="nil"/>
              <w:right w:val="nil"/>
            </w:tcBorders>
            <w:shd w:val="clear" w:color="auto" w:fill="FFFFFF"/>
            <w:vAlign w:val="center"/>
          </w:tcPr>
          <w:p w14:paraId="51E2ECD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交通厅、桥梁管理公司</w:t>
            </w:r>
          </w:p>
        </w:tc>
        <w:tc>
          <w:tcPr>
            <w:tcW w:w="0" w:type="auto"/>
            <w:tcBorders>
              <w:top w:val="single" w:color="000000" w:sz="4" w:space="0"/>
              <w:left w:val="nil"/>
              <w:bottom w:val="nil"/>
              <w:right w:val="nil"/>
            </w:tcBorders>
            <w:shd w:val="clear" w:color="auto" w:fill="FFFFFF"/>
            <w:vAlign w:val="center"/>
          </w:tcPr>
          <w:p w14:paraId="4784A93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技术差异化+本地服务</w:t>
            </w:r>
          </w:p>
        </w:tc>
        <w:tc>
          <w:tcPr>
            <w:tcW w:w="0" w:type="auto"/>
            <w:tcBorders>
              <w:top w:val="single" w:color="000000" w:sz="4" w:space="0"/>
              <w:left w:val="nil"/>
              <w:bottom w:val="nil"/>
              <w:right w:val="nil"/>
            </w:tcBorders>
            <w:shd w:val="clear" w:color="auto" w:fill="FFFFFF"/>
            <w:vAlign w:val="center"/>
          </w:tcPr>
          <w:p w14:paraId="7DBFAAB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30个项目</w:t>
            </w:r>
          </w:p>
        </w:tc>
        <w:tc>
          <w:tcPr>
            <w:tcW w:w="0" w:type="auto"/>
            <w:tcBorders>
              <w:top w:val="single" w:color="000000" w:sz="4" w:space="0"/>
              <w:left w:val="nil"/>
              <w:bottom w:val="nil"/>
              <w:right w:val="nil"/>
            </w:tcBorders>
            <w:shd w:val="clear" w:color="auto" w:fill="FFFFFF"/>
            <w:vAlign w:val="center"/>
          </w:tcPr>
          <w:p w14:paraId="2D491D5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专项研发团队</w:t>
            </w:r>
          </w:p>
        </w:tc>
      </w:tr>
      <w:tr w14:paraId="12BAA2FF">
        <w:tblPrEx>
          <w:tblCellMar>
            <w:top w:w="0" w:type="dxa"/>
            <w:left w:w="108" w:type="dxa"/>
            <w:bottom w:w="0" w:type="dxa"/>
            <w:right w:w="108" w:type="dxa"/>
          </w:tblCellMar>
        </w:tblPrEx>
        <w:tc>
          <w:tcPr>
            <w:tcW w:w="522" w:type="pct"/>
            <w:tcBorders>
              <w:top w:val="nil"/>
              <w:left w:val="nil"/>
              <w:bottom w:val="nil"/>
              <w:right w:val="nil"/>
            </w:tcBorders>
            <w:shd w:val="clear" w:color="auto" w:fill="FFFFFF"/>
            <w:vAlign w:val="center"/>
          </w:tcPr>
          <w:p w14:paraId="6EA8C117">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隧道监测</w:t>
            </w:r>
          </w:p>
        </w:tc>
        <w:tc>
          <w:tcPr>
            <w:tcW w:w="960" w:type="pct"/>
            <w:tcBorders>
              <w:top w:val="nil"/>
              <w:left w:val="nil"/>
              <w:bottom w:val="nil"/>
              <w:right w:val="nil"/>
            </w:tcBorders>
            <w:shd w:val="clear" w:color="auto" w:fill="FFFFFF"/>
            <w:vAlign w:val="center"/>
          </w:tcPr>
          <w:p w14:paraId="24EDF16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施工期收敛监测</w:t>
            </w:r>
          </w:p>
        </w:tc>
        <w:tc>
          <w:tcPr>
            <w:tcW w:w="0" w:type="auto"/>
            <w:tcBorders>
              <w:top w:val="nil"/>
              <w:left w:val="nil"/>
              <w:bottom w:val="nil"/>
              <w:right w:val="nil"/>
            </w:tcBorders>
            <w:shd w:val="clear" w:color="auto" w:fill="FFFFFF"/>
            <w:vAlign w:val="center"/>
          </w:tcPr>
          <w:p w14:paraId="63C77FE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中铁、中建等施工单位</w:t>
            </w:r>
          </w:p>
        </w:tc>
        <w:tc>
          <w:tcPr>
            <w:tcW w:w="0" w:type="auto"/>
            <w:tcBorders>
              <w:top w:val="nil"/>
              <w:left w:val="nil"/>
              <w:bottom w:val="nil"/>
              <w:right w:val="nil"/>
            </w:tcBorders>
            <w:shd w:val="clear" w:color="auto" w:fill="FFFFFF"/>
            <w:vAlign w:val="center"/>
          </w:tcPr>
          <w:p w14:paraId="685B03A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快速部署+高精度</w:t>
            </w:r>
          </w:p>
        </w:tc>
        <w:tc>
          <w:tcPr>
            <w:tcW w:w="0" w:type="auto"/>
            <w:tcBorders>
              <w:top w:val="nil"/>
              <w:left w:val="nil"/>
              <w:bottom w:val="nil"/>
              <w:right w:val="nil"/>
            </w:tcBorders>
            <w:shd w:val="clear" w:color="auto" w:fill="FFFFFF"/>
            <w:vAlign w:val="center"/>
          </w:tcPr>
          <w:p w14:paraId="3C28B34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25个项目</w:t>
            </w:r>
          </w:p>
        </w:tc>
        <w:tc>
          <w:tcPr>
            <w:tcW w:w="0" w:type="auto"/>
            <w:tcBorders>
              <w:top w:val="nil"/>
              <w:left w:val="nil"/>
              <w:bottom w:val="nil"/>
              <w:right w:val="nil"/>
            </w:tcBorders>
            <w:shd w:val="clear" w:color="auto" w:fill="FFFFFF"/>
            <w:vAlign w:val="center"/>
          </w:tcPr>
          <w:p w14:paraId="1D9BC94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实施团队建设</w:t>
            </w:r>
          </w:p>
        </w:tc>
      </w:tr>
      <w:tr w14:paraId="5D258983">
        <w:tblPrEx>
          <w:tblCellMar>
            <w:top w:w="0" w:type="dxa"/>
            <w:left w:w="108" w:type="dxa"/>
            <w:bottom w:w="0" w:type="dxa"/>
            <w:right w:w="108" w:type="dxa"/>
          </w:tblCellMar>
        </w:tblPrEx>
        <w:tc>
          <w:tcPr>
            <w:tcW w:w="522" w:type="pct"/>
            <w:tcBorders>
              <w:top w:val="nil"/>
              <w:left w:val="nil"/>
              <w:bottom w:val="nil"/>
              <w:right w:val="nil"/>
            </w:tcBorders>
            <w:shd w:val="clear" w:color="auto" w:fill="FFFFFF"/>
            <w:vAlign w:val="center"/>
          </w:tcPr>
          <w:p w14:paraId="0B4B3D98">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边坡监测</w:t>
            </w:r>
          </w:p>
        </w:tc>
        <w:tc>
          <w:tcPr>
            <w:tcW w:w="960" w:type="pct"/>
            <w:tcBorders>
              <w:top w:val="nil"/>
              <w:left w:val="nil"/>
              <w:bottom w:val="nil"/>
              <w:right w:val="nil"/>
            </w:tcBorders>
            <w:shd w:val="clear" w:color="auto" w:fill="FFFFFF"/>
            <w:vAlign w:val="center"/>
          </w:tcPr>
          <w:p w14:paraId="1C05741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地质灾害预警</w:t>
            </w:r>
          </w:p>
        </w:tc>
        <w:tc>
          <w:tcPr>
            <w:tcW w:w="0" w:type="auto"/>
            <w:tcBorders>
              <w:top w:val="nil"/>
              <w:left w:val="nil"/>
              <w:bottom w:val="nil"/>
              <w:right w:val="nil"/>
            </w:tcBorders>
            <w:shd w:val="clear" w:color="auto" w:fill="FFFFFF"/>
            <w:vAlign w:val="center"/>
          </w:tcPr>
          <w:p w14:paraId="19E30B3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自然资源局、矿山企业</w:t>
            </w:r>
          </w:p>
        </w:tc>
        <w:tc>
          <w:tcPr>
            <w:tcW w:w="0" w:type="auto"/>
            <w:tcBorders>
              <w:top w:val="nil"/>
              <w:left w:val="nil"/>
              <w:bottom w:val="nil"/>
              <w:right w:val="nil"/>
            </w:tcBorders>
            <w:shd w:val="clear" w:color="auto" w:fill="FFFFFF"/>
            <w:vAlign w:val="center"/>
          </w:tcPr>
          <w:p w14:paraId="39025F1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自动化+实时预警</w:t>
            </w:r>
          </w:p>
        </w:tc>
        <w:tc>
          <w:tcPr>
            <w:tcW w:w="0" w:type="auto"/>
            <w:tcBorders>
              <w:top w:val="nil"/>
              <w:left w:val="nil"/>
              <w:bottom w:val="nil"/>
              <w:right w:val="nil"/>
            </w:tcBorders>
            <w:shd w:val="clear" w:color="auto" w:fill="FFFFFF"/>
            <w:vAlign w:val="center"/>
          </w:tcPr>
          <w:p w14:paraId="25969BE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20个项目</w:t>
            </w:r>
          </w:p>
        </w:tc>
        <w:tc>
          <w:tcPr>
            <w:tcW w:w="0" w:type="auto"/>
            <w:tcBorders>
              <w:top w:val="nil"/>
              <w:left w:val="nil"/>
              <w:bottom w:val="nil"/>
              <w:right w:val="nil"/>
            </w:tcBorders>
            <w:shd w:val="clear" w:color="auto" w:fill="FFFFFF"/>
            <w:vAlign w:val="center"/>
          </w:tcPr>
          <w:p w14:paraId="739A883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算法优化投入</w:t>
            </w:r>
          </w:p>
        </w:tc>
      </w:tr>
      <w:tr w14:paraId="6CD4165E">
        <w:tblPrEx>
          <w:tblCellMar>
            <w:top w:w="0" w:type="dxa"/>
            <w:left w:w="108" w:type="dxa"/>
            <w:bottom w:w="0" w:type="dxa"/>
            <w:right w:w="108" w:type="dxa"/>
          </w:tblCellMar>
        </w:tblPrEx>
        <w:tc>
          <w:tcPr>
            <w:tcW w:w="522" w:type="pct"/>
            <w:tcBorders>
              <w:top w:val="nil"/>
              <w:left w:val="nil"/>
              <w:bottom w:val="single" w:color="000000" w:sz="12" w:space="0"/>
              <w:right w:val="nil"/>
            </w:tcBorders>
            <w:shd w:val="clear" w:color="auto" w:fill="FFFFFF"/>
            <w:vAlign w:val="center"/>
          </w:tcPr>
          <w:p w14:paraId="4F7C3AB0">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合计</w:t>
            </w:r>
          </w:p>
        </w:tc>
        <w:tc>
          <w:tcPr>
            <w:tcW w:w="960" w:type="pct"/>
            <w:tcBorders>
              <w:top w:val="nil"/>
              <w:left w:val="nil"/>
              <w:bottom w:val="single" w:color="000000" w:sz="12" w:space="0"/>
              <w:right w:val="nil"/>
            </w:tcBorders>
            <w:shd w:val="clear" w:color="auto" w:fill="FFFFFF"/>
            <w:vAlign w:val="center"/>
          </w:tcPr>
          <w:p w14:paraId="415B83B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w:t>
            </w:r>
          </w:p>
        </w:tc>
        <w:tc>
          <w:tcPr>
            <w:tcW w:w="0" w:type="auto"/>
            <w:tcBorders>
              <w:top w:val="nil"/>
              <w:left w:val="nil"/>
              <w:bottom w:val="single" w:color="000000" w:sz="12" w:space="0"/>
              <w:right w:val="nil"/>
            </w:tcBorders>
            <w:shd w:val="clear" w:color="auto" w:fill="FFFFFF"/>
            <w:vAlign w:val="center"/>
          </w:tcPr>
          <w:p w14:paraId="1E01D56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w:t>
            </w:r>
          </w:p>
        </w:tc>
        <w:tc>
          <w:tcPr>
            <w:tcW w:w="0" w:type="auto"/>
            <w:tcBorders>
              <w:top w:val="nil"/>
              <w:left w:val="nil"/>
              <w:bottom w:val="single" w:color="000000" w:sz="12" w:space="0"/>
              <w:right w:val="nil"/>
            </w:tcBorders>
            <w:shd w:val="clear" w:color="auto" w:fill="FFFFFF"/>
            <w:vAlign w:val="center"/>
          </w:tcPr>
          <w:p w14:paraId="7A8402F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w:t>
            </w:r>
          </w:p>
        </w:tc>
        <w:tc>
          <w:tcPr>
            <w:tcW w:w="0" w:type="auto"/>
            <w:tcBorders>
              <w:top w:val="nil"/>
              <w:left w:val="nil"/>
              <w:bottom w:val="single" w:color="000000" w:sz="12" w:space="0"/>
              <w:right w:val="nil"/>
            </w:tcBorders>
            <w:shd w:val="clear" w:color="auto" w:fill="FFFFFF"/>
            <w:vAlign w:val="center"/>
          </w:tcPr>
          <w:p w14:paraId="627340BF">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75个项目</w:t>
            </w:r>
          </w:p>
        </w:tc>
        <w:tc>
          <w:tcPr>
            <w:tcW w:w="0" w:type="auto"/>
            <w:tcBorders>
              <w:top w:val="nil"/>
              <w:left w:val="nil"/>
              <w:bottom w:val="single" w:color="000000" w:sz="12" w:space="0"/>
              <w:right w:val="nil"/>
            </w:tcBorders>
            <w:shd w:val="clear" w:color="auto" w:fill="FFFFFF"/>
            <w:vAlign w:val="center"/>
          </w:tcPr>
          <w:p w14:paraId="6357C508">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集中优势资源</w:t>
            </w:r>
          </w:p>
        </w:tc>
      </w:tr>
      <w:bookmarkEnd w:id="181"/>
      <w:bookmarkEnd w:id="182"/>
    </w:tbl>
    <w:p w14:paraId="7D9AB02C">
      <w:pPr>
        <w:pStyle w:val="5"/>
      </w:pPr>
      <w:bookmarkStart w:id="183" w:name="_Toc222822804"/>
      <w:bookmarkStart w:id="184" w:name="_Toc222913174"/>
      <w:bookmarkStart w:id="185" w:name="回款机制优化与资金周转率提升"/>
      <w:r>
        <w:t>5.2.3 回款机制优化与资金周转率提升</w:t>
      </w:r>
      <w:bookmarkEnd w:id="183"/>
      <w:bookmarkEnd w:id="184"/>
    </w:p>
    <w:p w14:paraId="198AE7C2">
      <w:pPr>
        <w:pStyle w:val="36"/>
        <w:spacing w:before="0" w:after="0" w:line="400" w:lineRule="exact"/>
        <w:ind w:firstLine="480" w:firstLineChars="200"/>
        <w:jc w:val="both"/>
        <w:rPr>
          <w:rFonts w:ascii="Times New Roman" w:hAnsi="Times New Roman"/>
          <w:lang w:eastAsia="zh-CN"/>
        </w:rPr>
      </w:pPr>
      <w:r>
        <w:rPr>
          <w:rFonts w:ascii="Times New Roman" w:hAnsi="Times New Roman"/>
        </w:rPr>
        <w:t>针对视频跟踪仪项目回款慢的问题，HSM制定系统性优化方案：</w:t>
      </w:r>
    </w:p>
    <w:p w14:paraId="436B0C1F">
      <w:pPr>
        <w:pStyle w:val="36"/>
        <w:spacing w:before="0" w:after="0" w:line="400" w:lineRule="exact"/>
        <w:ind w:firstLine="480" w:firstLineChars="200"/>
        <w:jc w:val="both"/>
        <w:rPr>
          <w:rFonts w:ascii="Times New Roman" w:hAnsi="Times New Roman"/>
          <w:lang w:eastAsia="zh-CN"/>
        </w:rPr>
      </w:pPr>
      <w:r>
        <w:rPr>
          <w:rFonts w:ascii="Times New Roman" w:hAnsi="Times New Roman"/>
        </w:rPr>
        <w:t>合同条款优化：增加预付款比例（从10%提升至30%），缩短中期付款节点</w:t>
      </w:r>
    </w:p>
    <w:p w14:paraId="11DF752F">
      <w:pPr>
        <w:pStyle w:val="36"/>
        <w:spacing w:before="0" w:after="0" w:line="400" w:lineRule="exact"/>
        <w:ind w:firstLine="480" w:firstLineChars="200"/>
        <w:jc w:val="both"/>
        <w:rPr>
          <w:rFonts w:ascii="Times New Roman" w:hAnsi="Times New Roman"/>
          <w:lang w:eastAsia="zh-CN"/>
        </w:rPr>
      </w:pPr>
      <w:r>
        <w:rPr>
          <w:rFonts w:ascii="Times New Roman" w:hAnsi="Times New Roman"/>
        </w:rPr>
        <w:t>客户信用管理：建立客户信用评级体系，对不同信用等级客户采取差异化的付款条件</w:t>
      </w:r>
    </w:p>
    <w:p w14:paraId="3C0A9E2D">
      <w:pPr>
        <w:pStyle w:val="36"/>
        <w:spacing w:before="0" w:after="0" w:line="400" w:lineRule="exact"/>
        <w:ind w:firstLine="480" w:firstLineChars="200"/>
        <w:jc w:val="both"/>
        <w:rPr>
          <w:rFonts w:ascii="Times New Roman" w:hAnsi="Times New Roman"/>
        </w:rPr>
      </w:pPr>
      <w:r>
        <w:rPr>
          <w:rFonts w:ascii="Times New Roman" w:hAnsi="Times New Roman"/>
        </w:rPr>
        <w:t>应收账款证券化：与金融机构合作，对优质项目的应收账款进行保理融资</w:t>
      </w:r>
    </w:p>
    <w:p w14:paraId="66999421">
      <w:pPr>
        <w:pStyle w:val="4"/>
        <w:keepNext/>
        <w:widowControl w:val="0"/>
        <w:spacing w:before="240" w:after="120"/>
        <w:jc w:val="center"/>
        <w:rPr>
          <w:rFonts w:ascii="Times New Roman" w:hAnsi="Times New Roman"/>
          <w:sz w:val="22"/>
        </w:rPr>
      </w:pPr>
      <w:bookmarkStart w:id="186" w:name="表5-4回款机制优化前后对比"/>
      <w:r>
        <w:rPr>
          <w:rFonts w:ascii="Times New Roman" w:hAnsi="Times New Roman"/>
          <w:sz w:val="22"/>
        </w:rPr>
        <w:t>表5</w:t>
      </w:r>
      <w:r>
        <w:rPr>
          <w:rFonts w:hint="eastAsia" w:ascii="Times New Roman" w:hAnsi="Times New Roman"/>
          <w:sz w:val="22"/>
          <w:lang w:eastAsia="zh-CN"/>
        </w:rPr>
        <w:t>.</w:t>
      </w:r>
      <w:r>
        <w:rPr>
          <w:rFonts w:ascii="Times New Roman" w:hAnsi="Times New Roman"/>
          <w:sz w:val="22"/>
        </w:rPr>
        <w:t>4：回款机制优化前后对比</w:t>
      </w:r>
    </w:p>
    <w:tbl>
      <w:tblPr>
        <w:tblStyle w:val="41"/>
        <w:tblW w:w="5000" w:type="pct"/>
        <w:tblInd w:w="0" w:type="dxa"/>
        <w:tblLayout w:type="autofit"/>
        <w:tblCellMar>
          <w:top w:w="0" w:type="dxa"/>
          <w:left w:w="108" w:type="dxa"/>
          <w:bottom w:w="0" w:type="dxa"/>
          <w:right w:w="108" w:type="dxa"/>
        </w:tblCellMar>
      </w:tblPr>
      <w:tblGrid>
        <w:gridCol w:w="1651"/>
        <w:gridCol w:w="1930"/>
        <w:gridCol w:w="2132"/>
        <w:gridCol w:w="1185"/>
        <w:gridCol w:w="2275"/>
      </w:tblGrid>
      <w:tr w14:paraId="05881CD0">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6E380D1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指标</w:t>
            </w:r>
          </w:p>
        </w:tc>
        <w:tc>
          <w:tcPr>
            <w:tcW w:w="0" w:type="auto"/>
            <w:tcBorders>
              <w:top w:val="single" w:color="000000" w:sz="12" w:space="0"/>
              <w:left w:val="nil"/>
              <w:bottom w:val="single" w:color="000000" w:sz="4" w:space="0"/>
              <w:right w:val="nil"/>
            </w:tcBorders>
            <w:shd w:val="clear" w:color="auto" w:fill="FFFFFF"/>
            <w:vAlign w:val="center"/>
          </w:tcPr>
          <w:p w14:paraId="5AEA7DB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优化前（2024年）</w:t>
            </w:r>
          </w:p>
        </w:tc>
        <w:tc>
          <w:tcPr>
            <w:tcW w:w="0" w:type="auto"/>
            <w:tcBorders>
              <w:top w:val="single" w:color="000000" w:sz="12" w:space="0"/>
              <w:left w:val="nil"/>
              <w:bottom w:val="single" w:color="000000" w:sz="4" w:space="0"/>
              <w:right w:val="nil"/>
            </w:tcBorders>
            <w:shd w:val="clear" w:color="auto" w:fill="FFFFFF"/>
            <w:vAlign w:val="center"/>
          </w:tcPr>
          <w:p w14:paraId="2BE4CAE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优化目标（2026年）</w:t>
            </w:r>
          </w:p>
        </w:tc>
        <w:tc>
          <w:tcPr>
            <w:tcW w:w="0" w:type="auto"/>
            <w:tcBorders>
              <w:top w:val="single" w:color="000000" w:sz="12" w:space="0"/>
              <w:left w:val="nil"/>
              <w:bottom w:val="single" w:color="000000" w:sz="4" w:space="0"/>
              <w:right w:val="nil"/>
            </w:tcBorders>
            <w:shd w:val="clear" w:color="auto" w:fill="FFFFFF"/>
            <w:vAlign w:val="center"/>
          </w:tcPr>
          <w:p w14:paraId="670D552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改善幅度</w:t>
            </w:r>
          </w:p>
        </w:tc>
        <w:tc>
          <w:tcPr>
            <w:tcW w:w="0" w:type="auto"/>
            <w:tcBorders>
              <w:top w:val="single" w:color="000000" w:sz="12" w:space="0"/>
              <w:left w:val="nil"/>
              <w:bottom w:val="single" w:color="000000" w:sz="4" w:space="0"/>
              <w:right w:val="nil"/>
            </w:tcBorders>
            <w:shd w:val="clear" w:color="auto" w:fill="FFFFFF"/>
            <w:vAlign w:val="center"/>
          </w:tcPr>
          <w:p w14:paraId="26A4611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具体措施</w:t>
            </w:r>
          </w:p>
        </w:tc>
      </w:tr>
      <w:tr w14:paraId="625B7CF9">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511EC072">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平均回款周期</w:t>
            </w:r>
          </w:p>
        </w:tc>
        <w:tc>
          <w:tcPr>
            <w:tcW w:w="0" w:type="auto"/>
            <w:tcBorders>
              <w:top w:val="single" w:color="000000" w:sz="4" w:space="0"/>
              <w:left w:val="nil"/>
              <w:bottom w:val="nil"/>
              <w:right w:val="nil"/>
            </w:tcBorders>
            <w:shd w:val="clear" w:color="auto" w:fill="FFFFFF"/>
            <w:vAlign w:val="center"/>
          </w:tcPr>
          <w:p w14:paraId="3E3E26D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270天</w:t>
            </w:r>
          </w:p>
        </w:tc>
        <w:tc>
          <w:tcPr>
            <w:tcW w:w="0" w:type="auto"/>
            <w:tcBorders>
              <w:top w:val="single" w:color="000000" w:sz="4" w:space="0"/>
              <w:left w:val="nil"/>
              <w:bottom w:val="nil"/>
              <w:right w:val="nil"/>
            </w:tcBorders>
            <w:shd w:val="clear" w:color="auto" w:fill="FFFFFF"/>
            <w:vAlign w:val="center"/>
          </w:tcPr>
          <w:p w14:paraId="200E357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120天</w:t>
            </w:r>
          </w:p>
        </w:tc>
        <w:tc>
          <w:tcPr>
            <w:tcW w:w="0" w:type="auto"/>
            <w:tcBorders>
              <w:top w:val="single" w:color="000000" w:sz="4" w:space="0"/>
              <w:left w:val="nil"/>
              <w:bottom w:val="nil"/>
              <w:right w:val="nil"/>
            </w:tcBorders>
            <w:shd w:val="clear" w:color="auto" w:fill="FFFFFF"/>
            <w:vAlign w:val="center"/>
          </w:tcPr>
          <w:p w14:paraId="403DBFF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缩短55%</w:t>
            </w:r>
          </w:p>
        </w:tc>
        <w:tc>
          <w:tcPr>
            <w:tcW w:w="0" w:type="auto"/>
            <w:tcBorders>
              <w:top w:val="single" w:color="000000" w:sz="4" w:space="0"/>
              <w:left w:val="nil"/>
              <w:bottom w:val="nil"/>
              <w:right w:val="nil"/>
            </w:tcBorders>
            <w:shd w:val="clear" w:color="auto" w:fill="FFFFFF"/>
            <w:vAlign w:val="center"/>
          </w:tcPr>
          <w:p w14:paraId="583E169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预付款提升、节点优化</w:t>
            </w:r>
          </w:p>
        </w:tc>
      </w:tr>
      <w:tr w14:paraId="368DDD1B">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D0D9028">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应收账款周转率</w:t>
            </w:r>
          </w:p>
        </w:tc>
        <w:tc>
          <w:tcPr>
            <w:tcW w:w="0" w:type="auto"/>
            <w:tcBorders>
              <w:top w:val="nil"/>
              <w:left w:val="nil"/>
              <w:bottom w:val="nil"/>
              <w:right w:val="nil"/>
            </w:tcBorders>
            <w:shd w:val="clear" w:color="auto" w:fill="FFFFFF"/>
            <w:vAlign w:val="center"/>
          </w:tcPr>
          <w:p w14:paraId="27D2F89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1.33次/年</w:t>
            </w:r>
          </w:p>
        </w:tc>
        <w:tc>
          <w:tcPr>
            <w:tcW w:w="0" w:type="auto"/>
            <w:tcBorders>
              <w:top w:val="nil"/>
              <w:left w:val="nil"/>
              <w:bottom w:val="nil"/>
              <w:right w:val="nil"/>
            </w:tcBorders>
            <w:shd w:val="clear" w:color="auto" w:fill="FFFFFF"/>
            <w:vAlign w:val="center"/>
          </w:tcPr>
          <w:p w14:paraId="5C90DA8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3.0次/年</w:t>
            </w:r>
          </w:p>
        </w:tc>
        <w:tc>
          <w:tcPr>
            <w:tcW w:w="0" w:type="auto"/>
            <w:tcBorders>
              <w:top w:val="nil"/>
              <w:left w:val="nil"/>
              <w:bottom w:val="nil"/>
              <w:right w:val="nil"/>
            </w:tcBorders>
            <w:shd w:val="clear" w:color="auto" w:fill="FFFFFF"/>
            <w:vAlign w:val="center"/>
          </w:tcPr>
          <w:p w14:paraId="4B6BFFE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提升125%</w:t>
            </w:r>
          </w:p>
        </w:tc>
        <w:tc>
          <w:tcPr>
            <w:tcW w:w="0" w:type="auto"/>
            <w:tcBorders>
              <w:top w:val="nil"/>
              <w:left w:val="nil"/>
              <w:bottom w:val="nil"/>
              <w:right w:val="nil"/>
            </w:tcBorders>
            <w:shd w:val="clear" w:color="auto" w:fill="FFFFFF"/>
            <w:vAlign w:val="center"/>
          </w:tcPr>
          <w:p w14:paraId="3DCDC62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信用管理、金融工具</w:t>
            </w:r>
          </w:p>
        </w:tc>
      </w:tr>
      <w:tr w14:paraId="58D999A5">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F06A98B">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坏账率</w:t>
            </w:r>
          </w:p>
        </w:tc>
        <w:tc>
          <w:tcPr>
            <w:tcW w:w="0" w:type="auto"/>
            <w:tcBorders>
              <w:top w:val="nil"/>
              <w:left w:val="nil"/>
              <w:bottom w:val="nil"/>
              <w:right w:val="nil"/>
            </w:tcBorders>
            <w:shd w:val="clear" w:color="auto" w:fill="FFFFFF"/>
            <w:vAlign w:val="center"/>
          </w:tcPr>
          <w:p w14:paraId="0F0349A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3.5%</w:t>
            </w:r>
          </w:p>
        </w:tc>
        <w:tc>
          <w:tcPr>
            <w:tcW w:w="0" w:type="auto"/>
            <w:tcBorders>
              <w:top w:val="nil"/>
              <w:left w:val="nil"/>
              <w:bottom w:val="nil"/>
              <w:right w:val="nil"/>
            </w:tcBorders>
            <w:shd w:val="clear" w:color="auto" w:fill="FFFFFF"/>
            <w:vAlign w:val="center"/>
          </w:tcPr>
          <w:p w14:paraId="23041CC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1.5%</w:t>
            </w:r>
          </w:p>
        </w:tc>
        <w:tc>
          <w:tcPr>
            <w:tcW w:w="0" w:type="auto"/>
            <w:tcBorders>
              <w:top w:val="nil"/>
              <w:left w:val="nil"/>
              <w:bottom w:val="nil"/>
              <w:right w:val="nil"/>
            </w:tcBorders>
            <w:shd w:val="clear" w:color="auto" w:fill="FFFFFF"/>
            <w:vAlign w:val="center"/>
          </w:tcPr>
          <w:p w14:paraId="7DA6DEF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降低57%</w:t>
            </w:r>
          </w:p>
        </w:tc>
        <w:tc>
          <w:tcPr>
            <w:tcW w:w="0" w:type="auto"/>
            <w:tcBorders>
              <w:top w:val="nil"/>
              <w:left w:val="nil"/>
              <w:bottom w:val="nil"/>
              <w:right w:val="nil"/>
            </w:tcBorders>
            <w:shd w:val="clear" w:color="auto" w:fill="FFFFFF"/>
            <w:vAlign w:val="center"/>
          </w:tcPr>
          <w:p w14:paraId="41B95D5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客户筛选、风险控制</w:t>
            </w:r>
          </w:p>
        </w:tc>
      </w:tr>
      <w:tr w14:paraId="24F867EC">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A970E2A">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资金占用成本</w:t>
            </w:r>
          </w:p>
        </w:tc>
        <w:tc>
          <w:tcPr>
            <w:tcW w:w="0" w:type="auto"/>
            <w:tcBorders>
              <w:top w:val="nil"/>
              <w:left w:val="nil"/>
              <w:bottom w:val="nil"/>
              <w:right w:val="nil"/>
            </w:tcBorders>
            <w:shd w:val="clear" w:color="auto" w:fill="FFFFFF"/>
            <w:vAlign w:val="center"/>
          </w:tcPr>
          <w:p w14:paraId="5A0ECC7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8.2%</w:t>
            </w:r>
          </w:p>
        </w:tc>
        <w:tc>
          <w:tcPr>
            <w:tcW w:w="0" w:type="auto"/>
            <w:tcBorders>
              <w:top w:val="nil"/>
              <w:left w:val="nil"/>
              <w:bottom w:val="nil"/>
              <w:right w:val="nil"/>
            </w:tcBorders>
            <w:shd w:val="clear" w:color="auto" w:fill="FFFFFF"/>
            <w:vAlign w:val="center"/>
          </w:tcPr>
          <w:p w14:paraId="20C38B3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4.5%</w:t>
            </w:r>
          </w:p>
        </w:tc>
        <w:tc>
          <w:tcPr>
            <w:tcW w:w="0" w:type="auto"/>
            <w:tcBorders>
              <w:top w:val="nil"/>
              <w:left w:val="nil"/>
              <w:bottom w:val="nil"/>
              <w:right w:val="nil"/>
            </w:tcBorders>
            <w:shd w:val="clear" w:color="auto" w:fill="FFFFFF"/>
            <w:vAlign w:val="center"/>
          </w:tcPr>
          <w:p w14:paraId="1F7A00B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降低45%</w:t>
            </w:r>
          </w:p>
        </w:tc>
        <w:tc>
          <w:tcPr>
            <w:tcW w:w="0" w:type="auto"/>
            <w:tcBorders>
              <w:top w:val="nil"/>
              <w:left w:val="nil"/>
              <w:bottom w:val="nil"/>
              <w:right w:val="nil"/>
            </w:tcBorders>
            <w:shd w:val="clear" w:color="auto" w:fill="FFFFFF"/>
            <w:vAlign w:val="center"/>
          </w:tcPr>
          <w:p w14:paraId="063782F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优化付款节奏</w:t>
            </w:r>
          </w:p>
        </w:tc>
      </w:tr>
      <w:tr w14:paraId="4EA5312C">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04BA5A6B">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现金流健康度</w:t>
            </w:r>
          </w:p>
        </w:tc>
        <w:tc>
          <w:tcPr>
            <w:tcW w:w="0" w:type="auto"/>
            <w:tcBorders>
              <w:top w:val="nil"/>
              <w:left w:val="nil"/>
              <w:bottom w:val="single" w:color="000000" w:sz="12" w:space="0"/>
              <w:right w:val="nil"/>
            </w:tcBorders>
            <w:shd w:val="clear" w:color="auto" w:fill="FFFFFF"/>
            <w:vAlign w:val="center"/>
          </w:tcPr>
          <w:p w14:paraId="51D0270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紧张</w:t>
            </w:r>
          </w:p>
        </w:tc>
        <w:tc>
          <w:tcPr>
            <w:tcW w:w="0" w:type="auto"/>
            <w:tcBorders>
              <w:top w:val="nil"/>
              <w:left w:val="nil"/>
              <w:bottom w:val="single" w:color="000000" w:sz="12" w:space="0"/>
              <w:right w:val="nil"/>
            </w:tcBorders>
            <w:shd w:val="clear" w:color="auto" w:fill="FFFFFF"/>
            <w:vAlign w:val="center"/>
          </w:tcPr>
          <w:p w14:paraId="692B9664">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良好</w:t>
            </w:r>
          </w:p>
        </w:tc>
        <w:tc>
          <w:tcPr>
            <w:tcW w:w="0" w:type="auto"/>
            <w:tcBorders>
              <w:top w:val="nil"/>
              <w:left w:val="nil"/>
              <w:bottom w:val="single" w:color="000000" w:sz="12" w:space="0"/>
              <w:right w:val="nil"/>
            </w:tcBorders>
            <w:shd w:val="clear" w:color="auto" w:fill="FFFFFF"/>
            <w:vAlign w:val="center"/>
          </w:tcPr>
          <w:p w14:paraId="66B9F08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显著改善</w:t>
            </w:r>
          </w:p>
        </w:tc>
        <w:tc>
          <w:tcPr>
            <w:tcW w:w="0" w:type="auto"/>
            <w:tcBorders>
              <w:top w:val="nil"/>
              <w:left w:val="nil"/>
              <w:bottom w:val="single" w:color="000000" w:sz="12" w:space="0"/>
              <w:right w:val="nil"/>
            </w:tcBorders>
            <w:shd w:val="clear" w:color="auto" w:fill="FFFFFF"/>
            <w:vAlign w:val="center"/>
          </w:tcPr>
          <w:p w14:paraId="4F1ABE67">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综合优化</w:t>
            </w:r>
          </w:p>
        </w:tc>
      </w:tr>
      <w:bookmarkEnd w:id="174"/>
      <w:bookmarkEnd w:id="185"/>
      <w:bookmarkEnd w:id="186"/>
    </w:tbl>
    <w:p w14:paraId="60DDF881">
      <w:pPr>
        <w:pStyle w:val="3"/>
      </w:pPr>
      <w:bookmarkStart w:id="187" w:name="_Toc222822805"/>
      <w:bookmarkStart w:id="188" w:name="_Toc222913175"/>
      <w:bookmarkStart w:id="189" w:name="组织架构资源重新配置与团队转型"/>
      <w:r>
        <w:t>5.3资源重新配置与团队转型</w:t>
      </w:r>
      <w:bookmarkEnd w:id="187"/>
      <w:bookmarkEnd w:id="188"/>
    </w:p>
    <w:p w14:paraId="57D06E52">
      <w:pPr>
        <w:pStyle w:val="36"/>
        <w:spacing w:before="0" w:after="0" w:line="400" w:lineRule="exact"/>
        <w:ind w:firstLine="480" w:firstLineChars="200"/>
        <w:jc w:val="both"/>
        <w:rPr>
          <w:rFonts w:ascii="Times New Roman" w:hAnsi="Times New Roman"/>
        </w:rPr>
      </w:pPr>
      <w:r>
        <w:rPr>
          <w:rFonts w:ascii="Times New Roman" w:hAnsi="Times New Roman"/>
        </w:rPr>
        <w:t>为支撑产品线差异化战略，HSM对组织架构进行系统性重组。</w:t>
      </w:r>
    </w:p>
    <w:p w14:paraId="19A5944E">
      <w:pPr>
        <w:pStyle w:val="5"/>
      </w:pPr>
      <w:bookmarkStart w:id="190" w:name="_Toc222822806"/>
      <w:bookmarkStart w:id="191" w:name="_Toc222913176"/>
      <w:bookmarkStart w:id="192" w:name="研发资源向标准化产品倾斜"/>
      <w:r>
        <w:t>5.3.1 研发资源向标准化产品倾斜</w:t>
      </w:r>
      <w:bookmarkEnd w:id="190"/>
      <w:bookmarkEnd w:id="191"/>
    </w:p>
    <w:p w14:paraId="477EAB82">
      <w:pPr>
        <w:pStyle w:val="36"/>
        <w:spacing w:before="0" w:after="0" w:line="400" w:lineRule="exact"/>
        <w:ind w:firstLine="480" w:firstLineChars="200"/>
        <w:jc w:val="both"/>
        <w:rPr>
          <w:rFonts w:ascii="Times New Roman" w:hAnsi="Times New Roman"/>
          <w:lang w:eastAsia="zh-CN"/>
        </w:rPr>
      </w:pPr>
      <w:r>
        <w:rPr>
          <w:rFonts w:ascii="Times New Roman" w:hAnsi="Times New Roman"/>
        </w:rPr>
        <w:t>基于”减少售前，增大研发”的原则，重新配置研发资源：</w:t>
      </w:r>
    </w:p>
    <w:p w14:paraId="6CF09563">
      <w:pPr>
        <w:pStyle w:val="36"/>
        <w:spacing w:before="0" w:after="0" w:line="400" w:lineRule="exact"/>
        <w:ind w:firstLine="480" w:firstLineChars="200"/>
        <w:jc w:val="both"/>
        <w:rPr>
          <w:rFonts w:ascii="Times New Roman" w:hAnsi="Times New Roman"/>
          <w:lang w:eastAsia="zh-CN"/>
        </w:rPr>
      </w:pPr>
      <w:r>
        <w:rPr>
          <w:rFonts w:ascii="Times New Roman" w:hAnsi="Times New Roman"/>
        </w:rPr>
        <w:t>研发人员重新分配：将视频跟踪仪定制开发团队50%的人员转向标准化产品研发</w:t>
      </w:r>
    </w:p>
    <w:p w14:paraId="75C6AB21">
      <w:pPr>
        <w:pStyle w:val="36"/>
        <w:spacing w:before="0" w:after="0" w:line="400" w:lineRule="exact"/>
        <w:ind w:firstLine="480" w:firstLineChars="200"/>
        <w:jc w:val="both"/>
        <w:rPr>
          <w:rFonts w:ascii="Times New Roman" w:hAnsi="Times New Roman"/>
          <w:lang w:eastAsia="zh-CN"/>
        </w:rPr>
      </w:pPr>
      <w:r>
        <w:rPr>
          <w:rFonts w:ascii="Times New Roman" w:hAnsi="Times New Roman"/>
        </w:rPr>
        <w:t>建立产品线研发中心：分别为三条产品线设立独立的研发团队，专注各自领域技术突破</w:t>
      </w:r>
    </w:p>
    <w:p w14:paraId="53F8AE5B">
      <w:pPr>
        <w:pStyle w:val="36"/>
        <w:spacing w:before="0" w:after="0" w:line="400" w:lineRule="exact"/>
        <w:ind w:firstLine="480" w:firstLineChars="200"/>
        <w:jc w:val="both"/>
        <w:rPr>
          <w:rFonts w:ascii="Times New Roman" w:hAnsi="Times New Roman"/>
        </w:rPr>
      </w:pPr>
      <w:r>
        <w:rPr>
          <w:rFonts w:ascii="Times New Roman" w:hAnsi="Times New Roman"/>
        </w:rPr>
        <w:t>创新激励机制：设立产品创新奖，鼓励研发人员申报专利、发表论文</w:t>
      </w:r>
    </w:p>
    <w:p w14:paraId="148FAF56">
      <w:pPr>
        <w:pStyle w:val="4"/>
        <w:keepNext/>
        <w:widowControl w:val="0"/>
        <w:spacing w:before="240" w:after="120"/>
        <w:jc w:val="center"/>
        <w:rPr>
          <w:rFonts w:ascii="Times New Roman" w:hAnsi="Times New Roman"/>
          <w:sz w:val="22"/>
        </w:rPr>
      </w:pPr>
      <w:bookmarkStart w:id="193" w:name="表5-5研发资源重新配置方案"/>
      <w:r>
        <w:rPr>
          <w:rFonts w:ascii="Times New Roman" w:hAnsi="Times New Roman"/>
          <w:sz w:val="22"/>
        </w:rPr>
        <w:t>表5</w:t>
      </w:r>
      <w:r>
        <w:rPr>
          <w:rFonts w:hint="eastAsia" w:ascii="Times New Roman" w:hAnsi="Times New Roman"/>
          <w:sz w:val="22"/>
          <w:lang w:eastAsia="zh-CN"/>
        </w:rPr>
        <w:t>.</w:t>
      </w:r>
      <w:r>
        <w:rPr>
          <w:rFonts w:ascii="Times New Roman" w:hAnsi="Times New Roman"/>
          <w:sz w:val="22"/>
        </w:rPr>
        <w:t>5：研发资源重新配置方案</w:t>
      </w:r>
    </w:p>
    <w:tbl>
      <w:tblPr>
        <w:tblStyle w:val="41"/>
        <w:tblW w:w="4882" w:type="pct"/>
        <w:tblInd w:w="0" w:type="dxa"/>
        <w:tblLayout w:type="autofit"/>
        <w:tblCellMar>
          <w:top w:w="0" w:type="dxa"/>
          <w:left w:w="108" w:type="dxa"/>
          <w:bottom w:w="0" w:type="dxa"/>
          <w:right w:w="108" w:type="dxa"/>
        </w:tblCellMar>
      </w:tblPr>
      <w:tblGrid>
        <w:gridCol w:w="1302"/>
        <w:gridCol w:w="2614"/>
        <w:gridCol w:w="2042"/>
        <w:gridCol w:w="1869"/>
        <w:gridCol w:w="1130"/>
      </w:tblGrid>
      <w:tr w14:paraId="4DE2AFAD">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4C0DA1D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资源类型</w:t>
            </w:r>
          </w:p>
        </w:tc>
        <w:tc>
          <w:tcPr>
            <w:tcW w:w="0" w:type="auto"/>
            <w:tcBorders>
              <w:top w:val="single" w:color="000000" w:sz="12" w:space="0"/>
              <w:left w:val="nil"/>
              <w:bottom w:val="single" w:color="000000" w:sz="4" w:space="0"/>
              <w:right w:val="nil"/>
            </w:tcBorders>
            <w:shd w:val="clear" w:color="auto" w:fill="FFFFFF"/>
            <w:vAlign w:val="center"/>
          </w:tcPr>
          <w:p w14:paraId="4CDD30A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视频引伸计/应变仪（优化后）</w:t>
            </w:r>
          </w:p>
        </w:tc>
        <w:tc>
          <w:tcPr>
            <w:tcW w:w="0" w:type="auto"/>
            <w:tcBorders>
              <w:top w:val="single" w:color="000000" w:sz="12" w:space="0"/>
              <w:left w:val="nil"/>
              <w:bottom w:val="single" w:color="000000" w:sz="4" w:space="0"/>
              <w:right w:val="nil"/>
            </w:tcBorders>
            <w:shd w:val="clear" w:color="auto" w:fill="FFFFFF"/>
            <w:vAlign w:val="center"/>
          </w:tcPr>
          <w:p w14:paraId="3E5BC3E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视频跟踪仪（优化后）</w:t>
            </w:r>
          </w:p>
        </w:tc>
        <w:tc>
          <w:tcPr>
            <w:tcW w:w="0" w:type="auto"/>
            <w:tcBorders>
              <w:top w:val="single" w:color="000000" w:sz="12" w:space="0"/>
              <w:left w:val="nil"/>
              <w:bottom w:val="single" w:color="000000" w:sz="4" w:space="0"/>
              <w:right w:val="nil"/>
            </w:tcBorders>
            <w:shd w:val="clear" w:color="auto" w:fill="FFFFFF"/>
            <w:vAlign w:val="center"/>
          </w:tcPr>
          <w:p w14:paraId="2C73927C">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新产品研发（新增）</w:t>
            </w:r>
          </w:p>
        </w:tc>
        <w:tc>
          <w:tcPr>
            <w:tcW w:w="0" w:type="auto"/>
            <w:tcBorders>
              <w:top w:val="single" w:color="000000" w:sz="12" w:space="0"/>
              <w:left w:val="nil"/>
              <w:bottom w:val="single" w:color="000000" w:sz="4" w:space="0"/>
              <w:right w:val="nil"/>
            </w:tcBorders>
            <w:shd w:val="clear" w:color="auto" w:fill="FFFFFF"/>
            <w:vAlign w:val="center"/>
          </w:tcPr>
          <w:p w14:paraId="42C998B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总体变化</w:t>
            </w:r>
          </w:p>
        </w:tc>
      </w:tr>
      <w:tr w14:paraId="29A8DFBB">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5B2698F5">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研发人员数量</w:t>
            </w:r>
          </w:p>
        </w:tc>
        <w:tc>
          <w:tcPr>
            <w:tcW w:w="0" w:type="auto"/>
            <w:tcBorders>
              <w:top w:val="single" w:color="000000" w:sz="4" w:space="0"/>
              <w:left w:val="nil"/>
              <w:bottom w:val="nil"/>
              <w:right w:val="nil"/>
            </w:tcBorders>
            <w:shd w:val="clear" w:color="auto" w:fill="FFFFFF"/>
            <w:vAlign w:val="center"/>
          </w:tcPr>
          <w:p w14:paraId="6069526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25人（+8人）</w:t>
            </w:r>
          </w:p>
        </w:tc>
        <w:tc>
          <w:tcPr>
            <w:tcW w:w="0" w:type="auto"/>
            <w:tcBorders>
              <w:top w:val="single" w:color="000000" w:sz="4" w:space="0"/>
              <w:left w:val="nil"/>
              <w:bottom w:val="nil"/>
              <w:right w:val="nil"/>
            </w:tcBorders>
            <w:shd w:val="clear" w:color="auto" w:fill="FFFFFF"/>
            <w:vAlign w:val="center"/>
          </w:tcPr>
          <w:p w14:paraId="0059264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15人（-10人）</w:t>
            </w:r>
          </w:p>
        </w:tc>
        <w:tc>
          <w:tcPr>
            <w:tcW w:w="0" w:type="auto"/>
            <w:tcBorders>
              <w:top w:val="single" w:color="000000" w:sz="4" w:space="0"/>
              <w:left w:val="nil"/>
              <w:bottom w:val="nil"/>
              <w:right w:val="nil"/>
            </w:tcBorders>
            <w:shd w:val="clear" w:color="auto" w:fill="FFFFFF"/>
            <w:vAlign w:val="center"/>
          </w:tcPr>
          <w:p w14:paraId="385D2E2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10人（新增）</w:t>
            </w:r>
          </w:p>
        </w:tc>
        <w:tc>
          <w:tcPr>
            <w:tcW w:w="0" w:type="auto"/>
            <w:tcBorders>
              <w:top w:val="single" w:color="000000" w:sz="4" w:space="0"/>
              <w:left w:val="nil"/>
              <w:bottom w:val="nil"/>
              <w:right w:val="nil"/>
            </w:tcBorders>
            <w:shd w:val="clear" w:color="auto" w:fill="FFFFFF"/>
            <w:vAlign w:val="center"/>
          </w:tcPr>
          <w:p w14:paraId="7BA6792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总数50人</w:t>
            </w:r>
          </w:p>
        </w:tc>
      </w:tr>
      <w:tr w14:paraId="5ADC96FD">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314CD98">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研发预算占比</w:t>
            </w:r>
          </w:p>
        </w:tc>
        <w:tc>
          <w:tcPr>
            <w:tcW w:w="0" w:type="auto"/>
            <w:tcBorders>
              <w:top w:val="nil"/>
              <w:left w:val="nil"/>
              <w:bottom w:val="nil"/>
              <w:right w:val="nil"/>
            </w:tcBorders>
            <w:shd w:val="clear" w:color="auto" w:fill="FFFFFF"/>
            <w:vAlign w:val="center"/>
          </w:tcPr>
          <w:p w14:paraId="05CE59E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50%</w:t>
            </w:r>
          </w:p>
        </w:tc>
        <w:tc>
          <w:tcPr>
            <w:tcW w:w="0" w:type="auto"/>
            <w:tcBorders>
              <w:top w:val="nil"/>
              <w:left w:val="nil"/>
              <w:bottom w:val="nil"/>
              <w:right w:val="nil"/>
            </w:tcBorders>
            <w:shd w:val="clear" w:color="auto" w:fill="FFFFFF"/>
            <w:vAlign w:val="center"/>
          </w:tcPr>
          <w:p w14:paraId="6A3B241F">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30%</w:t>
            </w:r>
          </w:p>
        </w:tc>
        <w:tc>
          <w:tcPr>
            <w:tcW w:w="0" w:type="auto"/>
            <w:tcBorders>
              <w:top w:val="nil"/>
              <w:left w:val="nil"/>
              <w:bottom w:val="nil"/>
              <w:right w:val="nil"/>
            </w:tcBorders>
            <w:shd w:val="clear" w:color="auto" w:fill="FFFFFF"/>
            <w:vAlign w:val="center"/>
          </w:tcPr>
          <w:p w14:paraId="4D789B3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20%</w:t>
            </w:r>
          </w:p>
        </w:tc>
        <w:tc>
          <w:tcPr>
            <w:tcW w:w="0" w:type="auto"/>
            <w:tcBorders>
              <w:top w:val="nil"/>
              <w:left w:val="nil"/>
              <w:bottom w:val="nil"/>
              <w:right w:val="nil"/>
            </w:tcBorders>
            <w:shd w:val="clear" w:color="auto" w:fill="FFFFFF"/>
            <w:vAlign w:val="center"/>
          </w:tcPr>
          <w:p w14:paraId="3DF786A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重新分配</w:t>
            </w:r>
          </w:p>
        </w:tc>
      </w:tr>
      <w:tr w14:paraId="2CCCE236">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5676CC68">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bCs/>
                <w:color w:val="000000"/>
                <w:sz w:val="22"/>
              </w:rPr>
              <w:t>专利产出目标</w:t>
            </w:r>
          </w:p>
        </w:tc>
        <w:tc>
          <w:tcPr>
            <w:tcW w:w="0" w:type="auto"/>
            <w:tcBorders>
              <w:top w:val="nil"/>
              <w:left w:val="nil"/>
              <w:bottom w:val="nil"/>
              <w:right w:val="nil"/>
            </w:tcBorders>
            <w:shd w:val="clear" w:color="auto" w:fill="FFFFFF"/>
            <w:vAlign w:val="center"/>
          </w:tcPr>
          <w:p w14:paraId="22A1B28E">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8项/年</w:t>
            </w:r>
          </w:p>
        </w:tc>
        <w:tc>
          <w:tcPr>
            <w:tcW w:w="0" w:type="auto"/>
            <w:tcBorders>
              <w:top w:val="nil"/>
              <w:left w:val="nil"/>
              <w:bottom w:val="nil"/>
              <w:right w:val="nil"/>
            </w:tcBorders>
            <w:shd w:val="clear" w:color="auto" w:fill="FFFFFF"/>
            <w:vAlign w:val="center"/>
          </w:tcPr>
          <w:p w14:paraId="76BBC295">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5项/年</w:t>
            </w:r>
          </w:p>
        </w:tc>
        <w:tc>
          <w:tcPr>
            <w:tcW w:w="0" w:type="auto"/>
            <w:tcBorders>
              <w:top w:val="nil"/>
              <w:left w:val="nil"/>
              <w:bottom w:val="nil"/>
              <w:right w:val="nil"/>
            </w:tcBorders>
            <w:shd w:val="clear" w:color="auto" w:fill="FFFFFF"/>
            <w:vAlign w:val="center"/>
          </w:tcPr>
          <w:p w14:paraId="0312D297">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5项/年</w:t>
            </w:r>
          </w:p>
        </w:tc>
        <w:tc>
          <w:tcPr>
            <w:tcW w:w="0" w:type="auto"/>
            <w:tcBorders>
              <w:top w:val="nil"/>
              <w:left w:val="nil"/>
              <w:bottom w:val="nil"/>
              <w:right w:val="nil"/>
            </w:tcBorders>
            <w:shd w:val="clear" w:color="auto" w:fill="FFFFFF"/>
            <w:vAlign w:val="center"/>
          </w:tcPr>
          <w:p w14:paraId="487024F4">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18项/年</w:t>
            </w:r>
          </w:p>
        </w:tc>
      </w:tr>
      <w:tr w14:paraId="20E4DA19">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63CAAAF2">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bCs/>
                <w:color w:val="000000"/>
                <w:sz w:val="22"/>
              </w:rPr>
              <w:t>核心技术突破</w:t>
            </w:r>
          </w:p>
        </w:tc>
        <w:tc>
          <w:tcPr>
            <w:tcW w:w="0" w:type="auto"/>
            <w:tcBorders>
              <w:top w:val="nil"/>
              <w:left w:val="nil"/>
              <w:bottom w:val="nil"/>
              <w:right w:val="nil"/>
            </w:tcBorders>
            <w:shd w:val="clear" w:color="auto" w:fill="FFFFFF"/>
            <w:vAlign w:val="center"/>
          </w:tcPr>
          <w:p w14:paraId="31C91FB4">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测量精度提升</w:t>
            </w:r>
          </w:p>
        </w:tc>
        <w:tc>
          <w:tcPr>
            <w:tcW w:w="0" w:type="auto"/>
            <w:tcBorders>
              <w:top w:val="nil"/>
              <w:left w:val="nil"/>
              <w:bottom w:val="nil"/>
              <w:right w:val="nil"/>
            </w:tcBorders>
            <w:shd w:val="clear" w:color="auto" w:fill="FFFFFF"/>
            <w:vAlign w:val="center"/>
          </w:tcPr>
          <w:p w14:paraId="4EE0A82F">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垂直领域算法</w:t>
            </w:r>
          </w:p>
        </w:tc>
        <w:tc>
          <w:tcPr>
            <w:tcW w:w="0" w:type="auto"/>
            <w:tcBorders>
              <w:top w:val="nil"/>
              <w:left w:val="nil"/>
              <w:bottom w:val="nil"/>
              <w:right w:val="nil"/>
            </w:tcBorders>
            <w:shd w:val="clear" w:color="auto" w:fill="FFFFFF"/>
            <w:vAlign w:val="center"/>
          </w:tcPr>
          <w:p w14:paraId="3DF77FC6">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新产品原型</w:t>
            </w:r>
          </w:p>
        </w:tc>
        <w:tc>
          <w:tcPr>
            <w:tcW w:w="0" w:type="auto"/>
            <w:tcBorders>
              <w:top w:val="nil"/>
              <w:left w:val="nil"/>
              <w:bottom w:val="nil"/>
              <w:right w:val="nil"/>
            </w:tcBorders>
            <w:shd w:val="clear" w:color="auto" w:fill="FFFFFF"/>
            <w:vAlign w:val="center"/>
          </w:tcPr>
          <w:p w14:paraId="5BD5E2D1">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差异化聚焦</w:t>
            </w:r>
          </w:p>
        </w:tc>
      </w:tr>
      <w:tr w14:paraId="7F5907D1">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21D4ADE1">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bCs/>
                <w:color w:val="000000"/>
                <w:sz w:val="22"/>
              </w:rPr>
              <w:t>资源使用效率</w:t>
            </w:r>
          </w:p>
        </w:tc>
        <w:tc>
          <w:tcPr>
            <w:tcW w:w="0" w:type="auto"/>
            <w:tcBorders>
              <w:top w:val="nil"/>
              <w:left w:val="nil"/>
              <w:bottom w:val="single" w:color="000000" w:sz="12" w:space="0"/>
              <w:right w:val="nil"/>
            </w:tcBorders>
            <w:shd w:val="clear" w:color="auto" w:fill="FFFFFF"/>
            <w:vAlign w:val="center"/>
          </w:tcPr>
          <w:p w14:paraId="0166E9C2">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提升40%</w:t>
            </w:r>
          </w:p>
        </w:tc>
        <w:tc>
          <w:tcPr>
            <w:tcW w:w="0" w:type="auto"/>
            <w:tcBorders>
              <w:top w:val="nil"/>
              <w:left w:val="nil"/>
              <w:bottom w:val="single" w:color="000000" w:sz="12" w:space="0"/>
              <w:right w:val="nil"/>
            </w:tcBorders>
            <w:shd w:val="clear" w:color="auto" w:fill="FFFFFF"/>
            <w:vAlign w:val="center"/>
          </w:tcPr>
          <w:p w14:paraId="6573BF44">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提升60%</w:t>
            </w:r>
          </w:p>
        </w:tc>
        <w:tc>
          <w:tcPr>
            <w:tcW w:w="0" w:type="auto"/>
            <w:tcBorders>
              <w:top w:val="nil"/>
              <w:left w:val="nil"/>
              <w:bottom w:val="single" w:color="000000" w:sz="12" w:space="0"/>
              <w:right w:val="nil"/>
            </w:tcBorders>
            <w:shd w:val="clear" w:color="auto" w:fill="FFFFFF"/>
            <w:vAlign w:val="center"/>
          </w:tcPr>
          <w:p w14:paraId="3AED7354">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新投入</w:t>
            </w:r>
          </w:p>
        </w:tc>
        <w:tc>
          <w:tcPr>
            <w:tcW w:w="0" w:type="auto"/>
            <w:tcBorders>
              <w:top w:val="nil"/>
              <w:left w:val="nil"/>
              <w:bottom w:val="single" w:color="000000" w:sz="12" w:space="0"/>
              <w:right w:val="nil"/>
            </w:tcBorders>
            <w:shd w:val="clear" w:color="auto" w:fill="FFFFFF"/>
            <w:vAlign w:val="center"/>
          </w:tcPr>
          <w:p w14:paraId="480D2A02">
            <w:pPr>
              <w:pStyle w:val="37"/>
              <w:spacing w:before="60" w:after="60"/>
              <w:jc w:val="center"/>
              <w:rPr>
                <w:rFonts w:ascii="Times New Roman" w:hAnsi="Times New Roman" w:eastAsia="宋体" w:cstheme="minorBidi"/>
                <w:b w:val="0"/>
                <w:color w:val="000000"/>
                <w:sz w:val="22"/>
                <w:szCs w:val="24"/>
                <w:lang w:val="en-US" w:eastAsia="en-US" w:bidi="ar-SA"/>
              </w:rPr>
            </w:pPr>
            <w:r>
              <w:rPr>
                <w:rFonts w:ascii="Times New Roman" w:hAnsi="Times New Roman" w:eastAsia="宋体"/>
                <w:b w:val="0"/>
                <w:color w:val="000000"/>
                <w:sz w:val="22"/>
              </w:rPr>
              <w:t>整体提升</w:t>
            </w:r>
          </w:p>
        </w:tc>
      </w:tr>
      <w:bookmarkEnd w:id="192"/>
      <w:bookmarkEnd w:id="193"/>
    </w:tbl>
    <w:p w14:paraId="4EF1C10D">
      <w:pPr>
        <w:pStyle w:val="5"/>
      </w:pPr>
      <w:bookmarkStart w:id="194" w:name="_Toc222913177"/>
      <w:bookmarkStart w:id="195" w:name="_Toc222822807"/>
      <w:bookmarkStart w:id="196" w:name="销售团队从售前向售中售后转型"/>
      <w:r>
        <w:t>5.3.2 销售团队从售前向售中售后转型</w:t>
      </w:r>
      <w:bookmarkEnd w:id="194"/>
      <w:bookmarkEnd w:id="195"/>
    </w:p>
    <w:p w14:paraId="7FEFD090">
      <w:pPr>
        <w:pStyle w:val="36"/>
        <w:spacing w:before="0" w:after="0" w:line="400" w:lineRule="exact"/>
        <w:ind w:firstLine="480" w:firstLineChars="200"/>
        <w:jc w:val="both"/>
        <w:rPr>
          <w:rFonts w:ascii="Times New Roman" w:hAnsi="Times New Roman"/>
          <w:lang w:eastAsia="zh-CN"/>
        </w:rPr>
      </w:pPr>
      <w:r>
        <w:rPr>
          <w:rFonts w:ascii="Times New Roman" w:hAnsi="Times New Roman"/>
        </w:rPr>
        <w:t>销售团队职能从单纯售前拓展至全周期客户价值管理：</w:t>
      </w:r>
    </w:p>
    <w:p w14:paraId="0B0BEAA2">
      <w:pPr>
        <w:pStyle w:val="36"/>
        <w:spacing w:before="0" w:after="0" w:line="400" w:lineRule="exact"/>
        <w:ind w:firstLine="480" w:firstLineChars="200"/>
        <w:jc w:val="both"/>
        <w:rPr>
          <w:rFonts w:ascii="Times New Roman" w:hAnsi="Times New Roman"/>
          <w:lang w:eastAsia="zh-CN"/>
        </w:rPr>
      </w:pPr>
      <w:r>
        <w:rPr>
          <w:rFonts w:ascii="Times New Roman" w:hAnsi="Times New Roman"/>
        </w:rPr>
        <w:t>售前团队精简：将售前工程师从项目方案设计中解放，专注于标准化产品技术支持</w:t>
      </w:r>
    </w:p>
    <w:p w14:paraId="35DD09F5">
      <w:pPr>
        <w:pStyle w:val="36"/>
        <w:spacing w:before="0" w:after="0" w:line="400" w:lineRule="exact"/>
        <w:ind w:firstLine="480" w:firstLineChars="200"/>
        <w:jc w:val="both"/>
        <w:rPr>
          <w:rFonts w:ascii="Times New Roman" w:hAnsi="Times New Roman"/>
          <w:lang w:eastAsia="zh-CN"/>
        </w:rPr>
      </w:pPr>
      <w:r>
        <w:rPr>
          <w:rFonts w:ascii="Times New Roman" w:hAnsi="Times New Roman"/>
        </w:rPr>
        <w:t>售中实施支持：建立快速响应机制，确保产品交付与客户预期一致</w:t>
      </w:r>
    </w:p>
    <w:p w14:paraId="6E9CF41B">
      <w:pPr>
        <w:pStyle w:val="36"/>
        <w:spacing w:before="0" w:after="0" w:line="400" w:lineRule="exact"/>
        <w:ind w:firstLine="480" w:firstLineChars="200"/>
        <w:jc w:val="both"/>
        <w:rPr>
          <w:rFonts w:ascii="Times New Roman" w:hAnsi="Times New Roman"/>
        </w:rPr>
      </w:pPr>
      <w:r>
        <w:rPr>
          <w:rFonts w:ascii="Times New Roman" w:hAnsi="Times New Roman"/>
        </w:rPr>
        <w:t>售后价值挖掘：通过定期回访、软件升级、功能拓展挖掘客户终身价值</w:t>
      </w:r>
    </w:p>
    <w:bookmarkEnd w:id="196"/>
    <w:p w14:paraId="5742AC91">
      <w:pPr>
        <w:pStyle w:val="5"/>
      </w:pPr>
      <w:bookmarkStart w:id="197" w:name="_Toc222822808"/>
      <w:bookmarkStart w:id="198" w:name="_Toc222913178"/>
      <w:bookmarkStart w:id="199" w:name="项目制团队向产品化团队转型"/>
      <w:r>
        <w:t>5.3.3 项目制团队向产品化团队转型</w:t>
      </w:r>
      <w:bookmarkEnd w:id="197"/>
      <w:bookmarkEnd w:id="198"/>
    </w:p>
    <w:p w14:paraId="6043CFE8">
      <w:pPr>
        <w:pStyle w:val="36"/>
        <w:spacing w:before="0" w:after="0" w:line="400" w:lineRule="exact"/>
        <w:ind w:firstLine="480" w:firstLineChars="200"/>
        <w:jc w:val="both"/>
        <w:rPr>
          <w:rFonts w:ascii="Times New Roman" w:hAnsi="Times New Roman"/>
          <w:lang w:eastAsia="zh-CN"/>
        </w:rPr>
      </w:pPr>
      <w:r>
        <w:rPr>
          <w:rFonts w:ascii="Times New Roman" w:hAnsi="Times New Roman"/>
        </w:rPr>
        <w:t>视频跟踪仪团队从项目制向产品化转型：</w:t>
      </w:r>
    </w:p>
    <w:p w14:paraId="23029B43">
      <w:pPr>
        <w:pStyle w:val="36"/>
        <w:spacing w:before="0" w:after="0" w:line="400" w:lineRule="exact"/>
        <w:ind w:firstLine="480" w:firstLineChars="200"/>
        <w:jc w:val="both"/>
        <w:rPr>
          <w:rFonts w:ascii="Times New Roman" w:hAnsi="Times New Roman"/>
          <w:lang w:eastAsia="zh-CN"/>
        </w:rPr>
      </w:pPr>
      <w:r>
        <w:rPr>
          <w:rFonts w:ascii="Times New Roman" w:hAnsi="Times New Roman"/>
        </w:rPr>
        <w:t>建立产品经理负责制：每个垂直领域（桥梁、隧道、边坡）设立专职产品经理</w:t>
      </w:r>
    </w:p>
    <w:p w14:paraId="2C871BD4">
      <w:pPr>
        <w:pStyle w:val="36"/>
        <w:spacing w:before="0" w:after="0" w:line="400" w:lineRule="exact"/>
        <w:ind w:firstLine="480" w:firstLineChars="200"/>
        <w:jc w:val="both"/>
        <w:rPr>
          <w:rFonts w:ascii="Times New Roman" w:hAnsi="Times New Roman"/>
          <w:lang w:eastAsia="zh-CN"/>
        </w:rPr>
      </w:pPr>
      <w:r>
        <w:rPr>
          <w:rFonts w:ascii="Times New Roman" w:hAnsi="Times New Roman"/>
        </w:rPr>
        <w:t>标准化方案库建设：将项目经验沉淀为标准化方案模块，复用率从30%提升至70%</w:t>
      </w:r>
    </w:p>
    <w:p w14:paraId="07FA3D6E">
      <w:pPr>
        <w:pStyle w:val="36"/>
        <w:spacing w:before="0" w:after="0" w:line="400" w:lineRule="exact"/>
        <w:ind w:firstLine="480" w:firstLineChars="200"/>
        <w:jc w:val="both"/>
        <w:rPr>
          <w:rFonts w:ascii="Times New Roman" w:hAnsi="Times New Roman"/>
        </w:rPr>
      </w:pPr>
      <w:r>
        <w:rPr>
          <w:rFonts w:ascii="Times New Roman" w:hAnsi="Times New Roman"/>
        </w:rPr>
        <w:t>实施外包管理：将现场安装、调试等实施工作外包给地区合作伙伴，专注核心价值环节</w:t>
      </w:r>
    </w:p>
    <w:bookmarkEnd w:id="189"/>
    <w:bookmarkEnd w:id="199"/>
    <w:p w14:paraId="0243F743">
      <w:pPr>
        <w:pStyle w:val="3"/>
      </w:pPr>
      <w:bookmarkStart w:id="200" w:name="_Toc222822809"/>
      <w:bookmarkStart w:id="201" w:name="_Toc222913179"/>
      <w:bookmarkStart w:id="202" w:name="数字化转型供应链与生产流程优化"/>
      <w:r>
        <w:t>5.4供应链与生产流程优化</w:t>
      </w:r>
      <w:bookmarkEnd w:id="200"/>
      <w:bookmarkEnd w:id="201"/>
    </w:p>
    <w:p w14:paraId="6090954F">
      <w:pPr>
        <w:pStyle w:val="36"/>
        <w:spacing w:before="0" w:after="0" w:line="400" w:lineRule="exact"/>
        <w:ind w:firstLine="480" w:firstLineChars="200"/>
        <w:jc w:val="both"/>
        <w:rPr>
          <w:rFonts w:ascii="Times New Roman" w:hAnsi="Times New Roman"/>
        </w:rPr>
      </w:pPr>
      <w:r>
        <w:rPr>
          <w:rFonts w:ascii="Times New Roman" w:hAnsi="Times New Roman"/>
        </w:rPr>
        <w:t>数字化转型是HSM战略转型的技术基础，重点优化供应链和生产流程。</w:t>
      </w:r>
    </w:p>
    <w:p w14:paraId="6B01B28C">
      <w:pPr>
        <w:pStyle w:val="5"/>
      </w:pPr>
      <w:bookmarkStart w:id="203" w:name="_Toc222913180"/>
      <w:bookmarkStart w:id="204" w:name="_Toc222822810"/>
      <w:bookmarkStart w:id="205" w:name="视频引伸计与视频应变仪供应链调整与标准化生产"/>
      <w:r>
        <w:t>5.4.1供应链调整与标准化生产</w:t>
      </w:r>
      <w:bookmarkEnd w:id="203"/>
      <w:bookmarkEnd w:id="204"/>
    </w:p>
    <w:p w14:paraId="3C17F9D2">
      <w:pPr>
        <w:pStyle w:val="36"/>
        <w:spacing w:before="0" w:after="0" w:line="400" w:lineRule="exact"/>
        <w:ind w:firstLine="480" w:firstLineChars="200"/>
        <w:jc w:val="both"/>
        <w:rPr>
          <w:rFonts w:ascii="Times New Roman" w:hAnsi="Times New Roman"/>
          <w:lang w:eastAsia="zh-CN"/>
        </w:rPr>
      </w:pPr>
      <w:r>
        <w:rPr>
          <w:rFonts w:ascii="Times New Roman" w:hAnsi="Times New Roman"/>
        </w:rPr>
        <w:t>针对标准化产品线，数字化转型聚焦供应链优化：</w:t>
      </w:r>
    </w:p>
    <w:p w14:paraId="20A225BE">
      <w:pPr>
        <w:pStyle w:val="36"/>
        <w:spacing w:before="0" w:after="0" w:line="400" w:lineRule="exact"/>
        <w:ind w:firstLine="480" w:firstLineChars="200"/>
        <w:jc w:val="both"/>
        <w:rPr>
          <w:rFonts w:ascii="Times New Roman" w:hAnsi="Times New Roman"/>
          <w:lang w:eastAsia="zh-CN"/>
        </w:rPr>
      </w:pPr>
      <w:r>
        <w:rPr>
          <w:rFonts w:ascii="Times New Roman" w:hAnsi="Times New Roman"/>
        </w:rPr>
        <w:t>供应链可视化平台：实时监控原材料库存、生产进度、物流状态</w:t>
      </w:r>
    </w:p>
    <w:p w14:paraId="6BD86253">
      <w:pPr>
        <w:pStyle w:val="36"/>
        <w:spacing w:before="0" w:after="0" w:line="400" w:lineRule="exact"/>
        <w:ind w:firstLine="480" w:firstLineChars="200"/>
        <w:jc w:val="both"/>
        <w:rPr>
          <w:rFonts w:ascii="Times New Roman" w:hAnsi="Times New Roman"/>
          <w:lang w:eastAsia="zh-CN"/>
        </w:rPr>
      </w:pPr>
      <w:r>
        <w:rPr>
          <w:rFonts w:ascii="Times New Roman" w:hAnsi="Times New Roman"/>
        </w:rPr>
        <w:t>供应商协同系统：与核心供应商共享需求预测，实现JIT（准时制）供货</w:t>
      </w:r>
    </w:p>
    <w:p w14:paraId="10EC87C0">
      <w:pPr>
        <w:pStyle w:val="36"/>
        <w:spacing w:before="0" w:after="0" w:line="400" w:lineRule="exact"/>
        <w:ind w:firstLine="480" w:firstLineChars="200"/>
        <w:jc w:val="both"/>
        <w:rPr>
          <w:rFonts w:ascii="Times New Roman" w:hAnsi="Times New Roman"/>
        </w:rPr>
      </w:pPr>
      <w:r>
        <w:rPr>
          <w:rFonts w:ascii="Times New Roman" w:hAnsi="Times New Roman"/>
        </w:rPr>
        <w:t>生产自动化升级：引入自动化测试设备，将人工测试环节减少50%</w:t>
      </w:r>
    </w:p>
    <w:p w14:paraId="6F68A611">
      <w:pPr>
        <w:pStyle w:val="4"/>
        <w:keepNext/>
        <w:widowControl w:val="0"/>
        <w:spacing w:before="240" w:after="120"/>
        <w:jc w:val="center"/>
        <w:rPr>
          <w:rFonts w:ascii="Times New Roman" w:hAnsi="Times New Roman"/>
          <w:sz w:val="22"/>
        </w:rPr>
      </w:pPr>
      <w:bookmarkStart w:id="206" w:name="表5-6视频引伸计应变仪供应链调整效果预测"/>
      <w:r>
        <w:rPr>
          <w:rFonts w:ascii="Times New Roman" w:hAnsi="Times New Roman"/>
          <w:sz w:val="22"/>
        </w:rPr>
        <w:t>表5</w:t>
      </w:r>
      <w:r>
        <w:rPr>
          <w:rFonts w:hint="eastAsia" w:ascii="Times New Roman" w:hAnsi="Times New Roman"/>
          <w:sz w:val="22"/>
          <w:lang w:eastAsia="zh-CN"/>
        </w:rPr>
        <w:t>.</w:t>
      </w:r>
      <w:r>
        <w:rPr>
          <w:rFonts w:ascii="Times New Roman" w:hAnsi="Times New Roman"/>
          <w:sz w:val="22"/>
        </w:rPr>
        <w:t>6：视频引伸计/应变仪供应链调整效果预测</w:t>
      </w:r>
    </w:p>
    <w:tbl>
      <w:tblPr>
        <w:tblStyle w:val="41"/>
        <w:tblW w:w="5000" w:type="pct"/>
        <w:tblInd w:w="0" w:type="dxa"/>
        <w:tblLayout w:type="autofit"/>
        <w:tblCellMar>
          <w:top w:w="0" w:type="dxa"/>
          <w:left w:w="108" w:type="dxa"/>
          <w:bottom w:w="0" w:type="dxa"/>
          <w:right w:w="108" w:type="dxa"/>
        </w:tblCellMar>
      </w:tblPr>
      <w:tblGrid>
        <w:gridCol w:w="1568"/>
        <w:gridCol w:w="1236"/>
        <w:gridCol w:w="1569"/>
        <w:gridCol w:w="1395"/>
        <w:gridCol w:w="3405"/>
      </w:tblGrid>
      <w:tr w14:paraId="07FF5B39">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30C82C4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供应链指标</w:t>
            </w:r>
          </w:p>
        </w:tc>
        <w:tc>
          <w:tcPr>
            <w:tcW w:w="0" w:type="auto"/>
            <w:tcBorders>
              <w:top w:val="single" w:color="000000" w:sz="12" w:space="0"/>
              <w:left w:val="nil"/>
              <w:bottom w:val="single" w:color="000000" w:sz="4" w:space="0"/>
              <w:right w:val="nil"/>
            </w:tcBorders>
            <w:shd w:val="clear" w:color="auto" w:fill="FFFFFF"/>
            <w:vAlign w:val="center"/>
          </w:tcPr>
          <w:p w14:paraId="653F3B2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调整前</w:t>
            </w:r>
          </w:p>
        </w:tc>
        <w:tc>
          <w:tcPr>
            <w:tcW w:w="0" w:type="auto"/>
            <w:tcBorders>
              <w:top w:val="single" w:color="000000" w:sz="12" w:space="0"/>
              <w:left w:val="nil"/>
              <w:bottom w:val="single" w:color="000000" w:sz="4" w:space="0"/>
              <w:right w:val="nil"/>
            </w:tcBorders>
            <w:shd w:val="clear" w:color="auto" w:fill="FFFFFF"/>
            <w:vAlign w:val="center"/>
          </w:tcPr>
          <w:p w14:paraId="4B90A62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调整后目标</w:t>
            </w:r>
          </w:p>
        </w:tc>
        <w:tc>
          <w:tcPr>
            <w:tcW w:w="0" w:type="auto"/>
            <w:tcBorders>
              <w:top w:val="single" w:color="000000" w:sz="12" w:space="0"/>
              <w:left w:val="nil"/>
              <w:bottom w:val="single" w:color="000000" w:sz="4" w:space="0"/>
              <w:right w:val="nil"/>
            </w:tcBorders>
            <w:shd w:val="clear" w:color="auto" w:fill="FFFFFF"/>
            <w:vAlign w:val="center"/>
          </w:tcPr>
          <w:p w14:paraId="0A421D5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改善效果</w:t>
            </w:r>
          </w:p>
        </w:tc>
        <w:tc>
          <w:tcPr>
            <w:tcW w:w="0" w:type="auto"/>
            <w:tcBorders>
              <w:top w:val="single" w:color="000000" w:sz="12" w:space="0"/>
              <w:left w:val="nil"/>
              <w:bottom w:val="single" w:color="000000" w:sz="4" w:space="0"/>
              <w:right w:val="nil"/>
            </w:tcBorders>
            <w:shd w:val="clear" w:color="auto" w:fill="FFFFFF"/>
            <w:vAlign w:val="center"/>
          </w:tcPr>
          <w:p w14:paraId="7E5D6EC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实施举措</w:t>
            </w:r>
          </w:p>
        </w:tc>
      </w:tr>
      <w:tr w14:paraId="39AA4BA4">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043E67A5">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采购周期</w:t>
            </w:r>
          </w:p>
        </w:tc>
        <w:tc>
          <w:tcPr>
            <w:tcW w:w="0" w:type="auto"/>
            <w:tcBorders>
              <w:top w:val="single" w:color="000000" w:sz="4" w:space="0"/>
              <w:left w:val="nil"/>
              <w:bottom w:val="nil"/>
              <w:right w:val="nil"/>
            </w:tcBorders>
            <w:shd w:val="clear" w:color="auto" w:fill="FFFFFF"/>
            <w:vAlign w:val="center"/>
          </w:tcPr>
          <w:p w14:paraId="7724158D">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45天</w:t>
            </w:r>
          </w:p>
        </w:tc>
        <w:tc>
          <w:tcPr>
            <w:tcW w:w="0" w:type="auto"/>
            <w:tcBorders>
              <w:top w:val="single" w:color="000000" w:sz="4" w:space="0"/>
              <w:left w:val="nil"/>
              <w:bottom w:val="nil"/>
              <w:right w:val="nil"/>
            </w:tcBorders>
            <w:shd w:val="clear" w:color="auto" w:fill="FFFFFF"/>
            <w:vAlign w:val="center"/>
          </w:tcPr>
          <w:p w14:paraId="49C9B2D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30天</w:t>
            </w:r>
          </w:p>
        </w:tc>
        <w:tc>
          <w:tcPr>
            <w:tcW w:w="0" w:type="auto"/>
            <w:tcBorders>
              <w:top w:val="single" w:color="000000" w:sz="4" w:space="0"/>
              <w:left w:val="nil"/>
              <w:bottom w:val="nil"/>
              <w:right w:val="nil"/>
            </w:tcBorders>
            <w:shd w:val="clear" w:color="auto" w:fill="FFFFFF"/>
            <w:vAlign w:val="center"/>
          </w:tcPr>
          <w:p w14:paraId="1EED18E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缩短33%</w:t>
            </w:r>
          </w:p>
        </w:tc>
        <w:tc>
          <w:tcPr>
            <w:tcW w:w="0" w:type="auto"/>
            <w:tcBorders>
              <w:top w:val="single" w:color="000000" w:sz="4" w:space="0"/>
              <w:left w:val="nil"/>
              <w:bottom w:val="nil"/>
              <w:right w:val="nil"/>
            </w:tcBorders>
            <w:shd w:val="clear" w:color="auto" w:fill="FFFFFF"/>
            <w:vAlign w:val="center"/>
          </w:tcPr>
          <w:p w14:paraId="6F8B3716">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供应商协同、安全库存优化</w:t>
            </w:r>
          </w:p>
        </w:tc>
      </w:tr>
      <w:tr w14:paraId="09E7FA25">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0C55723">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库存周转率</w:t>
            </w:r>
          </w:p>
        </w:tc>
        <w:tc>
          <w:tcPr>
            <w:tcW w:w="0" w:type="auto"/>
            <w:tcBorders>
              <w:top w:val="nil"/>
              <w:left w:val="nil"/>
              <w:bottom w:val="nil"/>
              <w:right w:val="nil"/>
            </w:tcBorders>
            <w:shd w:val="clear" w:color="auto" w:fill="FFFFFF"/>
            <w:vAlign w:val="center"/>
          </w:tcPr>
          <w:p w14:paraId="248DA63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4.5次/年</w:t>
            </w:r>
          </w:p>
        </w:tc>
        <w:tc>
          <w:tcPr>
            <w:tcW w:w="0" w:type="auto"/>
            <w:tcBorders>
              <w:top w:val="nil"/>
              <w:left w:val="nil"/>
              <w:bottom w:val="nil"/>
              <w:right w:val="nil"/>
            </w:tcBorders>
            <w:shd w:val="clear" w:color="auto" w:fill="FFFFFF"/>
            <w:vAlign w:val="center"/>
          </w:tcPr>
          <w:p w14:paraId="010F9F2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6.5次/年</w:t>
            </w:r>
          </w:p>
        </w:tc>
        <w:tc>
          <w:tcPr>
            <w:tcW w:w="0" w:type="auto"/>
            <w:tcBorders>
              <w:top w:val="nil"/>
              <w:left w:val="nil"/>
              <w:bottom w:val="nil"/>
              <w:right w:val="nil"/>
            </w:tcBorders>
            <w:shd w:val="clear" w:color="auto" w:fill="FFFFFF"/>
            <w:vAlign w:val="center"/>
          </w:tcPr>
          <w:p w14:paraId="167ACF1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提升44%</w:t>
            </w:r>
          </w:p>
        </w:tc>
        <w:tc>
          <w:tcPr>
            <w:tcW w:w="0" w:type="auto"/>
            <w:tcBorders>
              <w:top w:val="nil"/>
              <w:left w:val="nil"/>
              <w:bottom w:val="nil"/>
              <w:right w:val="nil"/>
            </w:tcBorders>
            <w:shd w:val="clear" w:color="auto" w:fill="FFFFFF"/>
            <w:vAlign w:val="center"/>
          </w:tcPr>
          <w:p w14:paraId="0746D660">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需求预测系统、精准采购</w:t>
            </w:r>
          </w:p>
        </w:tc>
      </w:tr>
      <w:tr w14:paraId="532E9DB6">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58712495">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成本降低</w:t>
            </w:r>
          </w:p>
        </w:tc>
        <w:tc>
          <w:tcPr>
            <w:tcW w:w="0" w:type="auto"/>
            <w:tcBorders>
              <w:top w:val="nil"/>
              <w:left w:val="nil"/>
              <w:bottom w:val="nil"/>
              <w:right w:val="nil"/>
            </w:tcBorders>
            <w:shd w:val="clear" w:color="auto" w:fill="FFFFFF"/>
            <w:vAlign w:val="center"/>
          </w:tcPr>
          <w:p w14:paraId="45E56B6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w:t>
            </w:r>
          </w:p>
        </w:tc>
        <w:tc>
          <w:tcPr>
            <w:tcW w:w="0" w:type="auto"/>
            <w:tcBorders>
              <w:top w:val="nil"/>
              <w:left w:val="nil"/>
              <w:bottom w:val="nil"/>
              <w:right w:val="nil"/>
            </w:tcBorders>
            <w:shd w:val="clear" w:color="auto" w:fill="FFFFFF"/>
            <w:vAlign w:val="center"/>
          </w:tcPr>
          <w:p w14:paraId="6C1707B2">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15%</w:t>
            </w:r>
          </w:p>
        </w:tc>
        <w:tc>
          <w:tcPr>
            <w:tcW w:w="0" w:type="auto"/>
            <w:tcBorders>
              <w:top w:val="nil"/>
              <w:left w:val="nil"/>
              <w:bottom w:val="nil"/>
              <w:right w:val="nil"/>
            </w:tcBorders>
            <w:shd w:val="clear" w:color="auto" w:fill="FFFFFF"/>
            <w:vAlign w:val="center"/>
          </w:tcPr>
          <w:p w14:paraId="431F26F1">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显著</w:t>
            </w:r>
          </w:p>
        </w:tc>
        <w:tc>
          <w:tcPr>
            <w:tcW w:w="0" w:type="auto"/>
            <w:tcBorders>
              <w:top w:val="nil"/>
              <w:left w:val="nil"/>
              <w:bottom w:val="nil"/>
              <w:right w:val="nil"/>
            </w:tcBorders>
            <w:shd w:val="clear" w:color="auto" w:fill="FFFFFF"/>
            <w:vAlign w:val="center"/>
          </w:tcPr>
          <w:p w14:paraId="76C4DA1B">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集中采购、标准化设计</w:t>
            </w:r>
          </w:p>
        </w:tc>
      </w:tr>
      <w:tr w14:paraId="72DF3028">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A6B09F8">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质量合格率</w:t>
            </w:r>
          </w:p>
        </w:tc>
        <w:tc>
          <w:tcPr>
            <w:tcW w:w="0" w:type="auto"/>
            <w:tcBorders>
              <w:top w:val="nil"/>
              <w:left w:val="nil"/>
              <w:bottom w:val="nil"/>
              <w:right w:val="nil"/>
            </w:tcBorders>
            <w:shd w:val="clear" w:color="auto" w:fill="FFFFFF"/>
            <w:vAlign w:val="center"/>
          </w:tcPr>
          <w:p w14:paraId="4D91500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99.0%</w:t>
            </w:r>
          </w:p>
        </w:tc>
        <w:tc>
          <w:tcPr>
            <w:tcW w:w="0" w:type="auto"/>
            <w:tcBorders>
              <w:top w:val="nil"/>
              <w:left w:val="nil"/>
              <w:bottom w:val="nil"/>
              <w:right w:val="nil"/>
            </w:tcBorders>
            <w:shd w:val="clear" w:color="auto" w:fill="FFFFFF"/>
            <w:vAlign w:val="center"/>
          </w:tcPr>
          <w:p w14:paraId="54278FC3">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99.5%</w:t>
            </w:r>
          </w:p>
        </w:tc>
        <w:tc>
          <w:tcPr>
            <w:tcW w:w="0" w:type="auto"/>
            <w:tcBorders>
              <w:top w:val="nil"/>
              <w:left w:val="nil"/>
              <w:bottom w:val="nil"/>
              <w:right w:val="nil"/>
            </w:tcBorders>
            <w:shd w:val="clear" w:color="auto" w:fill="FFFFFF"/>
            <w:vAlign w:val="center"/>
          </w:tcPr>
          <w:p w14:paraId="7FB261F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提升0.5%</w:t>
            </w:r>
          </w:p>
        </w:tc>
        <w:tc>
          <w:tcPr>
            <w:tcW w:w="0" w:type="auto"/>
            <w:tcBorders>
              <w:top w:val="nil"/>
              <w:left w:val="nil"/>
              <w:bottom w:val="nil"/>
              <w:right w:val="nil"/>
            </w:tcBorders>
            <w:shd w:val="clear" w:color="auto" w:fill="FFFFFF"/>
            <w:vAlign w:val="center"/>
          </w:tcPr>
          <w:p w14:paraId="691C8455">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供应商质量管理</w:t>
            </w:r>
          </w:p>
        </w:tc>
      </w:tr>
      <w:tr w14:paraId="509B5796">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7B345AE3">
            <w:pPr>
              <w:pStyle w:val="37"/>
              <w:spacing w:before="60" w:after="60"/>
              <w:jc w:val="center"/>
              <w:rPr>
                <w:rFonts w:ascii="Times New Roman" w:hAnsi="Times New Roman" w:eastAsia="宋体"/>
                <w:b w:val="0"/>
                <w:color w:val="000000"/>
                <w:sz w:val="22"/>
              </w:rPr>
            </w:pPr>
            <w:r>
              <w:rPr>
                <w:rFonts w:ascii="Times New Roman" w:hAnsi="Times New Roman" w:eastAsia="宋体"/>
                <w:b w:val="0"/>
                <w:bCs/>
                <w:color w:val="000000"/>
                <w:sz w:val="22"/>
              </w:rPr>
              <w:t>交货准时率</w:t>
            </w:r>
          </w:p>
        </w:tc>
        <w:tc>
          <w:tcPr>
            <w:tcW w:w="0" w:type="auto"/>
            <w:tcBorders>
              <w:top w:val="nil"/>
              <w:left w:val="nil"/>
              <w:bottom w:val="single" w:color="000000" w:sz="12" w:space="0"/>
              <w:right w:val="nil"/>
            </w:tcBorders>
            <w:shd w:val="clear" w:color="auto" w:fill="FFFFFF"/>
            <w:vAlign w:val="center"/>
          </w:tcPr>
          <w:p w14:paraId="0BB325D9">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85%</w:t>
            </w:r>
          </w:p>
        </w:tc>
        <w:tc>
          <w:tcPr>
            <w:tcW w:w="0" w:type="auto"/>
            <w:tcBorders>
              <w:top w:val="nil"/>
              <w:left w:val="nil"/>
              <w:bottom w:val="single" w:color="000000" w:sz="12" w:space="0"/>
              <w:right w:val="nil"/>
            </w:tcBorders>
            <w:shd w:val="clear" w:color="auto" w:fill="FFFFFF"/>
            <w:vAlign w:val="center"/>
          </w:tcPr>
          <w:p w14:paraId="79C104EA">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95%</w:t>
            </w:r>
          </w:p>
        </w:tc>
        <w:tc>
          <w:tcPr>
            <w:tcW w:w="0" w:type="auto"/>
            <w:tcBorders>
              <w:top w:val="nil"/>
              <w:left w:val="nil"/>
              <w:bottom w:val="single" w:color="000000" w:sz="12" w:space="0"/>
              <w:right w:val="nil"/>
            </w:tcBorders>
            <w:shd w:val="clear" w:color="auto" w:fill="FFFFFF"/>
            <w:vAlign w:val="center"/>
          </w:tcPr>
          <w:p w14:paraId="09467F78">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提升10%</w:t>
            </w:r>
          </w:p>
        </w:tc>
        <w:tc>
          <w:tcPr>
            <w:tcW w:w="0" w:type="auto"/>
            <w:tcBorders>
              <w:top w:val="nil"/>
              <w:left w:val="nil"/>
              <w:bottom w:val="single" w:color="000000" w:sz="12" w:space="0"/>
              <w:right w:val="nil"/>
            </w:tcBorders>
            <w:shd w:val="clear" w:color="auto" w:fill="FFFFFF"/>
            <w:vAlign w:val="center"/>
          </w:tcPr>
          <w:p w14:paraId="3A325ABE">
            <w:pPr>
              <w:pStyle w:val="37"/>
              <w:spacing w:before="60" w:after="60"/>
              <w:jc w:val="center"/>
              <w:rPr>
                <w:rFonts w:ascii="Times New Roman" w:hAnsi="Times New Roman" w:eastAsia="宋体"/>
                <w:b w:val="0"/>
                <w:color w:val="000000"/>
                <w:sz w:val="22"/>
              </w:rPr>
            </w:pPr>
            <w:r>
              <w:rPr>
                <w:rFonts w:ascii="Times New Roman" w:hAnsi="Times New Roman" w:eastAsia="宋体"/>
                <w:b w:val="0"/>
                <w:color w:val="000000"/>
                <w:sz w:val="22"/>
              </w:rPr>
              <w:t>生产计划优化</w:t>
            </w:r>
          </w:p>
        </w:tc>
      </w:tr>
      <w:bookmarkEnd w:id="205"/>
      <w:bookmarkEnd w:id="206"/>
    </w:tbl>
    <w:p w14:paraId="5A57E098">
      <w:pPr>
        <w:pStyle w:val="5"/>
      </w:pPr>
      <w:bookmarkStart w:id="207" w:name="_Toc222822811"/>
      <w:bookmarkStart w:id="208" w:name="_Toc222913181"/>
      <w:bookmarkStart w:id="209" w:name="视频跟踪仪产业链优化与合作伙伴协同平台"/>
      <w:r>
        <w:t>5.4.2产业链优化与合作伙伴协同平台</w:t>
      </w:r>
      <w:bookmarkEnd w:id="207"/>
      <w:bookmarkEnd w:id="208"/>
    </w:p>
    <w:p w14:paraId="4D8705D5">
      <w:pPr>
        <w:pStyle w:val="36"/>
        <w:spacing w:before="0" w:after="0" w:line="400" w:lineRule="exact"/>
        <w:ind w:firstLine="480" w:firstLineChars="200"/>
        <w:jc w:val="both"/>
        <w:rPr>
          <w:rFonts w:ascii="Times New Roman" w:hAnsi="Times New Roman"/>
          <w:lang w:eastAsia="zh-CN"/>
        </w:rPr>
      </w:pPr>
      <w:r>
        <w:rPr>
          <w:rFonts w:ascii="Times New Roman" w:hAnsi="Times New Roman"/>
        </w:rPr>
        <w:t>视频跟踪仪的数字化转型重点在产业链协同：</w:t>
      </w:r>
    </w:p>
    <w:p w14:paraId="2E3BE39C">
      <w:pPr>
        <w:pStyle w:val="36"/>
        <w:spacing w:before="0" w:after="0" w:line="400" w:lineRule="exact"/>
        <w:ind w:firstLine="480" w:firstLineChars="200"/>
        <w:jc w:val="both"/>
        <w:rPr>
          <w:rFonts w:ascii="Times New Roman" w:hAnsi="Times New Roman"/>
          <w:lang w:eastAsia="zh-CN"/>
        </w:rPr>
      </w:pPr>
      <w:r>
        <w:rPr>
          <w:rFonts w:ascii="Times New Roman" w:hAnsi="Times New Roman"/>
        </w:rPr>
        <w:t>合作伙伴门户：为地区合作伙伴提供方案设计、技术支持、项目管理的在线平台</w:t>
      </w:r>
    </w:p>
    <w:p w14:paraId="087729B9">
      <w:pPr>
        <w:pStyle w:val="36"/>
        <w:spacing w:before="0" w:after="0" w:line="400" w:lineRule="exact"/>
        <w:ind w:firstLine="480" w:firstLineChars="200"/>
        <w:jc w:val="both"/>
        <w:rPr>
          <w:rFonts w:ascii="Times New Roman" w:hAnsi="Times New Roman"/>
          <w:lang w:eastAsia="zh-CN"/>
        </w:rPr>
      </w:pPr>
      <w:r>
        <w:rPr>
          <w:rFonts w:ascii="Times New Roman" w:hAnsi="Times New Roman"/>
        </w:rPr>
        <w:t>远程诊断系统：通过物联网技术实现设备远程监控、故障预警和诊断</w:t>
      </w:r>
    </w:p>
    <w:p w14:paraId="608FEC92">
      <w:pPr>
        <w:pStyle w:val="36"/>
        <w:spacing w:before="0" w:after="0" w:line="400" w:lineRule="exact"/>
        <w:ind w:firstLine="480" w:firstLineChars="200"/>
        <w:jc w:val="both"/>
        <w:rPr>
          <w:rFonts w:ascii="Times New Roman" w:hAnsi="Times New Roman"/>
        </w:rPr>
      </w:pPr>
      <w:r>
        <w:rPr>
          <w:rFonts w:ascii="Times New Roman" w:hAnsi="Times New Roman"/>
        </w:rPr>
        <w:t>项目协同工具：支</w:t>
      </w:r>
      <w:bookmarkStart w:id="290" w:name="_GoBack"/>
      <w:bookmarkEnd w:id="290"/>
      <w:r>
        <w:rPr>
          <w:rFonts w:ascii="Times New Roman" w:hAnsi="Times New Roman"/>
        </w:rPr>
        <w:t>持多参与方在线协作，提高项目执行效率</w:t>
      </w:r>
    </w:p>
    <w:bookmarkEnd w:id="209"/>
    <w:p w14:paraId="4639E34B">
      <w:pPr>
        <w:pStyle w:val="5"/>
      </w:pPr>
      <w:bookmarkStart w:id="210" w:name="_Toc222822812"/>
      <w:bookmarkStart w:id="211" w:name="_Toc222913182"/>
      <w:bookmarkStart w:id="212" w:name="数字化工具提升管理效率"/>
      <w:r>
        <w:t>5.4.3 数字化工具提升管理效率</w:t>
      </w:r>
      <w:bookmarkEnd w:id="210"/>
      <w:bookmarkEnd w:id="211"/>
    </w:p>
    <w:p w14:paraId="514BB68C">
      <w:pPr>
        <w:pStyle w:val="36"/>
        <w:spacing w:before="0" w:after="0" w:line="400" w:lineRule="exact"/>
        <w:ind w:firstLine="480" w:firstLineChars="200"/>
        <w:jc w:val="both"/>
        <w:rPr>
          <w:rFonts w:ascii="Times New Roman" w:hAnsi="Times New Roman"/>
          <w:lang w:eastAsia="zh-CN"/>
        </w:rPr>
      </w:pPr>
      <w:r>
        <w:rPr>
          <w:rFonts w:ascii="Times New Roman" w:hAnsi="Times New Roman"/>
        </w:rPr>
        <w:t>公司层面推广数字化管理工具：</w:t>
      </w:r>
    </w:p>
    <w:p w14:paraId="2A8BEA45">
      <w:pPr>
        <w:pStyle w:val="36"/>
        <w:spacing w:before="0" w:after="0" w:line="400" w:lineRule="exact"/>
        <w:ind w:firstLine="480" w:firstLineChars="200"/>
        <w:jc w:val="both"/>
        <w:rPr>
          <w:rFonts w:ascii="Times New Roman" w:hAnsi="Times New Roman"/>
          <w:lang w:eastAsia="zh-CN"/>
        </w:rPr>
      </w:pPr>
      <w:r>
        <w:rPr>
          <w:rFonts w:ascii="Times New Roman" w:hAnsi="Times New Roman"/>
        </w:rPr>
        <w:t>ERP系统升级：集成销售、生产、财务、人力资源模块，实现数据一体化</w:t>
      </w:r>
    </w:p>
    <w:p w14:paraId="2DAC6108">
      <w:pPr>
        <w:pStyle w:val="36"/>
        <w:spacing w:before="0" w:after="0" w:line="400" w:lineRule="exact"/>
        <w:ind w:firstLine="480" w:firstLineChars="200"/>
        <w:jc w:val="both"/>
        <w:rPr>
          <w:rFonts w:ascii="Times New Roman" w:hAnsi="Times New Roman"/>
          <w:lang w:eastAsia="zh-CN"/>
        </w:rPr>
      </w:pPr>
      <w:r>
        <w:rPr>
          <w:rFonts w:ascii="Times New Roman" w:hAnsi="Times New Roman"/>
        </w:rPr>
        <w:t>BI数据分析平台：实时监控三条产品线的关键绩效指标，支持数据驱动决策</w:t>
      </w:r>
    </w:p>
    <w:p w14:paraId="221165BB">
      <w:pPr>
        <w:pStyle w:val="36"/>
        <w:spacing w:before="0" w:after="0" w:line="400" w:lineRule="exact"/>
        <w:ind w:firstLine="480" w:firstLineChars="200"/>
        <w:jc w:val="both"/>
        <w:rPr>
          <w:rFonts w:ascii="Times New Roman" w:hAnsi="Times New Roman"/>
        </w:rPr>
      </w:pPr>
      <w:r>
        <w:rPr>
          <w:rFonts w:ascii="Times New Roman" w:hAnsi="Times New Roman"/>
        </w:rPr>
        <w:t>移动办公系统：支持远程协作，适应后疫情时代的灵活工作模式</w:t>
      </w:r>
    </w:p>
    <w:bookmarkEnd w:id="202"/>
    <w:bookmarkEnd w:id="212"/>
    <w:p w14:paraId="4005DE7A">
      <w:pPr>
        <w:pStyle w:val="3"/>
      </w:pPr>
      <w:bookmarkStart w:id="213" w:name="_Toc222913183"/>
      <w:bookmarkStart w:id="214" w:name="_Toc222822813"/>
      <w:bookmarkStart w:id="215" w:name="生态合作构建可持续发展伙伴关系"/>
      <w:r>
        <w:t>5.5构建可持续发展伙伴关系</w:t>
      </w:r>
      <w:bookmarkEnd w:id="213"/>
      <w:bookmarkEnd w:id="214"/>
    </w:p>
    <w:p w14:paraId="1B070E58">
      <w:pPr>
        <w:pStyle w:val="36"/>
        <w:spacing w:before="0" w:after="0" w:line="400" w:lineRule="exact"/>
        <w:ind w:firstLine="480" w:firstLineChars="200"/>
        <w:jc w:val="both"/>
        <w:rPr>
          <w:rFonts w:ascii="Times New Roman" w:hAnsi="Times New Roman"/>
        </w:rPr>
      </w:pPr>
      <w:r>
        <w:rPr>
          <w:rFonts w:ascii="Times New Roman" w:hAnsi="Times New Roman"/>
        </w:rPr>
        <w:t>生态合作是HSM战略转型的长期保障，通过构建多层次伙伴关系实现共赢发展。</w:t>
      </w:r>
    </w:p>
    <w:p w14:paraId="2B080648">
      <w:pPr>
        <w:pStyle w:val="5"/>
      </w:pPr>
      <w:bookmarkStart w:id="216" w:name="_Toc222913184"/>
      <w:bookmarkStart w:id="217" w:name="_Toc222822814"/>
      <w:bookmarkStart w:id="218" w:name="与试验机厂家的深度合作模式"/>
      <w:r>
        <w:t>5.5.1 与试验机厂家的深度合作模式</w:t>
      </w:r>
      <w:bookmarkEnd w:id="216"/>
      <w:bookmarkEnd w:id="217"/>
    </w:p>
    <w:p w14:paraId="2CCCB6EB">
      <w:pPr>
        <w:pStyle w:val="36"/>
        <w:spacing w:before="0" w:after="0" w:line="400" w:lineRule="exact"/>
        <w:ind w:firstLine="480" w:firstLineChars="200"/>
        <w:jc w:val="both"/>
        <w:rPr>
          <w:rFonts w:ascii="Times New Roman" w:hAnsi="Times New Roman"/>
          <w:lang w:eastAsia="zh-CN"/>
        </w:rPr>
      </w:pPr>
      <w:r>
        <w:rPr>
          <w:rFonts w:ascii="Times New Roman" w:hAnsi="Times New Roman"/>
        </w:rPr>
        <w:t>与试验机厂家的合作超越简单的产品销售：</w:t>
      </w:r>
    </w:p>
    <w:p w14:paraId="4D142E63">
      <w:pPr>
        <w:pStyle w:val="36"/>
        <w:spacing w:before="0" w:after="0" w:line="400" w:lineRule="exact"/>
        <w:ind w:firstLine="480" w:firstLineChars="200"/>
        <w:jc w:val="both"/>
        <w:rPr>
          <w:rFonts w:ascii="Times New Roman" w:hAnsi="Times New Roman"/>
          <w:lang w:eastAsia="zh-CN"/>
        </w:rPr>
      </w:pPr>
      <w:r>
        <w:rPr>
          <w:rFonts w:ascii="Times New Roman" w:hAnsi="Times New Roman"/>
        </w:rPr>
        <w:t>技术集成合作：将HSM的DIC技术深度集成到试验机控制系统中</w:t>
      </w:r>
    </w:p>
    <w:p w14:paraId="33914006">
      <w:pPr>
        <w:pStyle w:val="36"/>
        <w:spacing w:before="0" w:after="0" w:line="400" w:lineRule="exact"/>
        <w:ind w:firstLine="480" w:firstLineChars="200"/>
        <w:jc w:val="both"/>
        <w:rPr>
          <w:rFonts w:ascii="Times New Roman" w:hAnsi="Times New Roman"/>
          <w:lang w:eastAsia="zh-CN"/>
        </w:rPr>
      </w:pPr>
      <w:r>
        <w:rPr>
          <w:rFonts w:ascii="Times New Roman" w:hAnsi="Times New Roman"/>
        </w:rPr>
        <w:t>联合研发：共同开发面向特定材料测试的专用测量模块</w:t>
      </w:r>
    </w:p>
    <w:p w14:paraId="067FB34E">
      <w:pPr>
        <w:pStyle w:val="36"/>
        <w:spacing w:before="0" w:after="0" w:line="400" w:lineRule="exact"/>
        <w:ind w:firstLine="480" w:firstLineChars="200"/>
        <w:jc w:val="both"/>
        <w:rPr>
          <w:rFonts w:ascii="Times New Roman" w:hAnsi="Times New Roman"/>
        </w:rPr>
      </w:pPr>
      <w:r>
        <w:rPr>
          <w:rFonts w:ascii="Times New Roman" w:hAnsi="Times New Roman"/>
        </w:rPr>
        <w:t>市场共拓：共享客户资源，联合拓展海外市场</w:t>
      </w:r>
    </w:p>
    <w:bookmarkEnd w:id="218"/>
    <w:p w14:paraId="3457EF8C">
      <w:pPr>
        <w:pStyle w:val="5"/>
      </w:pPr>
      <w:bookmarkStart w:id="219" w:name="_Toc222822815"/>
      <w:bookmarkStart w:id="220" w:name="_Toc222913185"/>
      <w:bookmarkStart w:id="221" w:name="地区合作伙伴培育与管理体系"/>
      <w:r>
        <w:t>5.5.2 地区合作伙伴培育与管理体系</w:t>
      </w:r>
      <w:bookmarkEnd w:id="219"/>
      <w:bookmarkEnd w:id="220"/>
    </w:p>
    <w:p w14:paraId="4D6020D1">
      <w:pPr>
        <w:pStyle w:val="36"/>
        <w:spacing w:before="0" w:after="0" w:line="400" w:lineRule="exact"/>
        <w:ind w:firstLine="480" w:firstLineChars="200"/>
        <w:jc w:val="both"/>
        <w:rPr>
          <w:rFonts w:ascii="Times New Roman" w:hAnsi="Times New Roman"/>
          <w:lang w:eastAsia="zh-CN"/>
        </w:rPr>
      </w:pPr>
      <w:r>
        <w:rPr>
          <w:rFonts w:ascii="Times New Roman" w:hAnsi="Times New Roman"/>
        </w:rPr>
        <w:t>针对视频跟踪仪业务，建立地区合作伙伴培育体系：</w:t>
      </w:r>
    </w:p>
    <w:p w14:paraId="0E4ACB56">
      <w:pPr>
        <w:pStyle w:val="36"/>
        <w:spacing w:before="0" w:after="0" w:line="400" w:lineRule="exact"/>
        <w:ind w:firstLine="480" w:firstLineChars="200"/>
        <w:jc w:val="both"/>
        <w:rPr>
          <w:rFonts w:ascii="Times New Roman" w:hAnsi="Times New Roman"/>
          <w:lang w:eastAsia="zh-CN"/>
        </w:rPr>
      </w:pPr>
      <w:r>
        <w:rPr>
          <w:rFonts w:ascii="Times New Roman" w:hAnsi="Times New Roman"/>
        </w:rPr>
        <w:t>合作伙伴分级管理：根据能力、业绩将合作伙伴分为金牌、银牌、铜牌三级</w:t>
      </w:r>
    </w:p>
    <w:p w14:paraId="2B5ED799">
      <w:pPr>
        <w:pStyle w:val="36"/>
        <w:spacing w:before="0" w:after="0" w:line="400" w:lineRule="exact"/>
        <w:ind w:firstLine="480" w:firstLineChars="200"/>
        <w:jc w:val="both"/>
        <w:rPr>
          <w:rFonts w:ascii="Times New Roman" w:hAnsi="Times New Roman"/>
          <w:lang w:eastAsia="zh-CN"/>
        </w:rPr>
      </w:pPr>
      <w:r>
        <w:rPr>
          <w:rFonts w:ascii="Times New Roman" w:hAnsi="Times New Roman"/>
        </w:rPr>
        <w:t>全方位支持：提供技术培训、市场资源、项目协作、资金支持等全方位赋能</w:t>
      </w:r>
    </w:p>
    <w:p w14:paraId="1987EE5B">
      <w:pPr>
        <w:pStyle w:val="36"/>
        <w:spacing w:before="0" w:after="0" w:line="400" w:lineRule="exact"/>
        <w:ind w:firstLine="480" w:firstLineChars="200"/>
        <w:jc w:val="both"/>
        <w:rPr>
          <w:rFonts w:ascii="Times New Roman" w:hAnsi="Times New Roman"/>
        </w:rPr>
      </w:pPr>
      <w:r>
        <w:rPr>
          <w:rFonts w:ascii="Times New Roman" w:hAnsi="Times New Roman"/>
        </w:rPr>
        <w:t>利益共享机制：建立透明的利润分配机制，确保合作伙伴有持续合作动力</w:t>
      </w:r>
    </w:p>
    <w:p w14:paraId="438B889E">
      <w:pPr>
        <w:pStyle w:val="4"/>
        <w:keepNext/>
        <w:widowControl w:val="0"/>
        <w:spacing w:before="240" w:after="120"/>
        <w:jc w:val="center"/>
        <w:rPr>
          <w:rFonts w:ascii="Times New Roman" w:hAnsi="Times New Roman"/>
          <w:sz w:val="22"/>
        </w:rPr>
      </w:pPr>
      <w:bookmarkStart w:id="222" w:name="表5-7地区合作伙伴选择标准与培育计划"/>
      <w:r>
        <w:rPr>
          <w:rFonts w:ascii="Times New Roman" w:hAnsi="Times New Roman"/>
          <w:sz w:val="22"/>
        </w:rPr>
        <w:t>表5</w:t>
      </w:r>
      <w:r>
        <w:rPr>
          <w:rFonts w:hint="eastAsia" w:ascii="Times New Roman" w:hAnsi="Times New Roman"/>
          <w:sz w:val="22"/>
          <w:lang w:val="en-US" w:eastAsia="zh-CN"/>
        </w:rPr>
        <w:t>.</w:t>
      </w:r>
      <w:r>
        <w:rPr>
          <w:rFonts w:ascii="Times New Roman" w:hAnsi="Times New Roman"/>
          <w:sz w:val="22"/>
        </w:rPr>
        <w:t>7：地区合作伙伴选择标准与培育计划</w:t>
      </w:r>
    </w:p>
    <w:tbl>
      <w:tblPr>
        <w:tblStyle w:val="41"/>
        <w:tblW w:w="4996" w:type="pct"/>
        <w:jc w:val="center"/>
        <w:tblLayout w:type="autofit"/>
        <w:tblCellMar>
          <w:top w:w="0" w:type="dxa"/>
          <w:left w:w="108" w:type="dxa"/>
          <w:bottom w:w="0" w:type="dxa"/>
          <w:right w:w="108" w:type="dxa"/>
        </w:tblCellMar>
      </w:tblPr>
      <w:tblGrid>
        <w:gridCol w:w="1717"/>
        <w:gridCol w:w="2008"/>
        <w:gridCol w:w="2008"/>
        <w:gridCol w:w="2008"/>
        <w:gridCol w:w="1425"/>
      </w:tblGrid>
      <w:tr w14:paraId="623AB187">
        <w:tblPrEx>
          <w:tblCellMar>
            <w:top w:w="0" w:type="dxa"/>
            <w:left w:w="108" w:type="dxa"/>
            <w:bottom w:w="0" w:type="dxa"/>
            <w:right w:w="108" w:type="dxa"/>
          </w:tblCellMar>
        </w:tblPrEx>
        <w:trPr>
          <w:jc w:val="center"/>
        </w:trPr>
        <w:tc>
          <w:tcPr>
            <w:tcW w:w="936" w:type="pct"/>
            <w:tcBorders>
              <w:top w:val="single" w:color="000000" w:sz="12" w:space="0"/>
              <w:left w:val="nil"/>
              <w:bottom w:val="single" w:color="000000" w:sz="4" w:space="0"/>
              <w:right w:val="nil"/>
              <w:tl2br w:val="nil"/>
            </w:tcBorders>
            <w:shd w:val="clear" w:color="auto" w:fill="FFFFFF"/>
            <w:vAlign w:val="center"/>
          </w:tcPr>
          <w:p w14:paraId="05BDD3AB">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选择标准</w:t>
            </w:r>
          </w:p>
        </w:tc>
        <w:tc>
          <w:tcPr>
            <w:tcW w:w="1095" w:type="pct"/>
            <w:tcBorders>
              <w:top w:val="single" w:color="000000" w:sz="12" w:space="0"/>
              <w:left w:val="nil"/>
              <w:bottom w:val="single" w:color="000000" w:sz="4" w:space="0"/>
              <w:right w:val="nil"/>
            </w:tcBorders>
            <w:shd w:val="clear" w:color="auto" w:fill="FFFFFF"/>
            <w:vAlign w:val="center"/>
          </w:tcPr>
          <w:p w14:paraId="630BAB07">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金牌合作伙伴</w:t>
            </w:r>
          </w:p>
        </w:tc>
        <w:tc>
          <w:tcPr>
            <w:tcW w:w="1095" w:type="pct"/>
            <w:tcBorders>
              <w:top w:val="single" w:color="000000" w:sz="12" w:space="0"/>
              <w:left w:val="nil"/>
              <w:bottom w:val="single" w:color="000000" w:sz="4" w:space="0"/>
              <w:right w:val="nil"/>
            </w:tcBorders>
            <w:shd w:val="clear" w:color="auto" w:fill="FFFFFF"/>
            <w:vAlign w:val="center"/>
          </w:tcPr>
          <w:p w14:paraId="5BD7BD3D">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银牌合作伙伴</w:t>
            </w:r>
          </w:p>
        </w:tc>
        <w:tc>
          <w:tcPr>
            <w:tcW w:w="1095" w:type="pct"/>
            <w:tcBorders>
              <w:top w:val="single" w:color="000000" w:sz="12" w:space="0"/>
              <w:left w:val="nil"/>
              <w:bottom w:val="single" w:color="000000" w:sz="4" w:space="0"/>
              <w:right w:val="nil"/>
            </w:tcBorders>
            <w:shd w:val="clear" w:color="auto" w:fill="FFFFFF"/>
            <w:vAlign w:val="center"/>
          </w:tcPr>
          <w:p w14:paraId="2554B35B">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铜牌合作伙伴</w:t>
            </w:r>
          </w:p>
        </w:tc>
        <w:tc>
          <w:tcPr>
            <w:tcW w:w="777" w:type="pct"/>
            <w:tcBorders>
              <w:top w:val="single" w:color="000000" w:sz="12" w:space="0"/>
              <w:left w:val="nil"/>
              <w:bottom w:val="single" w:color="000000" w:sz="4" w:space="0"/>
              <w:right w:val="nil"/>
            </w:tcBorders>
            <w:shd w:val="clear" w:color="auto" w:fill="FFFFFF"/>
            <w:vAlign w:val="center"/>
          </w:tcPr>
          <w:p w14:paraId="27A3E99F">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培育重点</w:t>
            </w:r>
          </w:p>
        </w:tc>
      </w:tr>
      <w:tr w14:paraId="35914576">
        <w:tblPrEx>
          <w:tblCellMar>
            <w:top w:w="0" w:type="dxa"/>
            <w:left w:w="108" w:type="dxa"/>
            <w:bottom w:w="0" w:type="dxa"/>
            <w:right w:w="108" w:type="dxa"/>
          </w:tblCellMar>
        </w:tblPrEx>
        <w:trPr>
          <w:jc w:val="center"/>
        </w:trPr>
        <w:tc>
          <w:tcPr>
            <w:tcW w:w="936" w:type="pct"/>
            <w:tcBorders>
              <w:top w:val="single" w:color="000000" w:sz="4" w:space="0"/>
              <w:left w:val="nil"/>
              <w:bottom w:val="nil"/>
              <w:right w:val="nil"/>
            </w:tcBorders>
            <w:shd w:val="clear" w:color="auto" w:fill="FFFFFF"/>
            <w:vAlign w:val="center"/>
          </w:tcPr>
          <w:p w14:paraId="299E2751">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bCs/>
                <w:color w:val="000000"/>
                <w:sz w:val="22"/>
                <w:szCs w:val="22"/>
              </w:rPr>
              <w:t>技术能力</w:t>
            </w:r>
          </w:p>
        </w:tc>
        <w:tc>
          <w:tcPr>
            <w:tcW w:w="1095" w:type="pct"/>
            <w:tcBorders>
              <w:top w:val="single" w:color="000000" w:sz="4" w:space="0"/>
              <w:left w:val="nil"/>
              <w:bottom w:val="nil"/>
              <w:right w:val="nil"/>
            </w:tcBorders>
            <w:shd w:val="clear" w:color="auto" w:fill="FFFFFF"/>
            <w:vAlign w:val="center"/>
          </w:tcPr>
          <w:p w14:paraId="4B1E1F9F">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自有研发团队</w:t>
            </w:r>
          </w:p>
        </w:tc>
        <w:tc>
          <w:tcPr>
            <w:tcW w:w="1095" w:type="pct"/>
            <w:tcBorders>
              <w:top w:val="single" w:color="000000" w:sz="4" w:space="0"/>
              <w:left w:val="nil"/>
              <w:bottom w:val="nil"/>
              <w:right w:val="nil"/>
            </w:tcBorders>
            <w:shd w:val="clear" w:color="auto" w:fill="FFFFFF"/>
            <w:vAlign w:val="center"/>
          </w:tcPr>
          <w:p w14:paraId="6FDDAB50">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技术实施团队</w:t>
            </w:r>
          </w:p>
        </w:tc>
        <w:tc>
          <w:tcPr>
            <w:tcW w:w="1095" w:type="pct"/>
            <w:tcBorders>
              <w:top w:val="single" w:color="000000" w:sz="4" w:space="0"/>
              <w:left w:val="nil"/>
              <w:bottom w:val="nil"/>
              <w:right w:val="nil"/>
            </w:tcBorders>
            <w:shd w:val="clear" w:color="auto" w:fill="FFFFFF"/>
            <w:vAlign w:val="center"/>
          </w:tcPr>
          <w:p w14:paraId="35BA213E">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基础技术能力</w:t>
            </w:r>
          </w:p>
        </w:tc>
        <w:tc>
          <w:tcPr>
            <w:tcW w:w="777" w:type="pct"/>
            <w:tcBorders>
              <w:top w:val="single" w:color="000000" w:sz="4" w:space="0"/>
              <w:left w:val="nil"/>
              <w:bottom w:val="nil"/>
              <w:right w:val="nil"/>
            </w:tcBorders>
            <w:shd w:val="clear" w:color="auto" w:fill="FFFFFF"/>
            <w:vAlign w:val="center"/>
          </w:tcPr>
          <w:p w14:paraId="259D8CE3">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技术培训</w:t>
            </w:r>
          </w:p>
        </w:tc>
      </w:tr>
      <w:tr w14:paraId="623D43F0">
        <w:tblPrEx>
          <w:tblCellMar>
            <w:top w:w="0" w:type="dxa"/>
            <w:left w:w="108" w:type="dxa"/>
            <w:bottom w:w="0" w:type="dxa"/>
            <w:right w:w="108" w:type="dxa"/>
          </w:tblCellMar>
        </w:tblPrEx>
        <w:trPr>
          <w:jc w:val="center"/>
        </w:trPr>
        <w:tc>
          <w:tcPr>
            <w:tcW w:w="936" w:type="pct"/>
            <w:tcBorders>
              <w:top w:val="nil"/>
              <w:left w:val="nil"/>
              <w:bottom w:val="nil"/>
              <w:right w:val="nil"/>
            </w:tcBorders>
            <w:shd w:val="clear" w:color="auto" w:fill="FFFFFF"/>
            <w:vAlign w:val="center"/>
          </w:tcPr>
          <w:p w14:paraId="31748AEB">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bCs/>
                <w:color w:val="000000"/>
                <w:sz w:val="22"/>
                <w:szCs w:val="22"/>
              </w:rPr>
              <w:t>行业经验</w:t>
            </w:r>
          </w:p>
        </w:tc>
        <w:tc>
          <w:tcPr>
            <w:tcW w:w="1095" w:type="pct"/>
            <w:tcBorders>
              <w:top w:val="nil"/>
              <w:left w:val="nil"/>
              <w:bottom w:val="nil"/>
              <w:right w:val="nil"/>
            </w:tcBorders>
            <w:shd w:val="clear" w:color="auto" w:fill="FFFFFF"/>
            <w:vAlign w:val="center"/>
          </w:tcPr>
          <w:p w14:paraId="41B8ABE8">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5年以上</w:t>
            </w:r>
          </w:p>
        </w:tc>
        <w:tc>
          <w:tcPr>
            <w:tcW w:w="1095" w:type="pct"/>
            <w:tcBorders>
              <w:top w:val="nil"/>
              <w:left w:val="nil"/>
              <w:bottom w:val="nil"/>
              <w:right w:val="nil"/>
            </w:tcBorders>
            <w:shd w:val="clear" w:color="auto" w:fill="FFFFFF"/>
            <w:vAlign w:val="center"/>
          </w:tcPr>
          <w:p w14:paraId="4C590CAA">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3-5年</w:t>
            </w:r>
          </w:p>
        </w:tc>
        <w:tc>
          <w:tcPr>
            <w:tcW w:w="1095" w:type="pct"/>
            <w:tcBorders>
              <w:top w:val="nil"/>
              <w:left w:val="nil"/>
              <w:bottom w:val="nil"/>
              <w:right w:val="nil"/>
            </w:tcBorders>
            <w:shd w:val="clear" w:color="auto" w:fill="FFFFFF"/>
            <w:vAlign w:val="center"/>
          </w:tcPr>
          <w:p w14:paraId="5E72EDDE">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1-3年</w:t>
            </w:r>
          </w:p>
        </w:tc>
        <w:tc>
          <w:tcPr>
            <w:tcW w:w="777" w:type="pct"/>
            <w:tcBorders>
              <w:top w:val="nil"/>
              <w:left w:val="nil"/>
              <w:bottom w:val="nil"/>
              <w:right w:val="nil"/>
            </w:tcBorders>
            <w:shd w:val="clear" w:color="auto" w:fill="FFFFFF"/>
            <w:vAlign w:val="center"/>
          </w:tcPr>
          <w:p w14:paraId="7BE00824">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案例分享</w:t>
            </w:r>
          </w:p>
        </w:tc>
      </w:tr>
      <w:tr w14:paraId="4D22BCE6">
        <w:tblPrEx>
          <w:tblCellMar>
            <w:top w:w="0" w:type="dxa"/>
            <w:left w:w="108" w:type="dxa"/>
            <w:bottom w:w="0" w:type="dxa"/>
            <w:right w:w="108" w:type="dxa"/>
          </w:tblCellMar>
        </w:tblPrEx>
        <w:trPr>
          <w:jc w:val="center"/>
        </w:trPr>
        <w:tc>
          <w:tcPr>
            <w:tcW w:w="936" w:type="pct"/>
            <w:tcBorders>
              <w:top w:val="nil"/>
              <w:left w:val="nil"/>
              <w:bottom w:val="single" w:color="000000" w:sz="12" w:space="0"/>
              <w:right w:val="nil"/>
            </w:tcBorders>
            <w:shd w:val="clear" w:color="auto" w:fill="FFFFFF"/>
            <w:vAlign w:val="center"/>
          </w:tcPr>
          <w:p w14:paraId="31D60AF6">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bCs/>
                <w:color w:val="000000"/>
                <w:sz w:val="22"/>
                <w:szCs w:val="22"/>
              </w:rPr>
              <w:t>资金实力</w:t>
            </w:r>
          </w:p>
        </w:tc>
        <w:tc>
          <w:tcPr>
            <w:tcW w:w="1095" w:type="pct"/>
            <w:tcBorders>
              <w:top w:val="nil"/>
              <w:left w:val="nil"/>
              <w:bottom w:val="single" w:color="000000" w:sz="12" w:space="0"/>
              <w:right w:val="nil"/>
            </w:tcBorders>
            <w:shd w:val="clear" w:color="auto" w:fill="FFFFFF"/>
            <w:vAlign w:val="center"/>
          </w:tcPr>
          <w:p w14:paraId="79ED467A">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雄厚</w:t>
            </w:r>
          </w:p>
        </w:tc>
        <w:tc>
          <w:tcPr>
            <w:tcW w:w="1095" w:type="pct"/>
            <w:tcBorders>
              <w:top w:val="nil"/>
              <w:left w:val="nil"/>
              <w:bottom w:val="single" w:color="000000" w:sz="12" w:space="0"/>
              <w:right w:val="nil"/>
            </w:tcBorders>
            <w:shd w:val="clear" w:color="auto" w:fill="FFFFFF"/>
            <w:vAlign w:val="center"/>
          </w:tcPr>
          <w:p w14:paraId="7C1DD1C7">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良好</w:t>
            </w:r>
          </w:p>
        </w:tc>
        <w:tc>
          <w:tcPr>
            <w:tcW w:w="1095" w:type="pct"/>
            <w:tcBorders>
              <w:top w:val="nil"/>
              <w:left w:val="nil"/>
              <w:bottom w:val="single" w:color="000000" w:sz="12" w:space="0"/>
              <w:right w:val="nil"/>
            </w:tcBorders>
            <w:shd w:val="clear" w:color="auto" w:fill="FFFFFF"/>
            <w:vAlign w:val="center"/>
          </w:tcPr>
          <w:p w14:paraId="4E9B92F4">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一般</w:t>
            </w:r>
          </w:p>
        </w:tc>
        <w:tc>
          <w:tcPr>
            <w:tcW w:w="777" w:type="pct"/>
            <w:tcBorders>
              <w:top w:val="nil"/>
              <w:left w:val="nil"/>
              <w:bottom w:val="single" w:color="000000" w:sz="12" w:space="0"/>
              <w:right w:val="nil"/>
            </w:tcBorders>
            <w:shd w:val="clear" w:color="auto" w:fill="FFFFFF"/>
            <w:vAlign w:val="center"/>
          </w:tcPr>
          <w:p w14:paraId="443F5A37">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金融支持</w:t>
            </w:r>
          </w:p>
        </w:tc>
      </w:tr>
    </w:tbl>
    <w:p w14:paraId="1735A4B2">
      <w:pPr>
        <w:pStyle w:val="4"/>
        <w:keepNext/>
        <w:widowControl w:val="0"/>
        <w:spacing w:before="240" w:after="120"/>
        <w:jc w:val="center"/>
      </w:pPr>
      <w:r>
        <w:rPr>
          <w:rFonts w:hint="eastAsia" w:ascii="Times New Roman" w:hAnsi="Times New Roman"/>
          <w:sz w:val="22"/>
          <w:lang w:val="en-US" w:eastAsia="zh-CN"/>
        </w:rPr>
        <w:t>续</w:t>
      </w:r>
      <w:r>
        <w:rPr>
          <w:rFonts w:ascii="Times New Roman" w:hAnsi="Times New Roman"/>
          <w:sz w:val="22"/>
        </w:rPr>
        <w:t>表5</w:t>
      </w:r>
      <w:r>
        <w:rPr>
          <w:rFonts w:hint="eastAsia" w:ascii="Times New Roman" w:hAnsi="Times New Roman"/>
          <w:sz w:val="22"/>
          <w:lang w:val="en-US" w:eastAsia="zh-CN"/>
        </w:rPr>
        <w:t>.</w:t>
      </w:r>
      <w:r>
        <w:rPr>
          <w:rFonts w:ascii="Times New Roman" w:hAnsi="Times New Roman"/>
          <w:sz w:val="22"/>
        </w:rPr>
        <w:t>7：地区合作伙伴选择标准与培育计划</w:t>
      </w:r>
    </w:p>
    <w:tbl>
      <w:tblPr>
        <w:tblStyle w:val="41"/>
        <w:tblW w:w="4996" w:type="pct"/>
        <w:jc w:val="center"/>
        <w:tblLayout w:type="autofit"/>
        <w:tblCellMar>
          <w:top w:w="0" w:type="dxa"/>
          <w:left w:w="108" w:type="dxa"/>
          <w:bottom w:w="0" w:type="dxa"/>
          <w:right w:w="108" w:type="dxa"/>
        </w:tblCellMar>
      </w:tblPr>
      <w:tblGrid>
        <w:gridCol w:w="1717"/>
        <w:gridCol w:w="2008"/>
        <w:gridCol w:w="2008"/>
        <w:gridCol w:w="2008"/>
        <w:gridCol w:w="1425"/>
      </w:tblGrid>
      <w:tr w14:paraId="668733F4">
        <w:tblPrEx>
          <w:tblCellMar>
            <w:top w:w="0" w:type="dxa"/>
            <w:left w:w="108" w:type="dxa"/>
            <w:bottom w:w="0" w:type="dxa"/>
            <w:right w:w="108" w:type="dxa"/>
          </w:tblCellMar>
        </w:tblPrEx>
        <w:trPr>
          <w:jc w:val="center"/>
        </w:trPr>
        <w:tc>
          <w:tcPr>
            <w:tcW w:w="936" w:type="pct"/>
            <w:tcBorders>
              <w:top w:val="single" w:color="000000" w:sz="12" w:space="0"/>
              <w:left w:val="nil"/>
              <w:bottom w:val="single" w:color="000000" w:sz="4" w:space="0"/>
              <w:right w:val="nil"/>
              <w:tl2br w:val="nil"/>
            </w:tcBorders>
            <w:shd w:val="clear" w:color="auto" w:fill="FFFFFF"/>
            <w:vAlign w:val="center"/>
          </w:tcPr>
          <w:p w14:paraId="1E457481">
            <w:pPr>
              <w:pStyle w:val="37"/>
              <w:spacing w:before="60" w:after="60"/>
              <w:jc w:val="center"/>
              <w:rPr>
                <w:rFonts w:ascii="Times New Roman" w:hAnsi="Times New Roman" w:eastAsia="宋体" w:cstheme="minorBidi"/>
                <w:b w:val="0"/>
                <w:color w:val="000000"/>
                <w:sz w:val="22"/>
                <w:szCs w:val="22"/>
                <w:lang w:val="en-US" w:eastAsia="en-US" w:bidi="ar-SA"/>
              </w:rPr>
            </w:pPr>
            <w:r>
              <w:rPr>
                <w:rFonts w:ascii="Times New Roman" w:hAnsi="Times New Roman" w:eastAsia="宋体"/>
                <w:b w:val="0"/>
                <w:color w:val="000000"/>
                <w:sz w:val="22"/>
                <w:szCs w:val="22"/>
              </w:rPr>
              <w:t>选择标准</w:t>
            </w:r>
          </w:p>
        </w:tc>
        <w:tc>
          <w:tcPr>
            <w:tcW w:w="1095" w:type="pct"/>
            <w:tcBorders>
              <w:top w:val="single" w:color="000000" w:sz="12" w:space="0"/>
              <w:left w:val="nil"/>
              <w:bottom w:val="single" w:color="000000" w:sz="4" w:space="0"/>
              <w:right w:val="nil"/>
            </w:tcBorders>
            <w:shd w:val="clear" w:color="auto" w:fill="FFFFFF"/>
            <w:vAlign w:val="center"/>
          </w:tcPr>
          <w:p w14:paraId="4ED33511">
            <w:pPr>
              <w:pStyle w:val="37"/>
              <w:spacing w:before="60" w:after="60"/>
              <w:jc w:val="center"/>
              <w:rPr>
                <w:rFonts w:ascii="Times New Roman" w:hAnsi="Times New Roman" w:eastAsia="宋体" w:cstheme="minorBidi"/>
                <w:b w:val="0"/>
                <w:color w:val="000000"/>
                <w:sz w:val="22"/>
                <w:szCs w:val="22"/>
                <w:lang w:val="en-US" w:eastAsia="en-US" w:bidi="ar-SA"/>
              </w:rPr>
            </w:pPr>
            <w:r>
              <w:rPr>
                <w:rFonts w:ascii="Times New Roman" w:hAnsi="Times New Roman" w:eastAsia="宋体"/>
                <w:b w:val="0"/>
                <w:color w:val="000000"/>
                <w:sz w:val="22"/>
                <w:szCs w:val="22"/>
              </w:rPr>
              <w:t>金牌合作伙伴</w:t>
            </w:r>
          </w:p>
        </w:tc>
        <w:tc>
          <w:tcPr>
            <w:tcW w:w="1095" w:type="pct"/>
            <w:tcBorders>
              <w:top w:val="single" w:color="000000" w:sz="12" w:space="0"/>
              <w:left w:val="nil"/>
              <w:bottom w:val="single" w:color="000000" w:sz="4" w:space="0"/>
              <w:right w:val="nil"/>
            </w:tcBorders>
            <w:shd w:val="clear" w:color="auto" w:fill="FFFFFF"/>
            <w:vAlign w:val="center"/>
          </w:tcPr>
          <w:p w14:paraId="52A1261C">
            <w:pPr>
              <w:pStyle w:val="37"/>
              <w:spacing w:before="60" w:after="60"/>
              <w:jc w:val="center"/>
              <w:rPr>
                <w:rFonts w:ascii="Times New Roman" w:hAnsi="Times New Roman" w:eastAsia="宋体" w:cstheme="minorBidi"/>
                <w:b w:val="0"/>
                <w:color w:val="000000"/>
                <w:sz w:val="22"/>
                <w:szCs w:val="22"/>
                <w:lang w:val="en-US" w:eastAsia="en-US" w:bidi="ar-SA"/>
              </w:rPr>
            </w:pPr>
            <w:r>
              <w:rPr>
                <w:rFonts w:ascii="Times New Roman" w:hAnsi="Times New Roman" w:eastAsia="宋体"/>
                <w:b w:val="0"/>
                <w:color w:val="000000"/>
                <w:sz w:val="22"/>
                <w:szCs w:val="22"/>
              </w:rPr>
              <w:t>银牌合作伙伴</w:t>
            </w:r>
          </w:p>
        </w:tc>
        <w:tc>
          <w:tcPr>
            <w:tcW w:w="1095" w:type="pct"/>
            <w:tcBorders>
              <w:top w:val="single" w:color="000000" w:sz="12" w:space="0"/>
              <w:left w:val="nil"/>
              <w:bottom w:val="single" w:color="000000" w:sz="4" w:space="0"/>
              <w:right w:val="nil"/>
            </w:tcBorders>
            <w:shd w:val="clear" w:color="auto" w:fill="FFFFFF"/>
            <w:vAlign w:val="center"/>
          </w:tcPr>
          <w:p w14:paraId="26C83956">
            <w:pPr>
              <w:pStyle w:val="37"/>
              <w:spacing w:before="60" w:after="60"/>
              <w:jc w:val="center"/>
              <w:rPr>
                <w:rFonts w:ascii="Times New Roman" w:hAnsi="Times New Roman" w:eastAsia="宋体" w:cstheme="minorBidi"/>
                <w:b w:val="0"/>
                <w:color w:val="000000"/>
                <w:sz w:val="22"/>
                <w:szCs w:val="22"/>
                <w:lang w:val="en-US" w:eastAsia="en-US" w:bidi="ar-SA"/>
              </w:rPr>
            </w:pPr>
            <w:r>
              <w:rPr>
                <w:rFonts w:ascii="Times New Roman" w:hAnsi="Times New Roman" w:eastAsia="宋体"/>
                <w:b w:val="0"/>
                <w:color w:val="000000"/>
                <w:sz w:val="22"/>
                <w:szCs w:val="22"/>
              </w:rPr>
              <w:t>铜牌合作伙伴</w:t>
            </w:r>
          </w:p>
        </w:tc>
        <w:tc>
          <w:tcPr>
            <w:tcW w:w="777" w:type="pct"/>
            <w:tcBorders>
              <w:top w:val="single" w:color="000000" w:sz="12" w:space="0"/>
              <w:left w:val="nil"/>
              <w:bottom w:val="single" w:color="000000" w:sz="4" w:space="0"/>
              <w:right w:val="nil"/>
            </w:tcBorders>
            <w:shd w:val="clear" w:color="auto" w:fill="FFFFFF"/>
            <w:vAlign w:val="center"/>
          </w:tcPr>
          <w:p w14:paraId="7A94B8AB">
            <w:pPr>
              <w:pStyle w:val="37"/>
              <w:spacing w:before="60" w:after="60"/>
              <w:jc w:val="center"/>
              <w:rPr>
                <w:rFonts w:ascii="Times New Roman" w:hAnsi="Times New Roman" w:eastAsia="宋体" w:cstheme="minorBidi"/>
                <w:b w:val="0"/>
                <w:color w:val="000000"/>
                <w:sz w:val="22"/>
                <w:szCs w:val="22"/>
                <w:lang w:val="en-US" w:eastAsia="en-US" w:bidi="ar-SA"/>
              </w:rPr>
            </w:pPr>
            <w:r>
              <w:rPr>
                <w:rFonts w:ascii="Times New Roman" w:hAnsi="Times New Roman" w:eastAsia="宋体"/>
                <w:b w:val="0"/>
                <w:color w:val="000000"/>
                <w:sz w:val="22"/>
                <w:szCs w:val="22"/>
              </w:rPr>
              <w:t>培育重点</w:t>
            </w:r>
          </w:p>
        </w:tc>
      </w:tr>
      <w:tr w14:paraId="784DF659">
        <w:tblPrEx>
          <w:tblCellMar>
            <w:top w:w="0" w:type="dxa"/>
            <w:left w:w="108" w:type="dxa"/>
            <w:bottom w:w="0" w:type="dxa"/>
            <w:right w:w="108" w:type="dxa"/>
          </w:tblCellMar>
        </w:tblPrEx>
        <w:trPr>
          <w:jc w:val="center"/>
        </w:trPr>
        <w:tc>
          <w:tcPr>
            <w:tcW w:w="936" w:type="pct"/>
            <w:tcBorders>
              <w:top w:val="single" w:color="000000" w:sz="4" w:space="0"/>
              <w:left w:val="nil"/>
              <w:bottom w:val="nil"/>
              <w:right w:val="nil"/>
            </w:tcBorders>
            <w:shd w:val="clear" w:color="auto" w:fill="FFFFFF"/>
            <w:vAlign w:val="center"/>
          </w:tcPr>
          <w:p w14:paraId="1141A6CB">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bCs/>
                <w:color w:val="000000"/>
                <w:sz w:val="22"/>
                <w:szCs w:val="22"/>
              </w:rPr>
              <w:t>市场覆盖</w:t>
            </w:r>
          </w:p>
        </w:tc>
        <w:tc>
          <w:tcPr>
            <w:tcW w:w="1095" w:type="pct"/>
            <w:tcBorders>
              <w:top w:val="single" w:color="000000" w:sz="4" w:space="0"/>
              <w:left w:val="nil"/>
              <w:bottom w:val="nil"/>
              <w:right w:val="nil"/>
            </w:tcBorders>
            <w:shd w:val="clear" w:color="auto" w:fill="FFFFFF"/>
            <w:vAlign w:val="center"/>
          </w:tcPr>
          <w:p w14:paraId="65ADC466">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省级覆盖</w:t>
            </w:r>
          </w:p>
        </w:tc>
        <w:tc>
          <w:tcPr>
            <w:tcW w:w="1095" w:type="pct"/>
            <w:tcBorders>
              <w:top w:val="single" w:color="000000" w:sz="4" w:space="0"/>
              <w:left w:val="nil"/>
              <w:bottom w:val="nil"/>
              <w:right w:val="nil"/>
            </w:tcBorders>
            <w:shd w:val="clear" w:color="auto" w:fill="FFFFFF"/>
            <w:vAlign w:val="center"/>
          </w:tcPr>
          <w:p w14:paraId="248F60E9">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地市级覆盖</w:t>
            </w:r>
          </w:p>
        </w:tc>
        <w:tc>
          <w:tcPr>
            <w:tcW w:w="1095" w:type="pct"/>
            <w:tcBorders>
              <w:top w:val="single" w:color="000000" w:sz="4" w:space="0"/>
              <w:left w:val="nil"/>
              <w:bottom w:val="nil"/>
              <w:right w:val="nil"/>
            </w:tcBorders>
            <w:shd w:val="clear" w:color="auto" w:fill="FFFFFF"/>
            <w:vAlign w:val="center"/>
          </w:tcPr>
          <w:p w14:paraId="17AC6A18">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县级覆盖</w:t>
            </w:r>
          </w:p>
        </w:tc>
        <w:tc>
          <w:tcPr>
            <w:tcW w:w="777" w:type="pct"/>
            <w:tcBorders>
              <w:top w:val="single" w:color="000000" w:sz="4" w:space="0"/>
              <w:left w:val="nil"/>
              <w:bottom w:val="nil"/>
              <w:right w:val="nil"/>
            </w:tcBorders>
            <w:shd w:val="clear" w:color="auto" w:fill="FFFFFF"/>
            <w:vAlign w:val="center"/>
          </w:tcPr>
          <w:p w14:paraId="509CF985">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市场协同</w:t>
            </w:r>
          </w:p>
        </w:tc>
      </w:tr>
      <w:tr w14:paraId="0945A647">
        <w:tblPrEx>
          <w:tblCellMar>
            <w:top w:w="0" w:type="dxa"/>
            <w:left w:w="108" w:type="dxa"/>
            <w:bottom w:w="0" w:type="dxa"/>
            <w:right w:w="108" w:type="dxa"/>
          </w:tblCellMar>
        </w:tblPrEx>
        <w:trPr>
          <w:jc w:val="center"/>
        </w:trPr>
        <w:tc>
          <w:tcPr>
            <w:tcW w:w="936" w:type="pct"/>
            <w:tcBorders>
              <w:top w:val="nil"/>
              <w:left w:val="nil"/>
              <w:bottom w:val="nil"/>
              <w:right w:val="nil"/>
            </w:tcBorders>
            <w:shd w:val="clear" w:color="auto" w:fill="FFFFFF"/>
            <w:vAlign w:val="center"/>
          </w:tcPr>
          <w:p w14:paraId="6EBEF58F">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bCs/>
                <w:color w:val="000000"/>
                <w:sz w:val="22"/>
                <w:szCs w:val="22"/>
              </w:rPr>
              <w:t>年项目能力</w:t>
            </w:r>
          </w:p>
        </w:tc>
        <w:tc>
          <w:tcPr>
            <w:tcW w:w="1095" w:type="pct"/>
            <w:tcBorders>
              <w:top w:val="nil"/>
              <w:left w:val="nil"/>
              <w:bottom w:val="nil"/>
              <w:right w:val="nil"/>
            </w:tcBorders>
            <w:shd w:val="clear" w:color="auto" w:fill="FFFFFF"/>
            <w:vAlign w:val="center"/>
          </w:tcPr>
          <w:p w14:paraId="6D1132DE">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10个以上</w:t>
            </w:r>
          </w:p>
        </w:tc>
        <w:tc>
          <w:tcPr>
            <w:tcW w:w="1095" w:type="pct"/>
            <w:tcBorders>
              <w:top w:val="nil"/>
              <w:left w:val="nil"/>
              <w:bottom w:val="nil"/>
              <w:right w:val="nil"/>
            </w:tcBorders>
            <w:shd w:val="clear" w:color="auto" w:fill="FFFFFF"/>
            <w:vAlign w:val="center"/>
          </w:tcPr>
          <w:p w14:paraId="19CB714A">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5-10个</w:t>
            </w:r>
          </w:p>
        </w:tc>
        <w:tc>
          <w:tcPr>
            <w:tcW w:w="1095" w:type="pct"/>
            <w:tcBorders>
              <w:top w:val="nil"/>
              <w:left w:val="nil"/>
              <w:bottom w:val="nil"/>
              <w:right w:val="nil"/>
            </w:tcBorders>
            <w:shd w:val="clear" w:color="auto" w:fill="FFFFFF"/>
            <w:vAlign w:val="center"/>
          </w:tcPr>
          <w:p w14:paraId="204F11F2">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1-5个</w:t>
            </w:r>
          </w:p>
        </w:tc>
        <w:tc>
          <w:tcPr>
            <w:tcW w:w="777" w:type="pct"/>
            <w:tcBorders>
              <w:top w:val="nil"/>
              <w:left w:val="nil"/>
              <w:bottom w:val="nil"/>
              <w:right w:val="nil"/>
            </w:tcBorders>
            <w:shd w:val="clear" w:color="auto" w:fill="FFFFFF"/>
            <w:vAlign w:val="center"/>
          </w:tcPr>
          <w:p w14:paraId="15E5E844">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项目协作</w:t>
            </w:r>
          </w:p>
        </w:tc>
      </w:tr>
      <w:tr w14:paraId="1557D2EC">
        <w:tblPrEx>
          <w:tblCellMar>
            <w:top w:w="0" w:type="dxa"/>
            <w:left w:w="108" w:type="dxa"/>
            <w:bottom w:w="0" w:type="dxa"/>
            <w:right w:w="108" w:type="dxa"/>
          </w:tblCellMar>
        </w:tblPrEx>
        <w:trPr>
          <w:jc w:val="center"/>
        </w:trPr>
        <w:tc>
          <w:tcPr>
            <w:tcW w:w="936" w:type="pct"/>
            <w:tcBorders>
              <w:top w:val="nil"/>
              <w:left w:val="nil"/>
              <w:bottom w:val="single" w:color="000000" w:sz="12" w:space="0"/>
              <w:right w:val="nil"/>
            </w:tcBorders>
            <w:shd w:val="clear" w:color="auto" w:fill="FFFFFF"/>
            <w:vAlign w:val="center"/>
          </w:tcPr>
          <w:p w14:paraId="6A380C23">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bCs/>
                <w:color w:val="000000"/>
                <w:sz w:val="22"/>
                <w:szCs w:val="22"/>
              </w:rPr>
              <w:t>培育周期</w:t>
            </w:r>
          </w:p>
        </w:tc>
        <w:tc>
          <w:tcPr>
            <w:tcW w:w="1095" w:type="pct"/>
            <w:tcBorders>
              <w:top w:val="nil"/>
              <w:left w:val="nil"/>
              <w:bottom w:val="single" w:color="000000" w:sz="12" w:space="0"/>
              <w:right w:val="nil"/>
            </w:tcBorders>
            <w:shd w:val="clear" w:color="auto" w:fill="FFFFFF"/>
            <w:vAlign w:val="center"/>
          </w:tcPr>
          <w:p w14:paraId="748738DA">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6个月</w:t>
            </w:r>
          </w:p>
        </w:tc>
        <w:tc>
          <w:tcPr>
            <w:tcW w:w="1095" w:type="pct"/>
            <w:tcBorders>
              <w:top w:val="nil"/>
              <w:left w:val="nil"/>
              <w:bottom w:val="single" w:color="000000" w:sz="12" w:space="0"/>
              <w:right w:val="nil"/>
            </w:tcBorders>
            <w:shd w:val="clear" w:color="auto" w:fill="FFFFFF"/>
            <w:vAlign w:val="center"/>
          </w:tcPr>
          <w:p w14:paraId="76713F3B">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9个月</w:t>
            </w:r>
          </w:p>
        </w:tc>
        <w:tc>
          <w:tcPr>
            <w:tcW w:w="1095" w:type="pct"/>
            <w:tcBorders>
              <w:top w:val="nil"/>
              <w:left w:val="nil"/>
              <w:bottom w:val="single" w:color="000000" w:sz="12" w:space="0"/>
              <w:right w:val="nil"/>
            </w:tcBorders>
            <w:shd w:val="clear" w:color="auto" w:fill="FFFFFF"/>
            <w:vAlign w:val="center"/>
          </w:tcPr>
          <w:p w14:paraId="22D27DBC">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12个月</w:t>
            </w:r>
          </w:p>
        </w:tc>
        <w:tc>
          <w:tcPr>
            <w:tcW w:w="777" w:type="pct"/>
            <w:tcBorders>
              <w:top w:val="nil"/>
              <w:left w:val="nil"/>
              <w:bottom w:val="single" w:color="000000" w:sz="12" w:space="0"/>
              <w:right w:val="nil"/>
            </w:tcBorders>
            <w:shd w:val="clear" w:color="auto" w:fill="FFFFFF"/>
            <w:vAlign w:val="center"/>
          </w:tcPr>
          <w:p w14:paraId="691C2392">
            <w:pPr>
              <w:pStyle w:val="37"/>
              <w:spacing w:before="60" w:after="60"/>
              <w:jc w:val="center"/>
              <w:rPr>
                <w:rFonts w:ascii="Times New Roman" w:hAnsi="Times New Roman" w:eastAsia="宋体"/>
                <w:b w:val="0"/>
                <w:color w:val="000000"/>
                <w:sz w:val="22"/>
                <w:szCs w:val="22"/>
              </w:rPr>
            </w:pPr>
            <w:r>
              <w:rPr>
                <w:rFonts w:ascii="Times New Roman" w:hAnsi="Times New Roman" w:eastAsia="宋体"/>
                <w:b w:val="0"/>
                <w:color w:val="000000"/>
                <w:sz w:val="22"/>
                <w:szCs w:val="22"/>
              </w:rPr>
              <w:t>渐进式</w:t>
            </w:r>
          </w:p>
        </w:tc>
      </w:tr>
      <w:bookmarkEnd w:id="221"/>
      <w:bookmarkEnd w:id="222"/>
    </w:tbl>
    <w:p w14:paraId="0FB002DA">
      <w:pPr>
        <w:pStyle w:val="5"/>
      </w:pPr>
      <w:bookmarkStart w:id="223" w:name="_Toc222913186"/>
      <w:bookmarkStart w:id="224" w:name="_Toc222822816"/>
      <w:bookmarkStart w:id="225" w:name="产学研合作与行业标准共建"/>
      <w:r>
        <w:t>5.5.3 产学研合作与行业标准共建</w:t>
      </w:r>
      <w:bookmarkEnd w:id="223"/>
      <w:bookmarkEnd w:id="224"/>
    </w:p>
    <w:p w14:paraId="61A73160">
      <w:pPr>
        <w:pStyle w:val="36"/>
        <w:spacing w:before="0" w:after="0" w:line="400" w:lineRule="exact"/>
        <w:ind w:firstLine="480" w:firstLineChars="200"/>
        <w:jc w:val="both"/>
        <w:rPr>
          <w:rFonts w:ascii="Times New Roman" w:hAnsi="Times New Roman"/>
          <w:lang w:eastAsia="zh-CN"/>
        </w:rPr>
      </w:pPr>
      <w:r>
        <w:rPr>
          <w:rFonts w:ascii="Times New Roman" w:hAnsi="Times New Roman"/>
        </w:rPr>
        <w:t>长期生态建设包括产学研合作和行业标准参与：</w:t>
      </w:r>
    </w:p>
    <w:p w14:paraId="515D54F1">
      <w:pPr>
        <w:pStyle w:val="36"/>
        <w:spacing w:before="0" w:after="0" w:line="400" w:lineRule="exact"/>
        <w:ind w:firstLine="480" w:firstLineChars="200"/>
        <w:jc w:val="both"/>
        <w:rPr>
          <w:rFonts w:ascii="Times New Roman" w:hAnsi="Times New Roman"/>
          <w:lang w:eastAsia="zh-CN"/>
        </w:rPr>
      </w:pPr>
      <w:r>
        <w:rPr>
          <w:rFonts w:ascii="Times New Roman" w:hAnsi="Times New Roman"/>
        </w:rPr>
        <w:t>高校联合实验室：与清华大学、同济大学等建立联合实验室，推动前沿技术研究</w:t>
      </w:r>
    </w:p>
    <w:p w14:paraId="63B1ABE7">
      <w:pPr>
        <w:pStyle w:val="36"/>
        <w:spacing w:before="0" w:after="0" w:line="400" w:lineRule="exact"/>
        <w:ind w:firstLine="480" w:firstLineChars="200"/>
        <w:jc w:val="both"/>
        <w:rPr>
          <w:rFonts w:ascii="Times New Roman" w:hAnsi="Times New Roman"/>
          <w:lang w:eastAsia="zh-CN"/>
        </w:rPr>
      </w:pPr>
      <w:r>
        <w:rPr>
          <w:rFonts w:ascii="Times New Roman" w:hAnsi="Times New Roman"/>
        </w:rPr>
        <w:t>行业标准制定：积极参与DIC技术相关国家标准的制定，提升行业话语权</w:t>
      </w:r>
    </w:p>
    <w:p w14:paraId="1DFA78F0">
      <w:pPr>
        <w:pStyle w:val="36"/>
        <w:spacing w:before="0" w:after="0" w:line="400" w:lineRule="exact"/>
        <w:ind w:firstLine="480" w:firstLineChars="200"/>
        <w:jc w:val="both"/>
        <w:rPr>
          <w:rFonts w:ascii="Times New Roman" w:hAnsi="Times New Roman"/>
        </w:rPr>
      </w:pPr>
      <w:r>
        <w:rPr>
          <w:rFonts w:ascii="Times New Roman" w:hAnsi="Times New Roman"/>
        </w:rPr>
        <w:t>产业联盟建设：发起成立”视觉测量产业创新联盟”，整合产业链资源</w:t>
      </w:r>
    </w:p>
    <w:bookmarkEnd w:id="215"/>
    <w:bookmarkEnd w:id="225"/>
    <w:p w14:paraId="43538C90">
      <w:pPr>
        <w:pStyle w:val="3"/>
      </w:pPr>
      <w:bookmarkStart w:id="226" w:name="_Toc222822817"/>
      <w:bookmarkStart w:id="227" w:name="_Toc222913187"/>
      <w:bookmarkStart w:id="228" w:name="实施路径的时间规划与关键里程碑"/>
      <w:r>
        <w:t>5.6 实施路径的时间规划与关键里程碑</w:t>
      </w:r>
      <w:bookmarkEnd w:id="226"/>
      <w:bookmarkEnd w:id="227"/>
    </w:p>
    <w:p w14:paraId="01DB1694">
      <w:pPr>
        <w:pStyle w:val="36"/>
        <w:spacing w:before="0" w:after="0" w:line="400" w:lineRule="exact"/>
        <w:ind w:firstLine="480" w:firstLineChars="200"/>
        <w:jc w:val="both"/>
        <w:rPr>
          <w:rFonts w:ascii="Times New Roman" w:hAnsi="Times New Roman"/>
        </w:rPr>
      </w:pPr>
      <w:r>
        <w:rPr>
          <w:rFonts w:ascii="Times New Roman" w:hAnsi="Times New Roman"/>
        </w:rPr>
        <w:t>为确保战略转型有序推进，HSM制定了详细的实施时间表：</w:t>
      </w:r>
    </w:p>
    <w:p w14:paraId="2EE1A23E">
      <w:pPr>
        <w:pStyle w:val="5"/>
      </w:pPr>
      <w:bookmarkStart w:id="229" w:name="_Toc222822818"/>
      <w:bookmarkStart w:id="230" w:name="_Toc222913188"/>
      <w:bookmarkStart w:id="231" w:name="第一阶段基础建设期2026年"/>
      <w:r>
        <w:t>5.6.1基础建设期</w:t>
      </w:r>
      <w:bookmarkEnd w:id="229"/>
      <w:bookmarkEnd w:id="230"/>
    </w:p>
    <w:p w14:paraId="4CA05770">
      <w:pPr>
        <w:pStyle w:val="36"/>
        <w:spacing w:before="0" w:after="0" w:line="400" w:lineRule="exact"/>
        <w:ind w:firstLine="480" w:firstLineChars="200"/>
        <w:jc w:val="both"/>
        <w:rPr>
          <w:rFonts w:ascii="Times New Roman" w:hAnsi="Times New Roman"/>
        </w:rPr>
      </w:pPr>
      <w:r>
        <w:rPr>
          <w:rFonts w:ascii="Times New Roman" w:hAnsi="Times New Roman"/>
        </w:rPr>
        <w:t>2025 Q1-Q2：组织架构调整、研发资源重新配置</w:t>
      </w:r>
    </w:p>
    <w:p w14:paraId="1351E7C3">
      <w:pPr>
        <w:pStyle w:val="36"/>
        <w:spacing w:before="0" w:after="0" w:line="400" w:lineRule="exact"/>
        <w:ind w:firstLine="480" w:firstLineChars="200"/>
        <w:jc w:val="both"/>
        <w:rPr>
          <w:rFonts w:ascii="Times New Roman" w:hAnsi="Times New Roman"/>
        </w:rPr>
      </w:pPr>
      <w:r>
        <w:rPr>
          <w:rFonts w:ascii="Times New Roman" w:hAnsi="Times New Roman"/>
        </w:rPr>
        <w:t>2025 Q2-Q3：捆绑销售合作签约、地区合作伙伴发展</w:t>
      </w:r>
    </w:p>
    <w:p w14:paraId="2D8E15D0">
      <w:pPr>
        <w:pStyle w:val="36"/>
        <w:spacing w:before="0" w:after="0" w:line="400" w:lineRule="exact"/>
        <w:ind w:firstLine="480" w:firstLineChars="200"/>
        <w:jc w:val="both"/>
        <w:rPr>
          <w:rFonts w:ascii="Times New Roman" w:hAnsi="Times New Roman"/>
        </w:rPr>
      </w:pPr>
      <w:r>
        <w:rPr>
          <w:rFonts w:ascii="Times New Roman" w:hAnsi="Times New Roman"/>
        </w:rPr>
        <w:t>2025 Q3-Q4：供应链优化、数字化平台建设</w:t>
      </w:r>
    </w:p>
    <w:bookmarkEnd w:id="231"/>
    <w:p w14:paraId="0B286F84">
      <w:pPr>
        <w:pStyle w:val="5"/>
      </w:pPr>
      <w:bookmarkStart w:id="232" w:name="_Toc222822819"/>
      <w:bookmarkStart w:id="233" w:name="_Toc222913189"/>
      <w:bookmarkStart w:id="234" w:name="第二阶段全面推进期2027年"/>
      <w:r>
        <w:t>5.6.2全面推进期</w:t>
      </w:r>
      <w:bookmarkEnd w:id="232"/>
      <w:bookmarkEnd w:id="233"/>
    </w:p>
    <w:p w14:paraId="1F4D753D">
      <w:pPr>
        <w:pStyle w:val="36"/>
        <w:spacing w:before="0" w:after="0" w:line="400" w:lineRule="exact"/>
        <w:ind w:firstLine="480" w:firstLineChars="200"/>
        <w:jc w:val="both"/>
        <w:rPr>
          <w:rFonts w:ascii="Times New Roman" w:hAnsi="Times New Roman"/>
        </w:rPr>
      </w:pPr>
      <w:r>
        <w:rPr>
          <w:rFonts w:ascii="Times New Roman" w:hAnsi="Times New Roman"/>
        </w:rPr>
        <w:t>2026 Q1-Q2：新产品研发突破、垂直领域市场拓展</w:t>
      </w:r>
    </w:p>
    <w:p w14:paraId="3FC5F6B0">
      <w:pPr>
        <w:pStyle w:val="36"/>
        <w:spacing w:before="0" w:after="0" w:line="400" w:lineRule="exact"/>
        <w:ind w:firstLine="480" w:firstLineChars="200"/>
        <w:jc w:val="both"/>
        <w:rPr>
          <w:rFonts w:ascii="Times New Roman" w:hAnsi="Times New Roman"/>
        </w:rPr>
      </w:pPr>
      <w:r>
        <w:rPr>
          <w:rFonts w:ascii="Times New Roman" w:hAnsi="Times New Roman"/>
        </w:rPr>
        <w:t>2026 Q3-Q4：合作伙伴体系成熟、回款机制优化见效</w:t>
      </w:r>
    </w:p>
    <w:bookmarkEnd w:id="234"/>
    <w:p w14:paraId="1097B19B">
      <w:pPr>
        <w:pStyle w:val="5"/>
      </w:pPr>
      <w:bookmarkStart w:id="235" w:name="_Toc222822820"/>
      <w:bookmarkStart w:id="236" w:name="_Toc222913190"/>
      <w:bookmarkStart w:id="237" w:name="第三阶段成果巩固期2028年"/>
      <w:r>
        <w:t>5.6.3成果巩固期</w:t>
      </w:r>
      <w:bookmarkEnd w:id="235"/>
      <w:bookmarkEnd w:id="236"/>
    </w:p>
    <w:p w14:paraId="51FF15FA">
      <w:pPr>
        <w:pStyle w:val="36"/>
        <w:spacing w:before="0" w:after="0" w:line="400" w:lineRule="exact"/>
        <w:ind w:firstLine="480" w:firstLineChars="200"/>
        <w:jc w:val="both"/>
        <w:rPr>
          <w:rFonts w:ascii="Times New Roman" w:hAnsi="Times New Roman"/>
        </w:rPr>
      </w:pPr>
      <w:r>
        <w:rPr>
          <w:rFonts w:ascii="Times New Roman" w:hAnsi="Times New Roman"/>
        </w:rPr>
        <w:t>三条产品线均衡发展</w:t>
      </w:r>
    </w:p>
    <w:p w14:paraId="1104D800">
      <w:pPr>
        <w:pStyle w:val="36"/>
        <w:spacing w:before="0" w:after="0" w:line="400" w:lineRule="exact"/>
        <w:ind w:firstLine="480" w:firstLineChars="200"/>
        <w:jc w:val="both"/>
        <w:rPr>
          <w:rFonts w:ascii="Times New Roman" w:hAnsi="Times New Roman"/>
        </w:rPr>
      </w:pPr>
      <w:r>
        <w:rPr>
          <w:rFonts w:ascii="Times New Roman" w:hAnsi="Times New Roman"/>
        </w:rPr>
        <w:t>资金周转率显著提升</w:t>
      </w:r>
    </w:p>
    <w:p w14:paraId="3FE3FB9E">
      <w:pPr>
        <w:pStyle w:val="36"/>
        <w:spacing w:before="0" w:after="0" w:line="400" w:lineRule="exact"/>
        <w:ind w:firstLine="480" w:firstLineChars="200"/>
        <w:jc w:val="both"/>
        <w:rPr>
          <w:rFonts w:ascii="Times New Roman" w:hAnsi="Times New Roman"/>
        </w:rPr>
      </w:pPr>
      <w:r>
        <w:rPr>
          <w:rFonts w:ascii="Times New Roman" w:hAnsi="Times New Roman"/>
        </w:rPr>
        <w:t>行业领导地位巩固</w:t>
      </w:r>
    </w:p>
    <w:bookmarkEnd w:id="228"/>
    <w:bookmarkEnd w:id="237"/>
    <w:p w14:paraId="5946588C">
      <w:pPr>
        <w:pStyle w:val="3"/>
      </w:pPr>
      <w:bookmarkStart w:id="238" w:name="_Toc222822821"/>
      <w:bookmarkStart w:id="239" w:name="_Toc222913191"/>
      <w:bookmarkStart w:id="240" w:name="预期成效与风险评估"/>
      <w:r>
        <w:t>5.7 预期成效与风险评估</w:t>
      </w:r>
      <w:bookmarkEnd w:id="238"/>
      <w:bookmarkEnd w:id="239"/>
    </w:p>
    <w:p w14:paraId="30FF02E6">
      <w:pPr>
        <w:pStyle w:val="5"/>
      </w:pPr>
      <w:bookmarkStart w:id="241" w:name="_Toc222913192"/>
      <w:bookmarkStart w:id="242" w:name="_Toc222822822"/>
      <w:bookmarkStart w:id="243" w:name="预期成效"/>
      <w:r>
        <w:t>5.7.1 预期成效</w:t>
      </w:r>
      <w:bookmarkEnd w:id="241"/>
      <w:bookmarkEnd w:id="242"/>
    </w:p>
    <w:p w14:paraId="6323C64F">
      <w:pPr>
        <w:pStyle w:val="36"/>
        <w:spacing w:before="0" w:after="0" w:line="400" w:lineRule="exact"/>
        <w:ind w:firstLine="480" w:firstLineChars="200"/>
        <w:jc w:val="both"/>
        <w:rPr>
          <w:rFonts w:ascii="Times New Roman" w:hAnsi="Times New Roman"/>
        </w:rPr>
      </w:pPr>
      <w:r>
        <w:rPr>
          <w:rFonts w:ascii="Times New Roman" w:hAnsi="Times New Roman"/>
        </w:rPr>
        <w:t>财务指标改善：整体毛利率从55%提升至65%，资金周转率从1.5次/年提升至3.0次/年</w:t>
      </w:r>
    </w:p>
    <w:p w14:paraId="01B5C040">
      <w:pPr>
        <w:pStyle w:val="36"/>
        <w:spacing w:before="0" w:after="0" w:line="400" w:lineRule="exact"/>
        <w:ind w:firstLine="480" w:firstLineChars="200"/>
        <w:jc w:val="both"/>
        <w:rPr>
          <w:rFonts w:ascii="Times New Roman" w:hAnsi="Times New Roman"/>
        </w:rPr>
      </w:pPr>
      <w:r>
        <w:rPr>
          <w:rFonts w:ascii="Times New Roman" w:hAnsi="Times New Roman"/>
        </w:rPr>
        <w:t>市场地位巩固：视频引伸计/应变仪国内市场占有率从30%提升至45%</w:t>
      </w:r>
    </w:p>
    <w:p w14:paraId="68BA6B6D">
      <w:pPr>
        <w:pStyle w:val="36"/>
        <w:spacing w:before="0" w:after="0" w:line="400" w:lineRule="exact"/>
        <w:ind w:firstLine="480" w:firstLineChars="200"/>
        <w:jc w:val="both"/>
        <w:rPr>
          <w:rFonts w:ascii="Times New Roman" w:hAnsi="Times New Roman"/>
        </w:rPr>
      </w:pPr>
      <w:r>
        <w:rPr>
          <w:rFonts w:ascii="Times New Roman" w:hAnsi="Times New Roman"/>
        </w:rPr>
        <w:t>产品结构优化：标准化产品收入占比从60%提升至80%</w:t>
      </w:r>
    </w:p>
    <w:p w14:paraId="676EA5E7">
      <w:pPr>
        <w:pStyle w:val="36"/>
        <w:spacing w:before="0" w:after="0" w:line="400" w:lineRule="exact"/>
        <w:ind w:firstLine="480" w:firstLineChars="200"/>
        <w:jc w:val="both"/>
        <w:rPr>
          <w:rFonts w:ascii="Times New Roman" w:hAnsi="Times New Roman"/>
        </w:rPr>
      </w:pPr>
      <w:r>
        <w:rPr>
          <w:rFonts w:ascii="Times New Roman" w:hAnsi="Times New Roman"/>
        </w:rPr>
        <w:t>组织效率提升：人均产值从100万元/年提升至150万元/年</w:t>
      </w:r>
    </w:p>
    <w:bookmarkEnd w:id="243"/>
    <w:p w14:paraId="7F00D404">
      <w:pPr>
        <w:pStyle w:val="5"/>
      </w:pPr>
      <w:bookmarkStart w:id="244" w:name="_Toc222913193"/>
      <w:bookmarkStart w:id="245" w:name="_Toc222822823"/>
      <w:bookmarkStart w:id="246" w:name="风险与应对"/>
      <w:r>
        <w:t>5.7.2 风险与应对</w:t>
      </w:r>
      <w:bookmarkEnd w:id="244"/>
      <w:bookmarkEnd w:id="245"/>
    </w:p>
    <w:p w14:paraId="377D37D6">
      <w:pPr>
        <w:pStyle w:val="36"/>
        <w:spacing w:before="0" w:after="0" w:line="400" w:lineRule="exact"/>
        <w:ind w:firstLine="480" w:firstLineChars="200"/>
        <w:jc w:val="both"/>
        <w:rPr>
          <w:rFonts w:ascii="Times New Roman" w:hAnsi="Times New Roman"/>
        </w:rPr>
      </w:pPr>
      <w:r>
        <w:rPr>
          <w:rFonts w:ascii="Times New Roman" w:hAnsi="Times New Roman"/>
        </w:rPr>
        <w:t>合作伙伴管理风险：建立严格的合作伙伴筛选和退出机制</w:t>
      </w:r>
    </w:p>
    <w:p w14:paraId="4936ED1E">
      <w:pPr>
        <w:pStyle w:val="36"/>
        <w:spacing w:before="0" w:after="0" w:line="400" w:lineRule="exact"/>
        <w:ind w:firstLine="480" w:firstLineChars="200"/>
        <w:jc w:val="both"/>
        <w:rPr>
          <w:rFonts w:ascii="Times New Roman" w:hAnsi="Times New Roman"/>
        </w:rPr>
      </w:pPr>
      <w:r>
        <w:rPr>
          <w:rFonts w:ascii="Times New Roman" w:hAnsi="Times New Roman"/>
        </w:rPr>
        <w:t>技术研发不确定性：保持适度的研发投入冗余，分散技术路线风险</w:t>
      </w:r>
    </w:p>
    <w:p w14:paraId="036483FA">
      <w:pPr>
        <w:pStyle w:val="36"/>
        <w:spacing w:before="0" w:after="0" w:line="400" w:lineRule="exact"/>
        <w:ind w:firstLine="480" w:firstLineChars="200"/>
        <w:jc w:val="both"/>
        <w:rPr>
          <w:rFonts w:ascii="Times New Roman" w:hAnsi="Times New Roman"/>
        </w:rPr>
      </w:pPr>
      <w:r>
        <w:rPr>
          <w:rFonts w:ascii="Times New Roman" w:hAnsi="Times New Roman"/>
        </w:rPr>
        <w:t>市场竞争加剧：持续技术创新，构建专利护城河</w:t>
      </w:r>
    </w:p>
    <w:p w14:paraId="16705443">
      <w:pPr>
        <w:pStyle w:val="36"/>
        <w:spacing w:before="0" w:after="0" w:line="400" w:lineRule="exact"/>
        <w:ind w:firstLine="480" w:firstLineChars="200"/>
        <w:jc w:val="both"/>
        <w:rPr>
          <w:rFonts w:ascii="Times New Roman" w:hAnsi="Times New Roman"/>
        </w:rPr>
      </w:pPr>
      <w:r>
        <w:rPr>
          <w:rFonts w:ascii="Times New Roman" w:hAnsi="Times New Roman"/>
        </w:rPr>
        <w:t>供应链波动风险：建立多源供应体系，保持供应链弹性</w:t>
      </w:r>
    </w:p>
    <w:p w14:paraId="32B98BB1">
      <w:pPr>
        <w:pStyle w:val="36"/>
        <w:spacing w:before="0" w:after="0" w:line="400" w:lineRule="exact"/>
        <w:ind w:firstLine="480" w:firstLineChars="200"/>
        <w:jc w:val="both"/>
        <w:rPr>
          <w:rFonts w:ascii="Times New Roman" w:hAnsi="Times New Roman"/>
        </w:rPr>
        <w:sectPr>
          <w:headerReference r:id="rId25" w:type="default"/>
          <w:headerReference r:id="rId26" w:type="even"/>
          <w:type w:val="oddPage"/>
          <w:pgSz w:w="11905" w:h="16838"/>
          <w:pgMar w:top="1701" w:right="1474" w:bottom="1417" w:left="1474" w:header="1134" w:footer="992" w:gutter="0"/>
          <w:cols w:space="0" w:num="1"/>
          <w:docGrid w:type="linesAndChars" w:linePitch="327" w:charSpace="0"/>
        </w:sectPr>
      </w:pPr>
      <w:r>
        <w:rPr>
          <w:rFonts w:ascii="Times New Roman" w:hAnsi="Times New Roman"/>
        </w:rPr>
        <w:t>本章小结：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158"/>
    <w:bookmarkEnd w:id="240"/>
    <w:bookmarkEnd w:id="246"/>
    <w:p w14:paraId="7164C3DA">
      <w:pPr>
        <w:pStyle w:val="2"/>
      </w:pPr>
      <w:bookmarkStart w:id="247" w:name="_Toc222822824"/>
      <w:bookmarkStart w:id="248" w:name="_Toc222913194"/>
      <w:bookmarkStart w:id="249" w:name="第六章-hsm战略转型的成效评估"/>
      <w:r>
        <w:t>第六章 HSM战略转型的成效评估</w:t>
      </w:r>
      <w:bookmarkEnd w:id="247"/>
      <w:bookmarkEnd w:id="248"/>
    </w:p>
    <w:p w14:paraId="0DF76139">
      <w:pPr>
        <w:pStyle w:val="3"/>
      </w:pPr>
      <w:bookmarkStart w:id="250" w:name="_Toc222822825"/>
      <w:bookmarkStart w:id="251" w:name="_Toc222913195"/>
      <w:bookmarkStart w:id="252" w:name="转型成效评估框架构建"/>
      <w:r>
        <w:t>6.1 转型成效评估框架构建</w:t>
      </w:r>
      <w:bookmarkEnd w:id="250"/>
      <w:bookmarkEnd w:id="251"/>
    </w:p>
    <w:p w14:paraId="463468FB">
      <w:pPr>
        <w:pStyle w:val="36"/>
        <w:spacing w:before="0" w:after="0" w:line="400" w:lineRule="exact"/>
        <w:ind w:firstLine="480" w:firstLineChars="200"/>
        <w:jc w:val="both"/>
        <w:rPr>
          <w:rFonts w:ascii="Times New Roman" w:hAnsi="Times New Roman"/>
        </w:rPr>
      </w:pPr>
      <w:r>
        <w:rPr>
          <w:rFonts w:ascii="Times New Roman" w:hAnsi="Times New Roman"/>
        </w:rPr>
        <w:t>评估指标体系设计：基于企业战略转型的多维度特征，本研究构建了涵盖财务绩效、市场地位、技术创新、组织能力和可持续发展五个维度的综合评估体系，以科学、客观地评价HSM战略转型的整体成效。</w:t>
      </w:r>
    </w:p>
    <w:p w14:paraId="06CC20C0">
      <w:pPr>
        <w:pStyle w:val="36"/>
        <w:spacing w:before="0" w:after="0" w:line="400" w:lineRule="exact"/>
        <w:ind w:firstLine="480" w:firstLineChars="200"/>
        <w:jc w:val="both"/>
        <w:rPr>
          <w:rFonts w:ascii="Times New Roman" w:hAnsi="Times New Roman"/>
        </w:rPr>
      </w:pPr>
      <w:r>
        <w:rPr>
          <w:rFonts w:ascii="Times New Roman" w:hAnsi="Times New Roman"/>
        </w:rPr>
        <w:t>财务绩效维度包括收入增长指标（营业收入年增长率、新产品收入占比、高附加值产品收入比例）；盈利能力指标（毛利率变化趋势、净利润增长率、投资回报率（ROI）、资产收益率（ROA））；运营效率指标（成本控制效果、库存周转率、现金流状况、运营成本占比）。</w:t>
      </w:r>
    </w:p>
    <w:p w14:paraId="53F7F0CA">
      <w:pPr>
        <w:pStyle w:val="36"/>
        <w:spacing w:before="0" w:after="0" w:line="400" w:lineRule="exact"/>
        <w:ind w:firstLine="480" w:firstLineChars="200"/>
        <w:jc w:val="both"/>
        <w:rPr>
          <w:rFonts w:ascii="Times New Roman" w:hAnsi="Times New Roman"/>
        </w:rPr>
      </w:pPr>
      <w:r>
        <w:rPr>
          <w:rFonts w:ascii="Times New Roman" w:hAnsi="Times New Roman"/>
        </w:rPr>
        <w:t>市场地位维度包括市场份额指标（整体市场占有率、细分市场领导地位、客户覆盖率）；品牌影响力指标（品牌知名度提升、行业声誉指数、客户满意度、品牌价值评估）；客户结构指标（大客户数量和质量、客户留存率、新客户获取成本、客户生命周期价值）。</w:t>
      </w:r>
    </w:p>
    <w:p w14:paraId="694F7855">
      <w:pPr>
        <w:pStyle w:val="36"/>
        <w:spacing w:before="0" w:after="0" w:line="400" w:lineRule="exact"/>
        <w:ind w:firstLine="480" w:firstLineChars="200"/>
        <w:jc w:val="both"/>
        <w:rPr>
          <w:rFonts w:ascii="Times New Roman" w:hAnsi="Times New Roman"/>
        </w:rPr>
      </w:pPr>
      <w:r>
        <w:rPr>
          <w:rFonts w:ascii="Times New Roman" w:hAnsi="Times New Roman"/>
        </w:rPr>
        <w:t>技术创新维度包括研发投入指标（研发费用占营收比重、研发人员占比、研发设备投入）；技术成果指标（专利申请和授权数量、技术突破性成果、新产品开发周期、技术标准参与度）；创新能力指标（创新项目成功率、技术转化效率、知识产权保护状况、创新文化建设成效）。</w:t>
      </w:r>
    </w:p>
    <w:p w14:paraId="2379B9FC">
      <w:pPr>
        <w:pStyle w:val="36"/>
        <w:spacing w:before="0" w:after="0" w:line="400" w:lineRule="exact"/>
        <w:ind w:firstLine="480" w:firstLineChars="200"/>
        <w:jc w:val="both"/>
        <w:rPr>
          <w:rFonts w:ascii="Times New Roman" w:hAnsi="Times New Roman"/>
        </w:rPr>
      </w:pPr>
      <w:r>
        <w:rPr>
          <w:rFonts w:ascii="Times New Roman" w:hAnsi="Times New Roman"/>
        </w:rPr>
        <w:t>组织能力维度包括人才发展指标（核心人才留存率、员工技能提升度、人才梯队建设效果、组织学习能力）；管理效率指标（决策效率提升、跨部门协作效果、信息化水平、管理成本控制）；文化融合指标（企业文化认同度、变革接受度、团队凝聚力、创新氛围营造）。</w:t>
      </w:r>
    </w:p>
    <w:p w14:paraId="4B566146">
      <w:pPr>
        <w:pStyle w:val="36"/>
        <w:spacing w:before="0" w:after="0" w:line="400" w:lineRule="exact"/>
        <w:ind w:firstLine="480" w:firstLineChars="200"/>
        <w:jc w:val="both"/>
        <w:rPr>
          <w:rFonts w:ascii="Times New Roman" w:hAnsi="Times New Roman"/>
        </w:rPr>
      </w:pPr>
      <w:r>
        <w:rPr>
          <w:rFonts w:ascii="Times New Roman" w:hAnsi="Times New Roman"/>
        </w:rPr>
        <w:t>可持续发展维度包括战略持续性指标（长期战略规划完善度、业务模式可持续性、抗风险能力、适应性能力）；社会责任指标（环境保护贡献、社会影响力、行业推动作用、可持续发展实践）。</w:t>
      </w:r>
    </w:p>
    <w:p w14:paraId="4ED44AF7">
      <w:pPr>
        <w:pStyle w:val="36"/>
        <w:spacing w:before="0" w:after="0" w:line="400" w:lineRule="exact"/>
        <w:ind w:firstLine="480" w:firstLineChars="200"/>
        <w:jc w:val="both"/>
        <w:rPr>
          <w:rFonts w:ascii="Times New Roman" w:hAnsi="Times New Roman"/>
        </w:rPr>
      </w:pPr>
      <w:r>
        <w:rPr>
          <w:rFonts w:ascii="Times New Roman" w:hAnsi="Times New Roman"/>
        </w:rPr>
        <w:t>评估方法与数据来源：为确保评估结果的客观性和准确性，本研究采用定量分析与定性分析相结合的综合评估方法，通过多元化的数据来源构建全面的评价体系。</w:t>
      </w:r>
    </w:p>
    <w:p w14:paraId="050E1AFF">
      <w:pPr>
        <w:pStyle w:val="36"/>
        <w:spacing w:before="0" w:after="0" w:line="400" w:lineRule="exact"/>
        <w:ind w:firstLine="480" w:firstLineChars="200"/>
        <w:jc w:val="both"/>
        <w:rPr>
          <w:rFonts w:ascii="Times New Roman" w:hAnsi="Times New Roman"/>
        </w:rPr>
      </w:pPr>
      <w:r>
        <w:rPr>
          <w:rFonts w:ascii="Times New Roman" w:hAnsi="Times New Roman"/>
        </w:rPr>
        <w:t>定量评估方法包括财务数据分析（基于公开财务报表进行趋势分析，采用财务比率分析法评估盈利能力和运营效率，运用杜邦分析法分解企业价值创造能力）；市场数据统计（行业报告和市场调研数据对比分析，竞争对手市场份额变化追踪，客户调研数据的统计分析）；技术指标量化（专利数据的技术价值评估，研发投入产出比计算，产品性能指标的客观测量）。</w:t>
      </w:r>
    </w:p>
    <w:p w14:paraId="20AEA93E">
      <w:pPr>
        <w:pStyle w:val="36"/>
        <w:spacing w:before="0" w:after="0" w:line="400" w:lineRule="exact"/>
        <w:ind w:firstLine="480" w:firstLineChars="200"/>
        <w:jc w:val="both"/>
        <w:rPr>
          <w:rFonts w:ascii="Times New Roman" w:hAnsi="Times New Roman"/>
        </w:rPr>
      </w:pPr>
      <w:r>
        <w:rPr>
          <w:rFonts w:ascii="Times New Roman" w:hAnsi="Times New Roman"/>
        </w:rPr>
        <w:t>定性评估方法包括专家访谈法（行业专家深度访谈，企业管理层访谈，技术专家专业评估）；案例分析法（典型客户应用案例深度剖析，成功转型经验的总结提炼，失败教训的反思分析）；比较分析法（与行业标杆企业对比，转型前后效果对比，同期竞争对手对比）。</w:t>
      </w:r>
    </w:p>
    <w:p w14:paraId="7144EEBD">
      <w:pPr>
        <w:pStyle w:val="36"/>
        <w:spacing w:before="0" w:after="0" w:line="400" w:lineRule="exact"/>
        <w:ind w:firstLine="480" w:firstLineChars="200"/>
        <w:jc w:val="both"/>
        <w:rPr>
          <w:rFonts w:ascii="Times New Roman" w:hAnsi="Times New Roman"/>
        </w:rPr>
      </w:pPr>
      <w:r>
        <w:rPr>
          <w:rFonts w:ascii="Times New Roman" w:hAnsi="Times New Roman"/>
        </w:rPr>
        <w:t>数据来源说明包括一手数据（企业内部访谈和调研，实地考察和观察记录，问卷调查和统计分析）；二手数据（公开财务报告和年报，行业研究机构和咨询公司报告，政府统计数据和政策文件，媒体报道和专业期刊文章，专利数据库和技术文献）。</w:t>
      </w:r>
    </w:p>
    <w:p w14:paraId="3B07A18A">
      <w:pPr>
        <w:pStyle w:val="3"/>
      </w:pPr>
      <w:bookmarkStart w:id="253" w:name="_Toc222913196"/>
      <w:r>
        <w:t>6.2 财务绩效成效分析</w:t>
      </w:r>
      <w:bookmarkEnd w:id="253"/>
    </w:p>
    <w:p w14:paraId="5B4CA575">
      <w:pPr>
        <w:pStyle w:val="36"/>
        <w:spacing w:before="0" w:after="0" w:line="400" w:lineRule="exact"/>
        <w:ind w:firstLine="480" w:firstLineChars="200"/>
        <w:jc w:val="both"/>
        <w:rPr>
          <w:rFonts w:ascii="Times New Roman" w:hAnsi="Times New Roman"/>
        </w:rPr>
      </w:pPr>
      <w:r>
        <w:rPr>
          <w:rFonts w:ascii="Times New Roman" w:hAnsi="Times New Roman"/>
        </w:rPr>
        <w:t>收入增长与结构优化：HSM战略转型在财务绩效方面取得了显著成效，主要体现在收入规模的快速增长、收入结构的持续优化以及盈利能力的稳步提升。</w:t>
      </w:r>
    </w:p>
    <w:p w14:paraId="517BAC4E">
      <w:pPr>
        <w:pStyle w:val="36"/>
        <w:spacing w:before="0" w:after="0" w:line="400" w:lineRule="exact"/>
        <w:ind w:firstLine="480" w:firstLineChars="200"/>
        <w:jc w:val="both"/>
        <w:rPr>
          <w:rFonts w:ascii="Times New Roman" w:hAnsi="Times New Roman"/>
        </w:rPr>
      </w:pPr>
      <w:r>
        <w:rPr>
          <w:rFonts w:ascii="Times New Roman" w:hAnsi="Times New Roman"/>
        </w:rPr>
        <w:t>收入规模增长分析显示，2021-2023年复合年均增长率（CAGR）达到45%以上，2023年营收突破1亿元人民币大关，预计2024年营收将保持30%以上的增长速度；增长驱动因素包括新产品贡献（第三代DIC技术产品线贡献了60%以上的新增收入）、市场拓展效应（从传统科研市场向工业市场成功转型，新增客户超过200家）、服务收入增长（技术服务和解决方案收入占比从15%提升至25%）。</w:t>
      </w:r>
    </w:p>
    <w:p w14:paraId="003E5F98">
      <w:pPr>
        <w:pStyle w:val="36"/>
        <w:spacing w:before="0" w:after="0" w:line="400" w:lineRule="exact"/>
        <w:ind w:firstLine="480" w:firstLineChars="200"/>
        <w:jc w:val="both"/>
        <w:rPr>
          <w:rFonts w:ascii="Times New Roman" w:hAnsi="Times New Roman"/>
        </w:rPr>
      </w:pPr>
      <w:r>
        <w:rPr>
          <w:rFonts w:ascii="Times New Roman" w:hAnsi="Times New Roman"/>
        </w:rPr>
        <w:t>收入结构优化效果体现在：产品结构升级，高端产品收入占比从转型前的30%提升至65%，标准化产品收入占比达到70%降低了定制化业务的风险，软件和服务收入占比显著提升体现了向软件化转型的成效；客户结构改善，工业客户收入占比从20%提升至55%降低了对科研市场的依赖，大客户（年收入100万以上）数量从5家增加至20家，客户集中度风险降低使前五大客户收入占比从60%降至35%；区域市场扩展，华北、华东、华南三大核心区域市场布局完成，海外市场开始突破使东南亚市场收入占比达到8%，区域分散化降低了地域风险。</w:t>
      </w:r>
    </w:p>
    <w:p w14:paraId="7D7E8F15">
      <w:pPr>
        <w:pStyle w:val="36"/>
        <w:spacing w:before="0" w:after="0" w:line="400" w:lineRule="exact"/>
        <w:ind w:firstLine="480" w:firstLineChars="200"/>
        <w:jc w:val="both"/>
        <w:rPr>
          <w:rFonts w:ascii="Times New Roman" w:hAnsi="Times New Roman"/>
        </w:rPr>
      </w:pPr>
      <w:r>
        <w:rPr>
          <w:rFonts w:ascii="Times New Roman" w:hAnsi="Times New Roman"/>
        </w:rPr>
        <w:t>盈利能力与运营效率提升：战略转型不仅带来了收入规模的扩张，更重要的是显著提升了企业的盈利能力和运营效率，为可持续发展奠定了坚实基础。</w:t>
      </w:r>
    </w:p>
    <w:p w14:paraId="11441E5E">
      <w:pPr>
        <w:pStyle w:val="36"/>
        <w:spacing w:before="0" w:after="0" w:line="400" w:lineRule="exact"/>
        <w:ind w:firstLine="480" w:firstLineChars="200"/>
        <w:jc w:val="both"/>
        <w:rPr>
          <w:rFonts w:ascii="Times New Roman" w:hAnsi="Times New Roman"/>
        </w:rPr>
      </w:pPr>
      <w:r>
        <w:rPr>
          <w:rFonts w:ascii="Times New Roman" w:hAnsi="Times New Roman"/>
        </w:rPr>
        <w:t>盈利能力改善分析包括：毛利率大幅提升，整体毛利率从转型前的45%显著提升至65%达到行业领先水平，标准化产品毛利率达到70%以上规模效应明显，软件和服务业务毛利率超过75%高附加值业务贡献增加；净利率跨越式增长，净利率从8%大幅提升至18%盈利能力显著增强，规模效应开始显现固定成本摊薄效果明显，高附加值产品占比提升带动整体盈利水平；投资回报率优化，ROI从8%提升至15%投资效率显著改善，ROA从5%提升至10%资产运用效率大幅提升，技术投资回报周期缩短从3年缩短至2年。</w:t>
      </w:r>
    </w:p>
    <w:p w14:paraId="2391FCDE">
      <w:pPr>
        <w:pStyle w:val="36"/>
        <w:spacing w:before="0" w:after="0" w:line="400" w:lineRule="exact"/>
        <w:ind w:firstLine="480" w:firstLineChars="200"/>
        <w:jc w:val="both"/>
        <w:rPr>
          <w:rFonts w:ascii="Times New Roman" w:hAnsi="Times New Roman"/>
        </w:rPr>
      </w:pPr>
      <w:r>
        <w:rPr>
          <w:rFonts w:ascii="Times New Roman" w:hAnsi="Times New Roman"/>
        </w:rPr>
        <w:t>运营效率提升表现包括：成本控制成效，研发成本占总收入比重保持在25%的合理水平，生产成本通过标准化降低了15%，销售和管理费用率从30%降至25%管理效率提升；现金流状况显著改善，经营性现金流持续为正现金回款率达到85%，存货周转率提升50%库存管理水平大幅提升，应收账款周转天数从270天大幅缩短至90天回款效率提升200%；资产运营效率提升，固定资产周转率从2.5提升至3.5资产利用效率提高，总资产周转率从0.8提升至1.2整体运营效率改善，人均产值提升2.5倍组织效能显著增强。</w:t>
      </w:r>
    </w:p>
    <w:p w14:paraId="04AAD24E">
      <w:pPr>
        <w:pStyle w:val="36"/>
        <w:spacing w:before="0" w:after="0" w:line="400" w:lineRule="exact"/>
        <w:ind w:firstLine="480" w:firstLineChars="200"/>
        <w:jc w:val="both"/>
        <w:rPr>
          <w:rFonts w:ascii="Times New Roman" w:hAnsi="Times New Roman"/>
        </w:rPr>
      </w:pPr>
      <w:r>
        <w:rPr>
          <w:rFonts w:ascii="Times New Roman" w:hAnsi="Times New Roman"/>
        </w:rPr>
        <w:t>财务风险控制方面：资产负债结构优化，资产负债率保持在50%以下的健康水平，流动比率维持在2.0以上短期偿债能力良好，长期负债占比合理财务杠杆运用适度；盈利质量提升，经常性损益占比超过90%盈利来源稳定，非经常性损益影响最小化避免一次性收益依赖，现金流与净利润匹配度提高盈利质量显著改善。</w:t>
      </w:r>
    </w:p>
    <w:p w14:paraId="628C848E">
      <w:pPr>
        <w:pStyle w:val="3"/>
      </w:pPr>
      <w:bookmarkStart w:id="254" w:name="_Toc222913197"/>
      <w:r>
        <w:t>6.3 市场地位与品牌影响力</w:t>
      </w:r>
      <w:bookmarkEnd w:id="254"/>
    </w:p>
    <w:p w14:paraId="1F9B763D">
      <w:pPr>
        <w:pStyle w:val="36"/>
        <w:spacing w:before="0" w:after="0" w:line="400" w:lineRule="exact"/>
        <w:ind w:firstLine="480" w:firstLineChars="200"/>
        <w:jc w:val="both"/>
        <w:rPr>
          <w:rFonts w:ascii="Times New Roman" w:hAnsi="Times New Roman"/>
        </w:rPr>
      </w:pPr>
      <w:r>
        <w:rPr>
          <w:rFonts w:ascii="Times New Roman" w:hAnsi="Times New Roman"/>
        </w:rPr>
        <w:t>市场份额与竞争地位：HSM通过战略转型实现了市场地位的显著提升，从传统DIC技术的小众参与者成长为视觉力学传感器领域的重要竞争者，在细分市场建立了较强的竞争优势。</w:t>
      </w:r>
    </w:p>
    <w:p w14:paraId="4E0E94A7">
      <w:pPr>
        <w:pStyle w:val="36"/>
        <w:spacing w:before="0" w:after="0" w:line="400" w:lineRule="exact"/>
        <w:ind w:firstLine="480" w:firstLineChars="200"/>
        <w:jc w:val="both"/>
        <w:rPr>
          <w:rFonts w:ascii="Times New Roman" w:hAnsi="Times New Roman"/>
        </w:rPr>
      </w:pPr>
      <w:r>
        <w:rPr>
          <w:rFonts w:ascii="Times New Roman" w:hAnsi="Times New Roman"/>
        </w:rPr>
        <w:t>市场份额变化分析显示：整体市场地位提升（国内DIC市场占有率从转型前的3%提升至12%，成为国内DIC技术领域的第二大厂商，在工业应用细分市场的占有率达到18%位居行业前列）；细分市场突破（科研市场保持稳定增长市场份额达到15%，工业市场实现重大突破市场份额达到8%，教育市场快速扩张市场份额达到10%）；区域市场表现（华北市场占有率领先达到15%，华东市场快速追赶占有率12%，华南市场稳步增长占有率10%）。</w:t>
      </w:r>
    </w:p>
    <w:p w14:paraId="076FA40B">
      <w:pPr>
        <w:pStyle w:val="36"/>
        <w:spacing w:before="0" w:after="0" w:line="400" w:lineRule="exact"/>
        <w:ind w:firstLine="480" w:firstLineChars="200"/>
        <w:jc w:val="both"/>
        <w:rPr>
          <w:rFonts w:ascii="Times New Roman" w:hAnsi="Times New Roman"/>
        </w:rPr>
      </w:pPr>
      <w:r>
        <w:rPr>
          <w:rFonts w:ascii="Times New Roman" w:hAnsi="Times New Roman"/>
        </w:rPr>
        <w:t>竞争格局变化包括：与国内竞争对手对比（相比传统DIC厂商，HSM在技术创新方面领先2-3年；相比新兴企业，HSM在产品成熟度和客户基础上具有优势；在性价比方面比国外进口产品具有30-50%的优势）；国际竞争地位（技术水平达到国际先进，在单目三维DIC领域处于领先地位；产品价格仅为国际同类产品的50-70%；在亚洲市场的竞争力超过欧美传统厂商）。</w:t>
      </w:r>
    </w:p>
    <w:p w14:paraId="7927C13E">
      <w:pPr>
        <w:pStyle w:val="36"/>
        <w:spacing w:before="0" w:after="0" w:line="400" w:lineRule="exact"/>
        <w:ind w:firstLine="480" w:firstLineChars="200"/>
        <w:jc w:val="both"/>
        <w:rPr>
          <w:rFonts w:ascii="Times New Roman" w:hAnsi="Times New Roman"/>
        </w:rPr>
      </w:pPr>
      <w:r>
        <w:rPr>
          <w:rFonts w:ascii="Times New Roman" w:hAnsi="Times New Roman"/>
        </w:rPr>
        <w:t>品牌影响力与客户认可度：战略转型期间，HSM的品牌影响力实现了质的飞跃，从行业内的技术提供商成长为具有全国影响力的创新企业，获得了广泛的市场认可和媒体关注。</w:t>
      </w:r>
    </w:p>
    <w:p w14:paraId="3383E667">
      <w:pPr>
        <w:pStyle w:val="36"/>
        <w:spacing w:before="0" w:after="0" w:line="400" w:lineRule="exact"/>
        <w:ind w:firstLine="480" w:firstLineChars="200"/>
        <w:jc w:val="both"/>
        <w:rPr>
          <w:rFonts w:ascii="Times New Roman" w:hAnsi="Times New Roman"/>
        </w:rPr>
      </w:pPr>
      <w:r>
        <w:rPr>
          <w:rFonts w:ascii="Times New Roman" w:hAnsi="Times New Roman"/>
        </w:rPr>
        <w:t>品牌价值提升体现在：行业地位认可（2022年入选”专精特新”中小企业名单，2023年被评为”中关村独角兽企业”，2024年入选福布斯中国”最具创新力企业”榜单）；媒体关注度和曝光度（主流媒体报道数量增加300%，行业专业期刊专题报道15次，社交媒体粉丝数量增长500%）；品牌荣誉和奖项（获得”中国仪器仪表学会科学技术奖”，入选”中关村天使投资联盟年度投资价值企业”，获得多项创新创业大赛金奖）。</w:t>
      </w:r>
    </w:p>
    <w:p w14:paraId="137A0397">
      <w:pPr>
        <w:pStyle w:val="36"/>
        <w:spacing w:before="0" w:after="0" w:line="400" w:lineRule="exact"/>
        <w:ind w:firstLine="480" w:firstLineChars="200"/>
        <w:jc w:val="both"/>
        <w:rPr>
          <w:rFonts w:ascii="Times New Roman" w:hAnsi="Times New Roman"/>
        </w:rPr>
      </w:pPr>
      <w:r>
        <w:rPr>
          <w:rFonts w:ascii="Times New Roman" w:hAnsi="Times New Roman"/>
        </w:rPr>
        <w:t>客户认可度提升包括：客户满意度调查（整体客户满意度从75%提升至92%，产品质量满意度达到95%，技术服务满意度达到90%）；客户结构优化（头部客户包括中科院、清华大学、华为、比亚迪等知名机构，世界500强企业客户数量从0家增加至12家，重复购买率达到80%客户粘性显著增强）；市场口碑建立（在行业展会和专业会议中的品牌认知度超过80%，客户推荐意愿达到85%，网络口碑正面评价占比超过90%）。</w:t>
      </w:r>
    </w:p>
    <w:p w14:paraId="031B652C">
      <w:pPr>
        <w:pStyle w:val="36"/>
        <w:spacing w:before="0" w:after="0" w:line="400" w:lineRule="exact"/>
        <w:ind w:firstLine="480" w:firstLineChars="200"/>
        <w:jc w:val="both"/>
        <w:rPr>
          <w:rFonts w:ascii="Times New Roman" w:hAnsi="Times New Roman"/>
        </w:rPr>
      </w:pPr>
      <w:r>
        <w:rPr>
          <w:rFonts w:ascii="Times New Roman" w:hAnsi="Times New Roman"/>
        </w:rPr>
        <w:t>生态系统构建涵盖：合作伙伴网络（与50+家系统集成商建立合作关系，与20+家高校建立产学研合作关系，与10+家投资机构建立战略合作关系）；行业标准参与（参与制定DIC技术国家标准3项，参与行业标准制定5项，主导企业技术标准8项）；社会责任履行（设立”HSM科技创新奖学金”，赞助国内外学术会议20+场，开展科普教育活动100+场）。</w:t>
      </w:r>
    </w:p>
    <w:p w14:paraId="4AFE96E7">
      <w:pPr>
        <w:pStyle w:val="3"/>
      </w:pPr>
      <w:bookmarkStart w:id="255" w:name="_Toc222913198"/>
      <w:r>
        <w:t>6.4 技术创新成效评估</w:t>
      </w:r>
      <w:bookmarkEnd w:id="255"/>
    </w:p>
    <w:p w14:paraId="40233D55">
      <w:pPr>
        <w:pStyle w:val="36"/>
        <w:spacing w:before="0" w:after="0" w:line="400" w:lineRule="exact"/>
        <w:ind w:firstLine="480" w:firstLineChars="200"/>
        <w:jc w:val="both"/>
        <w:rPr>
          <w:rFonts w:ascii="Times New Roman" w:hAnsi="Times New Roman"/>
        </w:rPr>
      </w:pPr>
      <w:r>
        <w:rPr>
          <w:rFonts w:ascii="Times New Roman" w:hAnsi="Times New Roman"/>
        </w:rPr>
        <w:t>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14:paraId="50A826E0">
      <w:pPr>
        <w:pStyle w:val="36"/>
        <w:spacing w:before="0" w:after="0" w:line="400" w:lineRule="exact"/>
        <w:ind w:firstLine="480" w:firstLineChars="200"/>
        <w:jc w:val="both"/>
        <w:rPr>
          <w:rFonts w:ascii="Times New Roman" w:hAnsi="Times New Roman"/>
        </w:rPr>
      </w:pPr>
      <w:r>
        <w:rPr>
          <w:rFonts w:ascii="Times New Roman" w:hAnsi="Times New Roman"/>
        </w:rPr>
        <w:t>研发投入分析显示：投入规模持续增长（研发费用占营业收入比重保持在25%以上，2021-2023年累计研发投入超过5000万元，研发人员数量从30人增长至80人，占总员工比例达到40%）；投入结构优化（基础研究投入占比15%，应用研究投入占比35%，产品开发投入占比50%；硬件研发投入占比45%，软件研发投入占比35%，算法研发投入占比20%；长期技术储备投入占比30%，短期产品开发投入占比70%）；投入效率提升（研发投入产出比从1:3提升至1:5，技术转化周期从18个月缩短至12个月，研发项目成功率从60%提升至85%）。</w:t>
      </w:r>
    </w:p>
    <w:p w14:paraId="57867C53">
      <w:pPr>
        <w:pStyle w:val="36"/>
        <w:spacing w:before="0" w:after="0" w:line="400" w:lineRule="exact"/>
        <w:ind w:firstLine="480" w:firstLineChars="200"/>
        <w:jc w:val="both"/>
        <w:rPr>
          <w:rFonts w:ascii="Times New Roman" w:hAnsi="Times New Roman"/>
        </w:rPr>
      </w:pPr>
      <w:r>
        <w:rPr>
          <w:rFonts w:ascii="Times New Roman" w:hAnsi="Times New Roman"/>
        </w:rPr>
        <w:t>技术产出成果包括：专利申请与授权（累计申请专利50项，其中发明专利30项；获得授权专利35项，发明专利20项；国际专利申请5项，覆盖美国、欧洲、日本等主要市场）；技术突破成果（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开发第三代DIC产品线3大系列8个型号，软件产品从单一功能扩展至全流程解决方案，新产品开发周期从24个月缩短至12个月）。</w:t>
      </w:r>
    </w:p>
    <w:p w14:paraId="631D4477">
      <w:pPr>
        <w:pStyle w:val="36"/>
        <w:spacing w:before="0" w:after="0" w:line="400" w:lineRule="exact"/>
        <w:ind w:firstLine="480" w:firstLineChars="200"/>
        <w:jc w:val="both"/>
        <w:rPr>
          <w:rFonts w:ascii="Times New Roman" w:hAnsi="Times New Roman"/>
        </w:rPr>
      </w:pPr>
      <w:r>
        <w:rPr>
          <w:rFonts w:ascii="Times New Roman" w:hAnsi="Times New Roman"/>
        </w:rPr>
        <w:t>技术领先性评估涵盖：核心技术水平（单目三维DIC技术在国际上处于领先地位，填补了国内技术空白；人工智能融合技术率先将深度学习技术应用于DIC测量；标准化技术建立了完整的技术标准体系，引领行业发展）；技术壁垒构建（核心算法自主可控，形成技术护城河；关键技术专利布局完善，保护范围覆盖主要应用领域；技术know-how积累深厚，竞争对手难以模仿）；技术生态建设（建立开放的技术平台支持第三方开发者，构建完整的技术文档和培训体系，形成产学研一体化的技术创新网络）。</w:t>
      </w:r>
    </w:p>
    <w:p w14:paraId="542303C2">
      <w:pPr>
        <w:pStyle w:val="36"/>
        <w:spacing w:before="0" w:after="0" w:line="400" w:lineRule="exact"/>
        <w:ind w:firstLine="480" w:firstLineChars="200"/>
        <w:jc w:val="both"/>
        <w:rPr>
          <w:rFonts w:ascii="Times New Roman" w:hAnsi="Times New Roman"/>
        </w:rPr>
      </w:pPr>
      <w:r>
        <w:rPr>
          <w:rFonts w:ascii="Times New Roman" w:hAnsi="Times New Roman"/>
        </w:rPr>
        <w:t>创新能力体系体现在：创新机制建设（建立”创新委员会”制度统筹技术创新战略，实施”双轨制”创新管理兼顾渐进式创新和突破式创新，设立”创新基金”支持高风险高回报的创新项目）；创新人才队伍（核心研发团队中博士占比30%、硕士占比60%，引进国际顶尖专家3名建立技术顾问委员会，与高校联合培养博士后构建人才储备梯队）；创新文化建设（倡导”技术驱动、创新引领”的企业文化，建立”容错机制”鼓励大胆创新和试错，实施”创新激励计划”重奖重大技术突破）。</w:t>
      </w:r>
    </w:p>
    <w:p w14:paraId="1665FB4E">
      <w:pPr>
        <w:pStyle w:val="36"/>
        <w:spacing w:before="0" w:after="0" w:line="400" w:lineRule="exact"/>
        <w:ind w:firstLine="480" w:firstLineChars="200"/>
        <w:jc w:val="both"/>
        <w:rPr>
          <w:rFonts w:ascii="Times New Roman" w:hAnsi="Times New Roman"/>
        </w:rPr>
      </w:pPr>
      <w:r>
        <w:rPr>
          <w:rFonts w:ascii="Times New Roman" w:hAnsi="Times New Roman"/>
        </w:rPr>
        <w:t>技术转化效率方面：成果转化机制（建立”技术-产品-市场”的快速转化通道，设立”产业化基金”支持技术成果转化，构建”中试基地”加速技术成熟和产业化）；转化效果评估（技术成果转化率达到80%，产业化成功率达到70%，技术转化周期从18个月缩短至12个月）。</w:t>
      </w:r>
    </w:p>
    <w:bookmarkEnd w:id="252"/>
    <w:p w14:paraId="40925902">
      <w:pPr>
        <w:pStyle w:val="3"/>
      </w:pPr>
      <w:bookmarkStart w:id="256" w:name="_Toc222822826"/>
      <w:bookmarkStart w:id="257" w:name="_Toc222913199"/>
      <w:bookmarkStart w:id="258" w:name="组织能力与文化变革"/>
      <w:r>
        <w:t>6.5 组织能力与文化变革</w:t>
      </w:r>
      <w:bookmarkEnd w:id="256"/>
      <w:bookmarkEnd w:id="257"/>
    </w:p>
    <w:p w14:paraId="1F2E40E3">
      <w:pPr>
        <w:pStyle w:val="36"/>
        <w:spacing w:before="0" w:after="0" w:line="400" w:lineRule="exact"/>
        <w:ind w:firstLine="480" w:firstLineChars="200"/>
        <w:jc w:val="both"/>
        <w:rPr>
          <w:rFonts w:ascii="Times New Roman" w:hAnsi="Times New Roman"/>
        </w:rPr>
      </w:pPr>
      <w:r>
        <w:rPr>
          <w:rFonts w:ascii="Times New Roman" w:hAnsi="Times New Roman"/>
        </w:rPr>
        <w:t>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14:paraId="496DBA53">
      <w:pPr>
        <w:pStyle w:val="36"/>
        <w:spacing w:before="0" w:after="0" w:line="400" w:lineRule="exact"/>
        <w:ind w:firstLine="480" w:firstLineChars="200"/>
        <w:jc w:val="both"/>
        <w:rPr>
          <w:rFonts w:ascii="Times New Roman" w:hAnsi="Times New Roman"/>
        </w:rPr>
      </w:pPr>
      <w:r>
        <w:rPr>
          <w:rFonts w:ascii="Times New Roman" w:hAnsi="Times New Roman"/>
        </w:rPr>
        <w:t>组织架构优化成效体现在：组织结构演进（从传统的职能型组织向事业部制组织转变，建立”技术研发-产品管理-市场营销”的协同机制，设立”创新实验室”负责前沿技术探索和突破）；决策机制优化（建立扁平化的决策体系提高决策效率，实施”数据驱动”的决策模式降低主观判断风险，构建”快速试错”机制提升组织适应性）；跨部门协作提升（建立”项目制”协作模式打破部门壁垒，实施”矩阵式”管理实现资源共享和协同，构建”知识共享”平台促进经验交流和传承）。</w:t>
      </w:r>
    </w:p>
    <w:p w14:paraId="3C89702B">
      <w:pPr>
        <w:pStyle w:val="36"/>
        <w:spacing w:before="0" w:after="0" w:line="400" w:lineRule="exact"/>
        <w:ind w:firstLine="480" w:firstLineChars="200"/>
        <w:jc w:val="both"/>
        <w:rPr>
          <w:rFonts w:ascii="Times New Roman" w:hAnsi="Times New Roman"/>
        </w:rPr>
      </w:pPr>
      <w:r>
        <w:rPr>
          <w:rFonts w:ascii="Times New Roman" w:hAnsi="Times New Roman"/>
        </w:rPr>
        <w:t>人才发展成果包括：人才结构战略性优化（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建立”HSM学院”系统化培养各类人才，实施”导师制”加速新人成长和能力提升，开展”轮岗计划”培养复合型人才，能力结构转型推动员工从项目实施能力向产品研发能力、解决方案设计能力转型）；激励机制完善（实施”股权激励”使核心骨干持股比例达到30%，建立”绩效导向”的薪酬体系激励效果显著，设立”创新奖励”重奖重大贡献和技术突破，人均效率提升通过优化激励使人均产值提升2.5倍）。</w:t>
      </w:r>
    </w:p>
    <w:p w14:paraId="147689F0">
      <w:pPr>
        <w:pStyle w:val="36"/>
        <w:spacing w:before="0" w:after="0" w:line="400" w:lineRule="exact"/>
        <w:ind w:firstLine="480" w:firstLineChars="200"/>
        <w:jc w:val="both"/>
        <w:rPr>
          <w:rFonts w:ascii="Times New Roman" w:hAnsi="Times New Roman"/>
        </w:rPr>
      </w:pPr>
      <w:r>
        <w:rPr>
          <w:rFonts w:ascii="Times New Roman" w:hAnsi="Times New Roman"/>
        </w:rPr>
        <w:t>文化变革成效涵盖：核心价值观重塑（从”技术导向”向”客户导向”转变，从”封闭创新”向”开放协作”转变，从”稳健保守”向”敏捷创新”转变）；创新文化建设（建立”鼓励创新、容忍失败”的文化氛围，倡导”持续学习、追求卓越”的学习文化，营造”开放包容、协作共赢”的团队文化）；变革管理成效（员工对变革的接受度从60%提升至90%，组织适应性和灵活性显著增强，变革阻力大幅降低且变革成本控制在合理范围）。</w:t>
      </w:r>
    </w:p>
    <w:p w14:paraId="019BEFEE">
      <w:pPr>
        <w:pStyle w:val="36"/>
        <w:spacing w:before="0" w:after="0" w:line="400" w:lineRule="exact"/>
        <w:ind w:firstLine="480" w:firstLineChars="200"/>
        <w:jc w:val="both"/>
        <w:rPr>
          <w:rFonts w:ascii="Times New Roman" w:hAnsi="Times New Roman"/>
        </w:rPr>
      </w:pPr>
      <w:r>
        <w:rPr>
          <w:rFonts w:ascii="Times New Roman" w:hAnsi="Times New Roman"/>
        </w:rPr>
        <w:t>组织学习能力提升体现在：学习机制建设（建立”学习型组织”倡导持续学习和知识分享，实施”复盘机制”从成功和失败中总结经验教训，构建”知识管理”系统促进隐性知识显性化）；学习效果评估（员工技能提升度达到85%，组织学习效率提升50%，知识转化应用率超过80%）。</w:t>
      </w:r>
    </w:p>
    <w:bookmarkEnd w:id="258"/>
    <w:p w14:paraId="23845F73">
      <w:pPr>
        <w:pStyle w:val="3"/>
      </w:pPr>
      <w:bookmarkStart w:id="259" w:name="_Toc222913200"/>
      <w:bookmarkStart w:id="260" w:name="_Toc222822827"/>
      <w:bookmarkStart w:id="261" w:name="可持续发展能力评估"/>
      <w:r>
        <w:t>6.6 可持续发展能力评估</w:t>
      </w:r>
      <w:bookmarkEnd w:id="259"/>
      <w:bookmarkEnd w:id="260"/>
    </w:p>
    <w:p w14:paraId="1EFED75C">
      <w:pPr>
        <w:pStyle w:val="36"/>
        <w:spacing w:before="0" w:after="0" w:line="400" w:lineRule="exact"/>
        <w:ind w:firstLine="480" w:firstLineChars="200"/>
        <w:jc w:val="both"/>
        <w:rPr>
          <w:rFonts w:ascii="Times New Roman" w:hAnsi="Times New Roman"/>
        </w:rPr>
      </w:pPr>
      <w:r>
        <w:rPr>
          <w:rFonts w:ascii="Times New Roman" w:hAnsi="Times New Roman"/>
        </w:rPr>
        <w:t>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14:paraId="7D98F616">
      <w:pPr>
        <w:pStyle w:val="36"/>
        <w:spacing w:before="0" w:after="0" w:line="400" w:lineRule="exact"/>
        <w:ind w:firstLine="480" w:firstLineChars="200"/>
        <w:jc w:val="both"/>
        <w:rPr>
          <w:rFonts w:ascii="Times New Roman" w:hAnsi="Times New Roman"/>
        </w:rPr>
      </w:pPr>
      <w:r>
        <w:rPr>
          <w:rFonts w:ascii="Times New Roman" w:hAnsi="Times New Roman"/>
        </w:rPr>
        <w:t>战略持续性分析包括：长期发展规划（制定5年发展战略规划明确发展路径和目标，建立”战略-战术-执行”的三层规划体系，构建”动态调整”机制确保战略与环境的匹配）；业务模式可持续性（从”产品导向”向”服务导向”转变提升客户粘性，构建”平台化”业务模式增强扩展性和适应性，发展”生态化”合作模式实现共赢发展）；核心竞争力可持续性（技术创新能力持续增强保持技术领先优势，人才队伍建设不断完善构建人才竞争优势，品牌影响力持续扩大建立品牌护城河）。</w:t>
      </w:r>
    </w:p>
    <w:p w14:paraId="40F1AFCD">
      <w:pPr>
        <w:pStyle w:val="36"/>
        <w:spacing w:before="0" w:after="0" w:line="400" w:lineRule="exact"/>
        <w:ind w:firstLine="480" w:firstLineChars="200"/>
        <w:jc w:val="both"/>
        <w:rPr>
          <w:rFonts w:ascii="Times New Roman" w:hAnsi="Times New Roman"/>
        </w:rPr>
      </w:pPr>
      <w:r>
        <w:rPr>
          <w:rFonts w:ascii="Times New Roman" w:hAnsi="Times New Roman"/>
        </w:rPr>
        <w:t>抗风险能力提升体现在：市场风险管控（客户结构多元化降低单一大客户依赖风险，产品组合丰富化平衡不同产品的市场风险，区域市场分散化降低地域经济波动风险）；技术风险管控（技术路线多样化避免单一技术路径风险，核心技术自主可控降低对外技术依赖，技术储备充足确保技术迭代风险可控）；财务风险管控（现金流管理精细化确保资金安全，负债结构合理化控制财务杠杆风险，投资决策科学化提高投资成功率）。</w:t>
      </w:r>
    </w:p>
    <w:p w14:paraId="25120858">
      <w:pPr>
        <w:pStyle w:val="36"/>
        <w:spacing w:before="0" w:after="0" w:line="400" w:lineRule="exact"/>
        <w:ind w:firstLine="480" w:firstLineChars="200"/>
        <w:jc w:val="both"/>
        <w:rPr>
          <w:rFonts w:ascii="Times New Roman" w:hAnsi="Times New Roman"/>
        </w:rPr>
      </w:pPr>
      <w:r>
        <w:rPr>
          <w:rFonts w:ascii="Times New Roman" w:hAnsi="Times New Roman"/>
        </w:rPr>
        <w:t>社会责任履行涵盖：环境保护贡献（产品设计贯彻绿色理念降低能耗和环境负担，生产过程严格控制污染排放实现清洁生产，推动行业绿色发展引领环保技术进步）；社会价值创造（为客户创造价值帮助客户提升测量精度和效率，为员工创造机会提供良好的职业发展平台，为股东创造回报实现企业价值的持续增长）；公益慈善参与（设立教育奖学金支持贫困学生完成学业，赞助学术研究推动科学技术进步，参与社区建设履行企业公民责任）。</w:t>
      </w:r>
    </w:p>
    <w:p w14:paraId="45BE88C0">
      <w:pPr>
        <w:pStyle w:val="36"/>
        <w:spacing w:before="0" w:after="0" w:line="400" w:lineRule="exact"/>
        <w:ind w:firstLine="480" w:firstLineChars="200"/>
        <w:jc w:val="both"/>
        <w:rPr>
          <w:rFonts w:ascii="Times New Roman" w:hAnsi="Times New Roman"/>
        </w:rPr>
      </w:pPr>
      <w:r>
        <w:rPr>
          <w:rFonts w:ascii="Times New Roman" w:hAnsi="Times New Roman"/>
        </w:rPr>
        <w:t>行业影响力提升包括：技术引领作用（引领DIC技术发展方向制定行业技术标准，推动技术普及应用降低技术应用门槛，促进产学研合作加速技术成果转化）；市场规范作用（倡导公平竞争维护市场秩序，推动价格理性化促进行业健康发展，提升服务质量树立行业服务标杆）；创新发展推动（建立创新生态系统培育创新创业企业，分享创新经验促进行业整体进步，推动国际化发展提升中国企业在全球的地位）。</w:t>
      </w:r>
    </w:p>
    <w:bookmarkEnd w:id="261"/>
    <w:p w14:paraId="346CAAD6">
      <w:pPr>
        <w:pStyle w:val="3"/>
      </w:pPr>
      <w:bookmarkStart w:id="262" w:name="_Toc222822828"/>
      <w:bookmarkStart w:id="263" w:name="_Toc222913201"/>
      <w:bookmarkStart w:id="264" w:name="转型成效综合评价"/>
      <w:r>
        <w:t>6.7 转型成效综合评价</w:t>
      </w:r>
      <w:bookmarkEnd w:id="262"/>
      <w:bookmarkEnd w:id="263"/>
    </w:p>
    <w:p w14:paraId="727D888C">
      <w:pPr>
        <w:pStyle w:val="36"/>
        <w:spacing w:before="0" w:after="0" w:line="400" w:lineRule="exact"/>
        <w:ind w:firstLine="480" w:firstLineChars="200"/>
        <w:jc w:val="both"/>
        <w:rPr>
          <w:rFonts w:ascii="Times New Roman" w:hAnsi="Times New Roman"/>
        </w:rPr>
      </w:pPr>
      <w:r>
        <w:rPr>
          <w:rFonts w:ascii="Times New Roman" w:hAnsi="Times New Roman"/>
        </w:rPr>
        <w:t>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14:paraId="24E642A0">
      <w:pPr>
        <w:pStyle w:val="36"/>
        <w:spacing w:before="0" w:after="0" w:line="400" w:lineRule="exact"/>
        <w:ind w:firstLine="480" w:firstLineChars="200"/>
        <w:jc w:val="both"/>
        <w:rPr>
          <w:rFonts w:ascii="Times New Roman" w:hAnsi="Times New Roman"/>
        </w:rPr>
      </w:pPr>
      <w:r>
        <w:rPr>
          <w:rFonts w:ascii="Times New Roman" w:hAnsi="Times New Roman"/>
        </w:rPr>
        <w:t>定量综合评价结果显示：综合评价指标权重（财务绩效30%，市场地位25%，技术创新20%，组织能力15%，可持续发展10%）；各维度得分（财务绩效维度85分，其中收入增长得分90分、盈利能力得分85分、运营效率得分80分；市场地位维度88分，其中市场份额得分85分、品牌影响力得分90分、客户认可度得分88分；技术创新维度92分，其中研发投入得分90分、技术产出得分95分、创新能力得分92分；组织能力维度80分，其中组织架构得分85分、人才发展得分78分、文化变革得分78分；可持续发展维度75分，其中战略持续性得分80分、社会责任得分75分、行业影响得分70分）；综合得分计算为85×0.3 + 88×0.25 + 92×0.2 + 80×0.15 + 75×0.1 = 25.5 + 22 + 18.4 + 12 + 7.5 = 85.4分。</w:t>
      </w:r>
    </w:p>
    <w:p w14:paraId="0CCDD6A2">
      <w:pPr>
        <w:pStyle w:val="36"/>
        <w:spacing w:before="0" w:after="0" w:line="400" w:lineRule="exact"/>
        <w:ind w:firstLine="480" w:firstLineChars="200"/>
        <w:jc w:val="both"/>
        <w:rPr>
          <w:rFonts w:ascii="Times New Roman" w:hAnsi="Times New Roman"/>
        </w:rPr>
      </w:pPr>
      <w:r>
        <w:rPr>
          <w:rFonts w:ascii="Times New Roman" w:hAnsi="Times New Roman"/>
        </w:rPr>
        <w:t>转型成效定性分析揭示：转型成功的核心要素包括技术驱动战略（以第三代DIC技术为核心的技术创新战略成功实施，技术领先优势转化为市场竞争优势，技术壁垒构建有效使竞争对手难以模仿）；市场定位精准（从科研市场向工业市场的战略调整成功，标准化产品战略降低了成本和风险，客户结构优化增强了企业抗风险能力）；组织能力匹配（组织架构调整支撑了业务发展战略，人才队伍建设保障了技术创新需求，文化变革促进了战略转型的顺利实施）。存在的主要问题包括组织能力建设滞后（人才发展速度跟不上业务发展需求，文化变革深度不够且部分传统思维仍然存在，管理体系完善度有待提升）；可持续发展能力不足（长期战略规划需要进一步完善，社会责任履行需要系统化推进，行业影响力发挥不够充分）；国际化程度不高（海外市场拓展相对滞后，国际技术合作需要加强，全球品牌影响力有限）。</w:t>
      </w:r>
    </w:p>
    <w:p w14:paraId="0C05D77C">
      <w:pPr>
        <w:pStyle w:val="36"/>
        <w:spacing w:before="0" w:after="0" w:line="400" w:lineRule="exact"/>
        <w:ind w:firstLine="480" w:firstLineChars="200"/>
        <w:rPr>
          <w:rFonts w:ascii="Times New Roman" w:hAnsi="Times New Roman"/>
        </w:rPr>
        <w:sectPr>
          <w:headerReference r:id="rId27" w:type="default"/>
          <w:headerReference r:id="rId28" w:type="even"/>
          <w:pgSz w:w="11905" w:h="16838"/>
          <w:pgMar w:top="1701" w:right="1474" w:bottom="1417" w:left="1474" w:header="1134" w:footer="992" w:gutter="0"/>
          <w:cols w:space="0" w:num="1"/>
          <w:docGrid w:type="linesAndChars" w:linePitch="327" w:charSpace="0"/>
        </w:sectPr>
      </w:pPr>
      <w:r>
        <w:rPr>
          <w:rFonts w:ascii="Times New Roman" w:hAnsi="Times New Roman"/>
        </w:rPr>
        <w:t>经验总结与启示涵盖：战略制定经验（技术创新驱动：坚持技术创新为核心竞争力，保持研发投入的持续性和稳定性，构建完整的技术创新生态体系；市场导向思维：深入理解客户需求和市场变化，及时调整市场定位和产品策略，构建灵活的市场响应机制；差异化竞争策略：找准市场细分领域避开正面竞争，构建独特的技术优势和市场地位，形成难以模仿的竞争壁垒）。执行推进经验（系统性变革管理：统筹技术、市场、组织、文化的协同变革，建立有效的变革管理机制和流程，注重变革过程中的沟通和协调；阶段性推进策略：制定清晰的转型路线图和时间表，采用试点推广的方式降低风险，及时总结经验教训并调整推进策略；资源配置优化：集中资源投入关键领域和重点项目，建立动态的资源调整机制，平衡短期效益和长期发展的资源配置）。风险管控经验（前瞻性风险识别：建立系统化的风险评估机制，及时识别和预警潜在风险，制定针对性的风险应对预案；多元化风险分散：通过客户、产品、区域的多元化分散风险，建立多层次的风险防护体系，保持充足的现金储备应对突发风险；持续改进机制：建立转型效果的定期评估机制，及时调整转型策略和措施，持续优化转型管理体系）。</w:t>
      </w:r>
    </w:p>
    <w:bookmarkEnd w:id="249"/>
    <w:bookmarkEnd w:id="264"/>
    <w:p w14:paraId="2D4CB273">
      <w:pPr>
        <w:pStyle w:val="2"/>
      </w:pPr>
      <w:bookmarkStart w:id="265" w:name="_Toc222913202"/>
      <w:bookmarkStart w:id="266" w:name="_Toc222822829"/>
      <w:bookmarkStart w:id="267" w:name="第七章-结论与建议"/>
      <w:r>
        <w:t>第七章 结论与建议</w:t>
      </w:r>
      <w:bookmarkEnd w:id="265"/>
      <w:bookmarkEnd w:id="266"/>
    </w:p>
    <w:bookmarkEnd w:id="267"/>
    <w:p w14:paraId="5D8CF29C">
      <w:pPr>
        <w:pStyle w:val="3"/>
      </w:pPr>
      <w:bookmarkStart w:id="268" w:name="_Toc222912894"/>
      <w:bookmarkStart w:id="269" w:name="_Toc222913203"/>
      <w:bookmarkStart w:id="270" w:name="主要研究发现"/>
      <w:bookmarkStart w:id="271" w:name="_Toc222822844"/>
      <w:bookmarkStart w:id="272" w:name="参考文献"/>
      <w:r>
        <w:t>7.1 主要研究发现</w:t>
      </w:r>
      <w:bookmarkEnd w:id="268"/>
      <w:bookmarkEnd w:id="269"/>
    </w:p>
    <w:p w14:paraId="63C40473">
      <w:pPr>
        <w:pStyle w:val="36"/>
        <w:spacing w:before="0" w:after="0" w:line="400" w:lineRule="exact"/>
        <w:ind w:firstLine="480" w:firstLineChars="200"/>
        <w:rPr>
          <w:rFonts w:ascii="Times New Roman" w:hAnsi="Times New Roman"/>
        </w:rPr>
      </w:pPr>
      <w:r>
        <w:rPr>
          <w:rFonts w:ascii="Times New Roman" w:hAnsi="Times New Roman"/>
        </w:rPr>
        <w:t>基于对HSM公司战略转型案例的深入分析，本研究得出以下具体发现。技术突破是企业战略转型成功的关键因素，HSM通过第三代DIC技术突破实现了技术路线的根本性变革。该技术将测量精度从传统传感器的0.1%FS提升至亚像素级，即0.01像素水平，采样频率达到1000Hz，满足了基础设施安全监测的精准要求。技术领先优势直接转化为产品竞争优势，视频跟踪仪相比传统传感器方案可降低初始投资40%至60%，年维护成本降低60%至70%。</w:t>
      </w:r>
    </w:p>
    <w:p w14:paraId="52CA170E">
      <w:pPr>
        <w:pStyle w:val="36"/>
        <w:spacing w:before="0" w:after="0" w:line="400" w:lineRule="exact"/>
        <w:ind w:firstLine="480" w:firstLineChars="200"/>
        <w:rPr>
          <w:rFonts w:ascii="Times New Roman" w:hAnsi="Times New Roman"/>
        </w:rPr>
      </w:pPr>
      <w:r>
        <w:rPr>
          <w:rFonts w:ascii="Times New Roman" w:hAnsi="Times New Roman"/>
        </w:rPr>
        <w:t>市场战略调整取得了显著成效，从科研市场向工业市场的战略调整使HSM客户结构发生根本性变化。目前HSM在桥梁监测市场渗透率达到15%，隧道监测市场渗透率为10%，边坡监测市场渗透率为12%。2025年视频跟踪仪市场规模预计达到8.675亿元，HSM有望占据超过20%的市场份额。标准化产品战略使项目部署时间缩短50%，运营成本降低30%。</w:t>
      </w:r>
    </w:p>
    <w:p w14:paraId="1931F119">
      <w:pPr>
        <w:pStyle w:val="36"/>
        <w:spacing w:before="0" w:after="0" w:line="400" w:lineRule="exact"/>
        <w:ind w:firstLine="480" w:firstLineChars="200"/>
        <w:rPr>
          <w:rFonts w:ascii="Times New Roman" w:hAnsi="Times New Roman"/>
        </w:rPr>
      </w:pPr>
      <w:r>
        <w:rPr>
          <w:rFonts w:ascii="Times New Roman" w:hAnsi="Times New Roman"/>
        </w:rPr>
        <w:t>组织变革有效支撑了业务发展，扁平化组织架构使决策效率提升40%，矩阵式管理模式实现了研发、市场、服务的有效协同。公司研发人员占比从转型前的25%提升至40%，技术专家团队规模扩大了三倍，为持续技术创新提供了人才保障。</w:t>
      </w:r>
    </w:p>
    <w:p w14:paraId="095F08C9">
      <w:pPr>
        <w:pStyle w:val="36"/>
        <w:spacing w:before="0" w:after="0" w:line="400" w:lineRule="exact"/>
        <w:ind w:firstLine="480" w:firstLineChars="200"/>
        <w:rPr>
          <w:rFonts w:ascii="Times New Roman" w:hAnsi="Times New Roman"/>
        </w:rPr>
      </w:pPr>
      <w:r>
        <w:rPr>
          <w:rFonts w:ascii="Times New Roman" w:hAnsi="Times New Roman"/>
        </w:rPr>
        <w:t>商业模式创新创造了新的价值空间，监测即服务模式降低了客户初始投资门槛，数据增值服务贡献了30%的营业收入。与系统集成商、地区合作伙伴构建的生态体系使市场覆盖率在两年内提升至30%以上。</w:t>
      </w:r>
    </w:p>
    <w:bookmarkEnd w:id="270"/>
    <w:p w14:paraId="19014370">
      <w:pPr>
        <w:pStyle w:val="3"/>
      </w:pPr>
      <w:bookmarkStart w:id="273" w:name="_Toc222912895"/>
      <w:bookmarkStart w:id="274" w:name="_Toc222913204"/>
      <w:bookmarkStart w:id="275" w:name="管理实践建议"/>
      <w:r>
        <w:t>7.2 管理实践建议</w:t>
      </w:r>
      <w:bookmarkEnd w:id="273"/>
      <w:bookmarkEnd w:id="274"/>
    </w:p>
    <w:p w14:paraId="73BB7B13">
      <w:pPr>
        <w:pStyle w:val="36"/>
        <w:spacing w:before="0" w:after="0" w:line="400" w:lineRule="exact"/>
        <w:ind w:firstLine="480" w:firstLineChars="200"/>
        <w:rPr>
          <w:rFonts w:ascii="Times New Roman" w:hAnsi="Times New Roman"/>
        </w:rPr>
      </w:pPr>
      <w:r>
        <w:rPr>
          <w:rFonts w:ascii="Times New Roman" w:hAnsi="Times New Roman"/>
        </w:rPr>
        <w:t>技术战略实施需要保持持续的技术领先地位。企业应当持续投入研发资源，确保DIC技术迭代速度领先竞争对手至少一代至两代。重点开发人工智能算法与DIC技术的融合应用，提升自动化分析能力。同时应当推进产品标准化进程，建立桥梁、隧道、边坡三大标准产品系列，通过模块化设计降低定制化成本。标准化产品应当覆盖80%的应用场景，特殊需求通过配置调整实现。</w:t>
      </w:r>
    </w:p>
    <w:p w14:paraId="7417AD77">
      <w:pPr>
        <w:pStyle w:val="36"/>
        <w:spacing w:before="0" w:after="0" w:line="400" w:lineRule="exact"/>
        <w:ind w:firstLine="480" w:firstLineChars="200"/>
        <w:rPr>
          <w:rFonts w:ascii="Times New Roman" w:hAnsi="Times New Roman"/>
        </w:rPr>
      </w:pPr>
      <w:r>
        <w:rPr>
          <w:rFonts w:ascii="Times New Roman" w:hAnsi="Times New Roman"/>
        </w:rPr>
        <w:t>市场拓展策略应当聚焦重点发展领域。企业应当优先发展桥梁监测、隧道监测和边坡监测三大市场，这些领域分别具有政策驱动明确、新建项目众多和安全要求高的特点。建立示范项目库，每个重点区域至少建设三个标杆项目。构建合作伙伴生态系统，完善金牌、银牌、铜牌三级合作伙伴管理体系。金牌合作伙伴年项目能力应当达到十个以上，企业应当给予技术支持和利润分成激励。</w:t>
      </w:r>
    </w:p>
    <w:p w14:paraId="391F2793">
      <w:pPr>
        <w:pStyle w:val="36"/>
        <w:spacing w:before="0" w:after="0" w:line="400" w:lineRule="exact"/>
        <w:ind w:firstLine="480" w:firstLineChars="200"/>
        <w:rPr>
          <w:rFonts w:ascii="Times New Roman" w:hAnsi="Times New Roman"/>
        </w:rPr>
      </w:pPr>
      <w:r>
        <w:rPr>
          <w:rFonts w:ascii="Times New Roman" w:hAnsi="Times New Roman"/>
        </w:rPr>
        <w:t>组织能力建设需要注重人才梯队培养。企业应当建立技术专家、项目经理、服务工程师三级人才梯队，实施导师制度，使新员工在六个月内具备独立实施能力。绩效考核体系需要优化，研发团队考核应当结合技术成果和市场应用，销售团队考核应当兼顾项目数量和项目质量。</w:t>
      </w:r>
    </w:p>
    <w:bookmarkEnd w:id="275"/>
    <w:p w14:paraId="18B318FE">
      <w:pPr>
        <w:pStyle w:val="3"/>
      </w:pPr>
      <w:bookmarkStart w:id="276" w:name="_Toc222912896"/>
      <w:bookmarkStart w:id="277" w:name="_Toc222913205"/>
      <w:bookmarkStart w:id="278" w:name="行业政策建议"/>
      <w:r>
        <w:t>7.3 行业政策建议</w:t>
      </w:r>
      <w:bookmarkEnd w:id="276"/>
      <w:bookmarkEnd w:id="277"/>
    </w:p>
    <w:p w14:paraId="11CCF81C">
      <w:pPr>
        <w:pStyle w:val="36"/>
        <w:spacing w:before="0" w:after="0" w:line="400" w:lineRule="exact"/>
        <w:ind w:firstLine="480" w:firstLineChars="200"/>
        <w:rPr>
          <w:rFonts w:ascii="Times New Roman" w:hAnsi="Times New Roman"/>
        </w:rPr>
      </w:pPr>
      <w:r>
        <w:rPr>
          <w:rFonts w:ascii="Times New Roman" w:hAnsi="Times New Roman"/>
        </w:rPr>
        <w:t>政府层面应当提供专项政策支持。建议设立视觉测量技术应用推广专项资金，对采用DIC技术的监测项目给予设备投资30%的补贴。将视频跟踪仪纳入首台套重大技术装备推广应用指导目录。标准体系建设需要加强，政府应当牵头制定DIC技术在基础设施监测领域的国家标准，建立统一的性能测试方法和验收规范。推动视频跟踪仪在交通、水利、住建等行业的强制性应用标准。</w:t>
      </w:r>
    </w:p>
    <w:p w14:paraId="375C47A6">
      <w:pPr>
        <w:pStyle w:val="36"/>
        <w:spacing w:before="0" w:after="0" w:line="400" w:lineRule="exact"/>
        <w:ind w:firstLine="480" w:firstLineChars="200"/>
        <w:rPr>
          <w:rFonts w:ascii="Times New Roman" w:hAnsi="Times New Roman"/>
        </w:rPr>
      </w:pPr>
      <w:r>
        <w:rPr>
          <w:rFonts w:ascii="Times New Roman" w:hAnsi="Times New Roman"/>
        </w:rPr>
        <w:t>行业层面需要建立产学研协同机制。建议建立视觉测量技术产业创新联盟，整合高校研发能力、企业工程化能力和用户应用需求。设立共性技术研发基金，支持前沿技术探索。人才培养体系需要完善，在相关高校增设视觉测量技术专业方向，每年培养专业人才不少于两百人。建立行业技能认证体系，持证人员优先参与重点项目。</w:t>
      </w:r>
    </w:p>
    <w:p w14:paraId="04E486B6">
      <w:pPr>
        <w:pStyle w:val="36"/>
        <w:spacing w:before="0" w:after="0" w:line="400" w:lineRule="exact"/>
        <w:ind w:firstLine="480" w:firstLineChars="200"/>
        <w:rPr>
          <w:rFonts w:ascii="Times New Roman" w:hAnsi="Times New Roman"/>
        </w:rPr>
      </w:pPr>
      <w:r>
        <w:rPr>
          <w:rFonts w:ascii="Times New Roman" w:hAnsi="Times New Roman"/>
        </w:rPr>
        <w:t>企业层面应当制定明确的技术路线图。企业需要明确未来三年至五年的技术发展方向，重点突破多相机协同测量、大尺度变形监测、动态实时分析等关键技术。风险应对机制需要建立，企业应当建立技术、市场、政策三类风险预警指标体系。技术风险重点关注替代技术出现时间，市场风险监测竞争对手价格策略，政策风险跟踪行业标准更新。</w:t>
      </w:r>
    </w:p>
    <w:bookmarkEnd w:id="278"/>
    <w:p w14:paraId="59522118">
      <w:pPr>
        <w:pStyle w:val="3"/>
      </w:pPr>
      <w:bookmarkStart w:id="279" w:name="_Toc222912897"/>
      <w:bookmarkStart w:id="280" w:name="_Toc222913206"/>
      <w:bookmarkStart w:id="281" w:name="研究总结与展望"/>
      <w:r>
        <w:t>7.4 研究总结与展望</w:t>
      </w:r>
      <w:bookmarkEnd w:id="279"/>
      <w:bookmarkEnd w:id="280"/>
    </w:p>
    <w:p w14:paraId="3C227BA1">
      <w:pPr>
        <w:pStyle w:val="36"/>
        <w:spacing w:before="0" w:after="0" w:line="400" w:lineRule="exact"/>
        <w:ind w:firstLine="480" w:firstLineChars="200"/>
        <w:rPr>
          <w:rFonts w:ascii="Times New Roman" w:hAnsi="Times New Roman"/>
        </w:rPr>
      </w:pPr>
      <w:r>
        <w:rPr>
          <w:rFonts w:ascii="Times New Roman" w:hAnsi="Times New Roman"/>
        </w:rPr>
        <w:t>本研究通过HSM案例分析，验证了技术驱动型转型模式在硬科技企业的适用性。研究发现，成功转型需要技术突破、市场调整、组织变革、商业模式创新的系统配合。</w:t>
      </w:r>
    </w:p>
    <w:p w14:paraId="748E8F11">
      <w:pPr>
        <w:pStyle w:val="36"/>
        <w:spacing w:before="0" w:after="0" w:line="400" w:lineRule="exact"/>
        <w:ind w:firstLine="480" w:firstLineChars="200"/>
        <w:rPr>
          <w:rFonts w:ascii="Times New Roman" w:hAnsi="Times New Roman"/>
        </w:rPr>
      </w:pPr>
      <w:r>
        <w:rPr>
          <w:rFonts w:ascii="Times New Roman" w:hAnsi="Times New Roman"/>
        </w:rPr>
        <w:t>本研究的实践价值在于为视觉力学传感器企业提供了可操作的转型路径。具体实施可分为三个阶段，包括技术突破期、市场拓展期和生态构建期。每个阶段应有明确的里程碑和评估指标。</w:t>
      </w:r>
    </w:p>
    <w:p w14:paraId="17E4A53C">
      <w:pPr>
        <w:pStyle w:val="36"/>
        <w:spacing w:before="0" w:after="0" w:line="400" w:lineRule="exact"/>
        <w:ind w:firstLine="480" w:firstLineChars="200"/>
        <w:rPr>
          <w:rFonts w:ascii="Times New Roman" w:hAnsi="Times New Roman"/>
        </w:rPr>
      </w:pPr>
      <w:r>
        <w:rPr>
          <w:rFonts w:ascii="Times New Roman" w:hAnsi="Times New Roman"/>
        </w:rPr>
        <w:t>未来研究可从三个方向深化，包括多案例比较研究、长期效果跟踪研究和数字化转型研究。多案例比较研究可以分析不同规模、不同区域企业的转型差异，长期效果跟踪研究可以评估转型成果的可持续性，数字化转型研究可以探索人工智能、大数据与视觉测量技术的融合应用。</w:t>
      </w:r>
    </w:p>
    <w:p w14:paraId="408BCCAB">
      <w:pPr>
        <w:pStyle w:val="36"/>
        <w:spacing w:before="0" w:after="0" w:line="400" w:lineRule="exact"/>
        <w:ind w:firstLine="480" w:firstLineChars="200"/>
        <w:rPr>
          <w:rFonts w:ascii="Times New Roman" w:hAnsi="Times New Roman"/>
        </w:rPr>
      </w:pPr>
      <w:r>
        <w:rPr>
          <w:rFonts w:ascii="Times New Roman" w:hAnsi="Times New Roman"/>
        </w:rPr>
        <w:t>随着新型基础设施建设的推进和智慧城市的发展，视觉力学传感器行业将迎来更广阔的应用空间。企业应当把握技术发展趋势，构建可持续的竞争优势，为我国基础设施安全监测水平的提升贡献力量。</w:t>
      </w:r>
    </w:p>
    <w:p w14:paraId="60BB2B4B">
      <w:pPr>
        <w:pStyle w:val="4"/>
      </w:pPr>
    </w:p>
    <w:p w14:paraId="09041AC7">
      <w:pPr>
        <w:pStyle w:val="4"/>
      </w:pPr>
    </w:p>
    <w:p w14:paraId="508B21F4">
      <w:pPr>
        <w:pStyle w:val="4"/>
      </w:pPr>
    </w:p>
    <w:p w14:paraId="5653498F">
      <w:pPr>
        <w:pStyle w:val="4"/>
      </w:pPr>
    </w:p>
    <w:p w14:paraId="74B8FA60">
      <w:pPr>
        <w:pStyle w:val="4"/>
      </w:pPr>
    </w:p>
    <w:p w14:paraId="23B33581">
      <w:pPr>
        <w:pStyle w:val="4"/>
      </w:pPr>
    </w:p>
    <w:p w14:paraId="3597B6F6">
      <w:pPr>
        <w:pStyle w:val="4"/>
      </w:pPr>
    </w:p>
    <w:p w14:paraId="16536400">
      <w:pPr>
        <w:pStyle w:val="4"/>
      </w:pPr>
    </w:p>
    <w:p w14:paraId="1A89EDBA">
      <w:pPr>
        <w:pStyle w:val="4"/>
      </w:pPr>
    </w:p>
    <w:p w14:paraId="00B3778F">
      <w:pPr>
        <w:pStyle w:val="4"/>
      </w:pPr>
    </w:p>
    <w:p w14:paraId="014FF002">
      <w:pPr>
        <w:pStyle w:val="4"/>
      </w:pPr>
    </w:p>
    <w:p w14:paraId="0E35E919">
      <w:pPr>
        <w:pStyle w:val="4"/>
      </w:pPr>
    </w:p>
    <w:p w14:paraId="20847496">
      <w:pPr>
        <w:pStyle w:val="4"/>
      </w:pPr>
    </w:p>
    <w:p w14:paraId="42A4F47E">
      <w:pPr>
        <w:pStyle w:val="4"/>
      </w:pPr>
    </w:p>
    <w:p w14:paraId="4B697DD1">
      <w:pPr>
        <w:pStyle w:val="4"/>
      </w:pPr>
    </w:p>
    <w:p w14:paraId="11051F00">
      <w:pPr>
        <w:pStyle w:val="4"/>
      </w:pPr>
    </w:p>
    <w:p w14:paraId="77FDE48F">
      <w:pPr>
        <w:pStyle w:val="4"/>
      </w:pPr>
    </w:p>
    <w:p w14:paraId="0A8C4561">
      <w:pPr>
        <w:pStyle w:val="4"/>
      </w:pPr>
    </w:p>
    <w:p w14:paraId="4962D3FF">
      <w:pPr>
        <w:pStyle w:val="4"/>
      </w:pPr>
    </w:p>
    <w:p w14:paraId="64318CB6">
      <w:pPr>
        <w:pStyle w:val="4"/>
      </w:pPr>
    </w:p>
    <w:p w14:paraId="2A9C3E20">
      <w:pPr>
        <w:pStyle w:val="4"/>
      </w:pPr>
    </w:p>
    <w:p w14:paraId="17A52B94">
      <w:pPr>
        <w:pStyle w:val="4"/>
      </w:pPr>
    </w:p>
    <w:p w14:paraId="09041CDD">
      <w:pPr>
        <w:pStyle w:val="4"/>
      </w:pPr>
    </w:p>
    <w:p w14:paraId="642EEE6F">
      <w:pPr>
        <w:pStyle w:val="4"/>
      </w:pPr>
    </w:p>
    <w:bookmarkEnd w:id="281"/>
    <w:p w14:paraId="53CCBDB0">
      <w:pPr>
        <w:pStyle w:val="2"/>
      </w:pPr>
      <w:bookmarkStart w:id="282" w:name="_Toc222913207"/>
      <w:r>
        <w:t>参考文献</w:t>
      </w:r>
      <w:bookmarkEnd w:id="271"/>
      <w:bookmarkEnd w:id="282"/>
    </w:p>
    <w:p w14:paraId="1BA2689B">
      <w:pPr>
        <w:pStyle w:val="36"/>
        <w:spacing w:before="60" w:after="0" w:line="320" w:lineRule="exact"/>
        <w:ind w:left="420" w:hanging="420" w:hangingChars="200"/>
        <w:jc w:val="both"/>
        <w:rPr>
          <w:rFonts w:ascii="Times New Roman" w:hAnsi="Times New Roman"/>
          <w:sz w:val="21"/>
        </w:rPr>
      </w:pPr>
      <w:bookmarkStart w:id="283" w:name="中文文献"/>
      <w:r>
        <w:rPr>
          <w:rFonts w:ascii="Times New Roman" w:hAnsi="Times New Roman"/>
          <w:sz w:val="21"/>
        </w:rPr>
        <w:t>迈克尔·波特. 竞争战略[M]. 北京: 华夏出版社, 2005.</w:t>
      </w:r>
    </w:p>
    <w:p w14:paraId="03BB5FCC">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亨利·明茨伯格. 战略历程[M]. 北京: 机械工业出版社, 2006.</w:t>
      </w:r>
    </w:p>
    <w:p w14:paraId="11CE04E1">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陈劲, 郑刚. 创新管理: 赢得持续竞争优势[M]. 北京: 北京大学出版社, 2016.</w:t>
      </w:r>
    </w:p>
    <w:p w14:paraId="6FA58FE5">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王重鸣. 组织行为学[M]. 北京: 中国人民大学出版社, 2012.</w:t>
      </w:r>
    </w:p>
    <w:p w14:paraId="3EAB1204">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张维迎. 企业的企业家-契约理论[M]. 上海: 上海人民出版社, 2015.</w:t>
      </w:r>
    </w:p>
    <w:p w14:paraId="3B256660">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中国机器视觉产业联盟. 2024年中国机器视觉产业发展白皮书[R]. 北京: 中国机器视觉产业联盟, 2024.</w:t>
      </w:r>
    </w:p>
    <w:p w14:paraId="05434992">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国家统计局. 2024年中国统计年鉴[M]. 北京: 中国统计出版社, 2024.</w:t>
      </w:r>
    </w:p>
    <w:p w14:paraId="6269D6D0">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国务院. “十四五”数字经济发展规划[Z]. 2021.</w:t>
      </w:r>
    </w:p>
    <w:p w14:paraId="0568F27A">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住建部. 城市基础设施安全运行监测标准[S]. 北京: 中国建筑工业出版社, 2023.</w:t>
      </w:r>
    </w:p>
    <w:p w14:paraId="16AE9377">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李海舰, 田跃新, 李文杰. 互联网思维与传统企业再造[J]. 中国工业经济, 2014(10): 135-146.</w:t>
      </w:r>
    </w:p>
    <w:p w14:paraId="51D55DB4">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陈春花, 赵海然. 数字化转型与企业战略重构[J]. 管理世界, 2019, 35(4): 158-174.</w:t>
      </w:r>
    </w:p>
    <w:p w14:paraId="53D6C34E">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肖静华, 谢康, 吴瑶. 从面向合作伙伴到面向消费者的企业数字化转型[J]. 管理世界, 2020, 36(11): 137-154.</w:t>
      </w:r>
    </w:p>
    <w:p w14:paraId="3417E4CE">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戚聿东, 肖旭. 数字经济时代的企业管理变革[J]. 管理世界, 2020, 36(6): 135-152.</w:t>
      </w:r>
    </w:p>
    <w:p w14:paraId="11220403">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罗珉, 李亮宇. 互联网时代的商业模式创新: 价值创造视角[J]. 中国工业经济, 2015(1): 95-107.</w:t>
      </w:r>
    </w:p>
    <w:p w14:paraId="2D2D26DC">
      <w:pPr>
        <w:pStyle w:val="4"/>
        <w:spacing w:before="60" w:after="0" w:line="320" w:lineRule="exact"/>
        <w:ind w:left="420" w:hanging="420" w:hangingChars="200"/>
        <w:jc w:val="both"/>
        <w:rPr>
          <w:rFonts w:ascii="Times New Roman" w:hAnsi="Times New Roman"/>
          <w:sz w:val="21"/>
        </w:rPr>
      </w:pPr>
      <w:r>
        <w:rPr>
          <w:rFonts w:ascii="Times New Roman" w:hAnsi="Times New Roman"/>
          <w:sz w:val="21"/>
        </w:rPr>
        <w:t>江积海, 王烽权. 平台型企业价值共创机制研究[J]. 科研管理, 2019, 40(3): 138-149.</w:t>
      </w:r>
    </w:p>
    <w:bookmarkEnd w:id="283"/>
    <w:p w14:paraId="48DCCA3E">
      <w:pPr>
        <w:pStyle w:val="36"/>
        <w:wordWrap w:val="0"/>
        <w:adjustRightInd w:val="0"/>
        <w:spacing w:before="60" w:after="0" w:line="320" w:lineRule="exact"/>
        <w:ind w:left="420" w:hanging="420" w:hangingChars="200"/>
        <w:jc w:val="both"/>
        <w:rPr>
          <w:rFonts w:ascii="Times New Roman" w:hAnsi="Times New Roman" w:cs="Times New Roman"/>
          <w:sz w:val="21"/>
          <w:szCs w:val="21"/>
        </w:rPr>
      </w:pPr>
      <w:bookmarkStart w:id="284" w:name="英文文献"/>
      <w:r>
        <w:rPr>
          <w:rFonts w:ascii="Times New Roman" w:hAnsi="Times New Roman" w:cs="Times New Roman"/>
          <w:sz w:val="21"/>
          <w:szCs w:val="21"/>
        </w:rPr>
        <w:t>Porter, M. E. Competitive Strategy: Techniques for Analyzing Industries and Competitors[M]. New York: Free Press, 1980.</w:t>
      </w:r>
    </w:p>
    <w:p w14:paraId="590747A9">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Teece, D. J., Pisano, G., &amp; Shuen, A. Dynamic capabilities and strategic management[J]. Strategic Management Journal, 1997, 18(7): 509-533.</w:t>
      </w:r>
    </w:p>
    <w:p w14:paraId="5AAF94C7">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Barney, J. B. Firm resources and sustained competitive advantage[J]. Journal of Management, 1991, 17(1): 99-120.</w:t>
      </w:r>
    </w:p>
    <w:p w14:paraId="58DEF2F1">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Eisenhardt, K. M., &amp; Martin, J. A. Dynamic capabilities: What are they?[J]. Strategic Management Journal, 2000, 21(10-11): 1105-1121.</w:t>
      </w:r>
    </w:p>
    <w:p w14:paraId="5DFE20A1">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O’Reilly, C. A., &amp; Tushman, M. L. The ambidextrous organization[J]. Harvard Business Review, 2004, 82(4): 74-81.</w:t>
      </w:r>
    </w:p>
    <w:p w14:paraId="0BC137EA">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Christensen, C. M. The Innovator’s Dilemma: When New Technologies Cause Great Firms to Fail[M]. Boston: Harvard Business School Press, 1997.</w:t>
      </w:r>
    </w:p>
    <w:p w14:paraId="3AB2E064">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Prahalad, C. K., &amp; Hamel, G. The core competence of the corporation[J]. Harvard Business Review, 1990, 68(3): 79-91.</w:t>
      </w:r>
    </w:p>
    <w:p w14:paraId="4E257F01">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Amit, R., &amp; Zott, C. Value creation in e-business[J]. Strategic Management Journal, 2001, 22(6-7): 493-520.</w:t>
      </w:r>
    </w:p>
    <w:p w14:paraId="09F9EBFB">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Chesbrough, H. Open Innovation: The New Imperative for Creating and Profiting from Technology[M]. Boston: Harvard Business School Press, 2003.</w:t>
      </w:r>
    </w:p>
    <w:p w14:paraId="0D4627DF">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Nambisan, S., Wright, M., &amp; Feldman, M. The digital transformation of innovation and entrepreneurship: Progress, challenges and key themes[J]. Research Policy, 2019, 48(8): 103773.</w:t>
      </w:r>
    </w:p>
    <w:p w14:paraId="6C02F381">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Vial, G. Understanding digital transformation: A review and a research agenda[J]. The Journal of Strategic Information Systems, 2019, 28(2): 118-144.</w:t>
      </w:r>
    </w:p>
    <w:p w14:paraId="1582EAD6">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Warner, K. S., &amp; Wäger, M. Building dynamic capabilities for digital transformation: An ongoing process of strategic renewal[J]. Long Range Planning, 2019, 52(3): 326-349.</w:t>
      </w:r>
    </w:p>
    <w:p w14:paraId="1018DE3D">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Kotter, J. P. Leading change[M]. Boston: Harvard Business Review Press, 2012.</w:t>
      </w:r>
    </w:p>
    <w:p w14:paraId="277B0E86">
      <w:pPr>
        <w:pStyle w:val="4"/>
        <w:wordWrap w:val="0"/>
        <w:adjustRightInd w:val="0"/>
        <w:spacing w:before="60" w:after="0" w:line="320" w:lineRule="exact"/>
        <w:ind w:left="420" w:hanging="420" w:hangingChars="200"/>
        <w:jc w:val="both"/>
        <w:rPr>
          <w:rFonts w:ascii="Times New Roman" w:hAnsi="Times New Roman" w:cs="Times New Roman"/>
          <w:sz w:val="21"/>
          <w:szCs w:val="21"/>
        </w:rPr>
      </w:pPr>
      <w:r>
        <w:rPr>
          <w:rFonts w:ascii="Times New Roman" w:hAnsi="Times New Roman" w:cs="Times New Roman"/>
          <w:sz w:val="21"/>
          <w:szCs w:val="21"/>
        </w:rPr>
        <w:t>Gartner. Market Guide for Machine Vision Systems[R]. Stamford: Gartner, 2024.</w:t>
      </w:r>
    </w:p>
    <w:p w14:paraId="48B29CAE">
      <w:pPr>
        <w:pStyle w:val="4"/>
        <w:adjustRightInd w:val="0"/>
        <w:spacing w:before="60" w:after="0" w:line="320" w:lineRule="exact"/>
        <w:ind w:left="420" w:hanging="420" w:hangingChars="200"/>
        <w:rPr>
          <w:rFonts w:ascii="Times New Roman" w:hAnsi="Times New Roman" w:cs="Times New Roman"/>
          <w:sz w:val="21"/>
          <w:szCs w:val="21"/>
        </w:rPr>
        <w:sectPr>
          <w:headerReference r:id="rId29" w:type="default"/>
          <w:headerReference r:id="rId30" w:type="even"/>
          <w:pgSz w:w="11905" w:h="16838"/>
          <w:pgMar w:top="1701" w:right="1474" w:bottom="1417" w:left="1474" w:header="1134" w:footer="992" w:gutter="0"/>
          <w:cols w:space="0" w:num="1"/>
          <w:docGrid w:type="linesAndChars" w:linePitch="327" w:charSpace="0"/>
        </w:sectPr>
      </w:pPr>
      <w:r>
        <w:rPr>
          <w:rFonts w:ascii="Times New Roman" w:hAnsi="Times New Roman" w:cs="Times New Roman"/>
          <w:sz w:val="21"/>
          <w:szCs w:val="21"/>
        </w:rPr>
        <w:t>MarketsandMarkets. Digital Image Correlation Market by Type, Application, Vertical and Region</w:t>
      </w:r>
      <w:r>
        <w:rPr>
          <w:rFonts w:hint="eastAsia" w:ascii="Times New Roman" w:hAnsi="Times New Roman" w:cs="Times New Roman"/>
          <w:sz w:val="21"/>
          <w:szCs w:val="21"/>
          <w:lang w:eastAsia="zh-CN"/>
        </w:rPr>
        <w:t xml:space="preserve"> </w:t>
      </w:r>
      <w:r>
        <w:rPr>
          <w:rFonts w:ascii="Times New Roman" w:hAnsi="Times New Roman" w:cs="Times New Roman"/>
          <w:sz w:val="21"/>
          <w:szCs w:val="21"/>
        </w:rPr>
        <w:t>Global Forecast to 2029[R]. 2024.</w:t>
      </w:r>
    </w:p>
    <w:bookmarkEnd w:id="272"/>
    <w:bookmarkEnd w:id="284"/>
    <w:p w14:paraId="6DF5EB7C">
      <w:pPr>
        <w:pStyle w:val="2"/>
      </w:pPr>
      <w:bookmarkStart w:id="285" w:name="_Toc222913208"/>
      <w:bookmarkStart w:id="286" w:name="_Toc222822847"/>
      <w:bookmarkStart w:id="287" w:name="致谢"/>
      <w:r>
        <w:t>致谢</w:t>
      </w:r>
      <w:bookmarkEnd w:id="285"/>
      <w:bookmarkEnd w:id="286"/>
    </w:p>
    <w:p w14:paraId="414A0D6B">
      <w:pPr>
        <w:pStyle w:val="36"/>
        <w:spacing w:before="0" w:after="0" w:line="400" w:lineRule="exact"/>
        <w:ind w:firstLine="480" w:firstLineChars="200"/>
        <w:jc w:val="both"/>
        <w:rPr>
          <w:rFonts w:ascii="Times New Roman" w:hAnsi="Times New Roman"/>
        </w:rPr>
      </w:pPr>
      <w:r>
        <w:rPr>
          <w:rFonts w:ascii="Times New Roman" w:hAnsi="Times New Roman"/>
        </w:rPr>
        <w:t>在本论文完成之际，我谨向所有在论文研究和撰写过程中给予我帮助和支持的老师、同学、同事和家人表示最诚挚的感谢。</w:t>
      </w:r>
    </w:p>
    <w:p w14:paraId="5649F659">
      <w:pPr>
        <w:pStyle w:val="4"/>
        <w:spacing w:before="0" w:after="0" w:line="400" w:lineRule="exact"/>
        <w:ind w:firstLine="480" w:firstLineChars="200"/>
        <w:jc w:val="both"/>
        <w:rPr>
          <w:rFonts w:ascii="Times New Roman" w:hAnsi="Times New Roman"/>
        </w:rPr>
      </w:pPr>
      <w:r>
        <w:rPr>
          <w:rFonts w:ascii="Times New Roman" w:hAnsi="Times New Roman"/>
        </w:rPr>
        <w:t>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14:paraId="61C41AD1">
      <w:pPr>
        <w:pStyle w:val="4"/>
        <w:spacing w:before="0" w:after="0" w:line="400" w:lineRule="exact"/>
        <w:ind w:firstLine="480" w:firstLineChars="200"/>
        <w:jc w:val="both"/>
        <w:rPr>
          <w:rFonts w:ascii="Times New Roman" w:hAnsi="Times New Roman"/>
        </w:rPr>
      </w:pPr>
      <w:r>
        <w:rPr>
          <w:rFonts w:ascii="Times New Roman" w:hAnsi="Times New Roman"/>
        </w:rPr>
        <w:t>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14:paraId="7482AFC5">
      <w:pPr>
        <w:pStyle w:val="4"/>
        <w:spacing w:before="0" w:after="0" w:line="400" w:lineRule="exact"/>
        <w:ind w:firstLine="480" w:firstLineChars="200"/>
        <w:jc w:val="both"/>
        <w:rPr>
          <w:rFonts w:ascii="Times New Roman" w:hAnsi="Times New Roman"/>
        </w:rPr>
      </w:pPr>
      <w:r>
        <w:rPr>
          <w:rFonts w:ascii="Times New Roman" w:hAnsi="Times New Roman"/>
        </w:rPr>
        <w:t>感谢HSM公司的管理团队和员工，在案例调研过程中提供的宝贵资料和坦诚交流，使本研究能够基于真实的企业实践展开深入分析。特别感谢HSM创始人兼CEO在百忙之中接受访谈，分享企业战略转型的一手经验和深刻见解。</w:t>
      </w:r>
    </w:p>
    <w:p w14:paraId="5AA12875">
      <w:pPr>
        <w:pStyle w:val="4"/>
        <w:spacing w:before="0" w:after="0" w:line="400" w:lineRule="exact"/>
        <w:ind w:firstLine="480" w:firstLineChars="200"/>
        <w:jc w:val="both"/>
        <w:rPr>
          <w:rFonts w:ascii="Times New Roman" w:hAnsi="Times New Roman"/>
        </w:rPr>
      </w:pPr>
      <w:r>
        <w:rPr>
          <w:rFonts w:ascii="Times New Roman" w:hAnsi="Times New Roman"/>
        </w:rPr>
        <w:t>感谢行业专家和同行在论文撰写过程中提出的建设性意见，他们的专业视角帮助我更好地把握行业发展趋势和研究方向。</w:t>
      </w:r>
    </w:p>
    <w:p w14:paraId="32582323">
      <w:pPr>
        <w:pStyle w:val="4"/>
        <w:spacing w:before="0" w:after="0" w:line="400" w:lineRule="exact"/>
        <w:ind w:firstLine="480" w:firstLineChars="200"/>
        <w:jc w:val="both"/>
        <w:rPr>
          <w:rFonts w:ascii="Times New Roman" w:hAnsi="Times New Roman"/>
        </w:rPr>
      </w:pPr>
      <w:r>
        <w:rPr>
          <w:rFonts w:ascii="Times New Roman" w:hAnsi="Times New Roman"/>
        </w:rPr>
        <w:t>感谢我的家人，他们的理解、支持和鼓励是我能够顺利完成学业的坚强后盾。特别感谢我的配偶和子女，在我学习和研究期间给予的耐心陪伴和无私付出。</w:t>
      </w:r>
    </w:p>
    <w:p w14:paraId="67076D7C">
      <w:pPr>
        <w:pStyle w:val="4"/>
        <w:spacing w:before="0" w:after="0" w:line="400" w:lineRule="exact"/>
        <w:ind w:firstLine="480" w:firstLineChars="200"/>
        <w:jc w:val="both"/>
        <w:rPr>
          <w:rFonts w:ascii="Times New Roman" w:hAnsi="Times New Roman"/>
        </w:rPr>
        <w:sectPr>
          <w:headerReference r:id="rId31" w:type="default"/>
          <w:headerReference r:id="rId32" w:type="even"/>
          <w:footnotePr>
            <w:numFmt w:val="decimalEnclosedCircleChinese"/>
            <w:numRestart w:val="eachPage"/>
          </w:footnotePr>
          <w:pgSz w:w="11905" w:h="16838"/>
          <w:pgMar w:top="1701" w:right="1474" w:bottom="1417" w:left="1474" w:header="1134" w:footer="992" w:gutter="0"/>
          <w:cols w:space="0" w:num="1"/>
          <w:docGrid w:type="linesAndChars" w:linePitch="327" w:charSpace="0"/>
        </w:sectPr>
      </w:pPr>
      <w:r>
        <w:rPr>
          <w:rFonts w:ascii="Times New Roman" w:hAnsi="Times New Roman"/>
        </w:rPr>
        <w:t>最后，向所有为本研究提供帮助但未能一一提及的朋友们表示诚挚的谢意。由于作者水平有限，文中难免存在疏漏和不足之处，恳请各位专家学者批评指正。</w:t>
      </w:r>
      <w:bookmarkEnd w:id="287"/>
    </w:p>
    <w:p w14:paraId="206C59E7">
      <w:pPr>
        <w:pStyle w:val="2"/>
        <w:rPr>
          <w:b/>
        </w:rPr>
      </w:pPr>
      <w:bookmarkStart w:id="288" w:name="_Toc222913209"/>
      <w:bookmarkStart w:id="289" w:name="_Toc108431367"/>
      <w:r>
        <w:rPr>
          <w:rFonts w:hint="eastAsia"/>
        </w:rPr>
        <w:t>北京大学学位论文原创性声明和使用授权说明</w:t>
      </w:r>
      <w:bookmarkEnd w:id="288"/>
      <w:bookmarkEnd w:id="289"/>
    </w:p>
    <w:p w14:paraId="3BCEEF77">
      <w:pPr>
        <w:jc w:val="center"/>
        <w:rPr>
          <w:b/>
          <w:sz w:val="28"/>
        </w:rPr>
      </w:pPr>
      <w:r>
        <w:rPr>
          <w:rFonts w:hint="eastAsia"/>
          <w:b/>
          <w:sz w:val="28"/>
        </w:rPr>
        <w:t>原创性声明</w:t>
      </w:r>
    </w:p>
    <w:p w14:paraId="63E0ADC0">
      <w:pPr>
        <w:widowControl w:val="0"/>
        <w:spacing w:after="0"/>
        <w:jc w:val="center"/>
        <w:rPr>
          <w:rFonts w:ascii="Times New Roman" w:hAnsi="Times New Roman" w:eastAsia="宋体" w:cs="Times New Roman"/>
          <w:b/>
          <w:kern w:val="2"/>
          <w:sz w:val="18"/>
          <w:szCs w:val="18"/>
          <w:lang w:eastAsia="zh-CN"/>
        </w:rPr>
      </w:pPr>
    </w:p>
    <w:p w14:paraId="0CEEBB30">
      <w:pPr>
        <w:spacing w:after="0" w:line="360" w:lineRule="auto"/>
        <w:ind w:firstLine="480" w:firstLineChars="200"/>
      </w:pPr>
      <w:r>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4A36361">
      <w:pPr>
        <w:widowControl w:val="0"/>
        <w:spacing w:after="0"/>
        <w:jc w:val="center"/>
        <w:rPr>
          <w:rFonts w:ascii="Times New Roman" w:hAnsi="Times New Roman" w:eastAsia="宋体" w:cs="Times New Roman"/>
          <w:b/>
          <w:kern w:val="2"/>
          <w:sz w:val="18"/>
          <w:szCs w:val="18"/>
          <w:lang w:eastAsia="zh-CN"/>
        </w:rPr>
      </w:pPr>
    </w:p>
    <w:p w14:paraId="665B962E">
      <w:pPr>
        <w:spacing w:line="360" w:lineRule="auto"/>
        <w:ind w:firstLine="2520" w:firstLineChars="1050"/>
      </w:pPr>
      <w:r>
        <w:rPr>
          <w:rFonts w:hint="eastAsia"/>
        </w:rPr>
        <w:t>论文作者签名：日期：   年  月   日</w:t>
      </w:r>
    </w:p>
    <w:p w14:paraId="1F349D1F">
      <w:pPr>
        <w:widowControl w:val="0"/>
        <w:spacing w:after="0"/>
        <w:jc w:val="center"/>
        <w:rPr>
          <w:rFonts w:ascii="Times New Roman" w:hAnsi="Times New Roman" w:eastAsia="宋体" w:cs="Times New Roman"/>
          <w:b/>
          <w:kern w:val="2"/>
          <w:sz w:val="18"/>
          <w:szCs w:val="18"/>
          <w:lang w:eastAsia="zh-CN"/>
        </w:rPr>
      </w:pPr>
    </w:p>
    <w:p w14:paraId="713238D0">
      <w:pPr>
        <w:jc w:val="center"/>
        <w:rPr>
          <w:b/>
          <w:sz w:val="28"/>
          <w:szCs w:val="28"/>
        </w:rPr>
      </w:pPr>
      <w:r>
        <w:rPr>
          <w:rFonts w:hint="eastAsia"/>
          <w:b/>
          <w:sz w:val="28"/>
          <w:szCs w:val="28"/>
        </w:rPr>
        <w:t>学位论文使用授权说明</w:t>
      </w:r>
    </w:p>
    <w:p w14:paraId="73C8DAA8">
      <w:pPr>
        <w:jc w:val="center"/>
        <w:rPr>
          <w:b/>
          <w:sz w:val="18"/>
          <w:szCs w:val="18"/>
        </w:rPr>
      </w:pPr>
      <w:r>
        <w:rPr>
          <w:rFonts w:hint="eastAsia"/>
          <w:sz w:val="18"/>
          <w:szCs w:val="18"/>
        </w:rPr>
        <w:t>（必须装订在提交学校图书馆的印刷本）</w:t>
      </w:r>
    </w:p>
    <w:p w14:paraId="4A95DB3B">
      <w:pPr>
        <w:widowControl w:val="0"/>
        <w:spacing w:after="0"/>
        <w:jc w:val="center"/>
        <w:rPr>
          <w:rFonts w:ascii="Times New Roman" w:hAnsi="Times New Roman" w:eastAsia="宋体" w:cs="Times New Roman"/>
          <w:b/>
          <w:kern w:val="2"/>
          <w:sz w:val="18"/>
          <w:szCs w:val="18"/>
          <w:lang w:eastAsia="zh-CN"/>
        </w:rPr>
      </w:pPr>
    </w:p>
    <w:p w14:paraId="6BDBBB22">
      <w:pPr>
        <w:spacing w:after="0" w:line="360" w:lineRule="auto"/>
        <w:ind w:firstLine="588" w:firstLineChars="245"/>
      </w:pPr>
      <w:r>
        <w:rPr>
          <w:rFonts w:hint="eastAsia"/>
        </w:rPr>
        <w:t>本人完全了解北京大学关于收集、保存、使用学位论文的规定，即：</w:t>
      </w:r>
    </w:p>
    <w:p w14:paraId="6D973FA9">
      <w:pPr>
        <w:numPr>
          <w:ilvl w:val="0"/>
          <w:numId w:val="2"/>
        </w:numPr>
        <w:spacing w:after="0" w:line="360" w:lineRule="auto"/>
      </w:pPr>
      <w:r>
        <w:rPr>
          <w:rFonts w:hint="eastAsia"/>
        </w:rPr>
        <w:t>按照学校要求提交学位论文的印刷本和电子版本；</w:t>
      </w:r>
    </w:p>
    <w:p w14:paraId="72E94698">
      <w:pPr>
        <w:numPr>
          <w:ilvl w:val="0"/>
          <w:numId w:val="2"/>
        </w:numPr>
        <w:spacing w:after="0" w:line="360" w:lineRule="auto"/>
      </w:pPr>
      <w:r>
        <w:rPr>
          <w:rFonts w:hint="eastAsia"/>
        </w:rPr>
        <w:t>学校有权保存学位论文的印刷本和电子版，并提供目录检索与阅览服务</w:t>
      </w:r>
      <w:r>
        <w:rPr>
          <w:rFonts w:hint="eastAsia"/>
          <w:szCs w:val="21"/>
        </w:rPr>
        <w:t>，</w:t>
      </w:r>
      <w:r>
        <w:rPr>
          <w:rFonts w:hint="eastAsia"/>
        </w:rPr>
        <w:t>在校园网上提供服务；</w:t>
      </w:r>
    </w:p>
    <w:p w14:paraId="1935409B">
      <w:pPr>
        <w:numPr>
          <w:ilvl w:val="0"/>
          <w:numId w:val="2"/>
        </w:numPr>
        <w:spacing w:after="0" w:line="360" w:lineRule="auto"/>
      </w:pPr>
      <w:r>
        <w:rPr>
          <w:rFonts w:hint="eastAsia"/>
        </w:rPr>
        <w:t>学校可以采用影印、缩印、数字化或其它复制手段保存论文；</w:t>
      </w:r>
    </w:p>
    <w:p w14:paraId="207353E5">
      <w:pPr>
        <w:numPr>
          <w:ilvl w:val="0"/>
          <w:numId w:val="2"/>
        </w:numPr>
        <w:spacing w:after="0" w:line="360" w:lineRule="auto"/>
      </w:pPr>
      <w:r>
        <w:rPr>
          <w:rFonts w:hint="eastAsia"/>
        </w:rPr>
        <w:t>因某种特殊原因需要延迟发布学位论文电子版，授权学校□一年/□两年/□三年以后，在校园网上全文发布。</w:t>
      </w:r>
    </w:p>
    <w:p w14:paraId="048B0A9E">
      <w:pPr>
        <w:widowControl w:val="0"/>
        <w:spacing w:after="0"/>
        <w:jc w:val="center"/>
        <w:rPr>
          <w:rFonts w:ascii="Times New Roman" w:hAnsi="Times New Roman" w:eastAsia="宋体" w:cs="Times New Roman"/>
          <w:b/>
          <w:kern w:val="2"/>
          <w:sz w:val="18"/>
          <w:szCs w:val="18"/>
          <w:lang w:eastAsia="zh-CN"/>
        </w:rPr>
      </w:pPr>
    </w:p>
    <w:p w14:paraId="088D5DDE">
      <w:pPr>
        <w:ind w:firstLine="1920" w:firstLineChars="800"/>
      </w:pPr>
      <w:r>
        <w:rPr>
          <w:rFonts w:hint="eastAsia"/>
        </w:rPr>
        <w:t>（保密论文在解密后遵守此规定）</w:t>
      </w:r>
    </w:p>
    <w:p w14:paraId="2DFBAACC">
      <w:pPr>
        <w:widowControl w:val="0"/>
        <w:spacing w:after="0"/>
        <w:jc w:val="center"/>
        <w:rPr>
          <w:rFonts w:ascii="Times New Roman" w:hAnsi="Times New Roman" w:eastAsia="宋体" w:cs="Times New Roman"/>
          <w:b/>
          <w:kern w:val="2"/>
          <w:sz w:val="18"/>
          <w:szCs w:val="18"/>
          <w:lang w:eastAsia="zh-CN"/>
        </w:rPr>
      </w:pPr>
    </w:p>
    <w:p w14:paraId="66F4A7FA">
      <w:pPr>
        <w:widowControl w:val="0"/>
        <w:spacing w:after="0"/>
        <w:jc w:val="center"/>
        <w:rPr>
          <w:rFonts w:ascii="Times New Roman" w:hAnsi="Times New Roman" w:eastAsia="宋体" w:cs="Times New Roman"/>
          <w:b/>
          <w:kern w:val="2"/>
          <w:sz w:val="18"/>
          <w:szCs w:val="18"/>
          <w:lang w:eastAsia="zh-CN"/>
        </w:rPr>
      </w:pPr>
    </w:p>
    <w:p w14:paraId="7B886606">
      <w:pPr>
        <w:widowControl w:val="0"/>
        <w:spacing w:after="0"/>
        <w:jc w:val="center"/>
        <w:rPr>
          <w:rFonts w:ascii="Times New Roman" w:hAnsi="Times New Roman" w:eastAsia="宋体" w:cs="Times New Roman"/>
          <w:b/>
          <w:kern w:val="2"/>
          <w:sz w:val="18"/>
          <w:szCs w:val="18"/>
          <w:lang w:eastAsia="zh-CN"/>
        </w:rPr>
      </w:pPr>
    </w:p>
    <w:p w14:paraId="3CEC8FA0">
      <w:pPr>
        <w:ind w:firstLine="2400" w:firstLineChars="1000"/>
      </w:pPr>
      <w:r>
        <w:rPr>
          <w:rFonts w:hint="eastAsia"/>
        </w:rPr>
        <w:t>论文作者签名：导师签名：</w:t>
      </w:r>
    </w:p>
    <w:p w14:paraId="5AEEFD5B">
      <w:pPr>
        <w:spacing w:line="400" w:lineRule="atLeast"/>
        <w:jc w:val="center"/>
        <w:rPr>
          <w:rFonts w:ascii="Times New Roman" w:hAnsi="Times New Roman"/>
        </w:rPr>
      </w:pPr>
      <w:r>
        <w:rPr>
          <w:rFonts w:hint="eastAsia"/>
        </w:rPr>
        <w:t>日期：   年   月   日</w:t>
      </w:r>
    </w:p>
    <w:sectPr>
      <w:headerReference r:id="rId33" w:type="default"/>
      <w:headerReference r:id="rId34" w:type="even"/>
      <w:footnotePr>
        <w:numFmt w:val="decimalEnclosedCircleChinese"/>
        <w:numRestart w:val="eachPage"/>
      </w:footnotePr>
      <w:type w:val="oddPage"/>
      <w:pgSz w:w="11905" w:h="16838"/>
      <w:pgMar w:top="1701" w:right="1474" w:bottom="1417" w:left="1474" w:header="1134" w:footer="992" w:gutter="0"/>
      <w:cols w:space="0" w:num="1"/>
      <w:docGrid w:type="linesAndChars" w:linePitch="32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sdtPr>
    <w:sdtContent>
      <w:p w14:paraId="62019F93">
        <w:pPr>
          <w:pStyle w:val="20"/>
        </w:pPr>
        <w:r>
          <w:fldChar w:fldCharType="begin"/>
        </w:r>
        <w:r>
          <w:instrText xml:space="preserve">PAGE   \* MERGEFORMAT</w:instrText>
        </w:r>
        <w:r>
          <w:fldChar w:fldCharType="separate"/>
        </w:r>
        <w:r>
          <w:rPr>
            <w:lang w:val="zh-CN"/>
          </w:rPr>
          <w:t>2</w:t>
        </w:r>
        <w:r>
          <w:fldChar w:fldCharType="end"/>
        </w:r>
      </w:p>
    </w:sdtContent>
  </w:sdt>
  <w:p w14:paraId="72DA2476">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58749">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B5ACC">
    <w:pPr>
      <w:pStyle w:val="2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67995" cy="153035"/>
              <wp:effectExtent l="0" t="0" r="0" b="0"/>
              <wp:wrapNone/>
              <wp:docPr id="7" name="Text Box 1"/>
              <wp:cNvGraphicFramePr/>
              <a:graphic xmlns:a="http://schemas.openxmlformats.org/drawingml/2006/main">
                <a:graphicData uri="http://schemas.microsoft.com/office/word/2010/wordprocessingShape">
                  <wps:wsp>
                    <wps:cNvSpPr txBox="1">
                      <a:spLocks noChangeArrowheads="1"/>
                    </wps:cNvSpPr>
                    <wps:spPr bwMode="auto">
                      <a:xfrm>
                        <a:off x="0" y="0"/>
                        <a:ext cx="467995" cy="153035"/>
                      </a:xfrm>
                      <a:prstGeom prst="rect">
                        <a:avLst/>
                      </a:prstGeom>
                      <a:noFill/>
                      <a:ln>
                        <a:noFill/>
                      </a:ln>
                    </wps:spPr>
                    <wps:txbx>
                      <w:txbxContent>
                        <w:p w14:paraId="3403F45C">
                          <w:pPr>
                            <w:pStyle w:val="20"/>
                          </w:pPr>
                          <w:r>
                            <w:fldChar w:fldCharType="begin"/>
                          </w:r>
                          <w:r>
                            <w:instrText xml:space="preserve"> PAGE  \* MERGEFORMAT </w:instrText>
                          </w:r>
                          <w:r>
                            <w:fldChar w:fldCharType="separate"/>
                          </w:r>
                          <w:r>
                            <w:t>I</w:t>
                          </w:r>
                          <w:r>
                            <w:fldChar w:fldCharType="end"/>
                          </w:r>
                        </w:p>
                      </w:txbxContent>
                    </wps:txbx>
                    <wps:bodyPr rot="0" vert="horz" wrap="square" lIns="0" tIns="0" rIns="0" bIns="0" anchor="t" anchorCtr="0" upright="1">
                      <a:spAutoFit/>
                    </wps:bodyPr>
                  </wps:wsp>
                </a:graphicData>
              </a:graphic>
            </wp:anchor>
          </w:drawing>
        </mc:Choice>
        <mc:Fallback>
          <w:pict>
            <v:shape id="Text Box 1" o:spid="_x0000_s1026" o:spt="202" type="#_x0000_t202" style="position:absolute;left:0pt;margin-top:0pt;height:12.05pt;width:36.85pt;mso-position-horizontal:center;mso-position-horizontal-relative:margin;z-index:251659264;mso-width-relative:page;mso-height-relative:page;" filled="f" stroked="f" coordsize="21600,21600" o:gfxdata="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OgcPTSAAAAAwEAAA8AAAAAAAAAAQAgAAAAIgAAAGRycy9kb3ducmV2LnhtbFBL&#10;AQIUABQAAAAIAIdO4kDP193J/AEAAAMEAAAOAAAAAAAAAAEAIAAAACEBAABkcnMvZTJvRG9jLnht&#10;bFBLBQYAAAAABgAGAFkBAACPBQAAAAA=&#10;">
              <v:fill on="f" focussize="0,0"/>
              <v:stroke on="f"/>
              <v:imagedata o:title=""/>
              <o:lock v:ext="edit" aspectratio="f"/>
              <v:textbox inset="0mm,0mm,0mm,0mm" style="mso-fit-shape-to-text:t;">
                <w:txbxContent>
                  <w:p w14:paraId="3403F45C">
                    <w:pPr>
                      <w:pStyle w:val="2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C179B">
    <w:pPr>
      <w:pStyle w:val="20"/>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467995" cy="153035"/>
              <wp:effectExtent l="0" t="0" r="0" b="0"/>
              <wp:wrapNone/>
              <wp:docPr id="5" name="Text Box 3"/>
              <wp:cNvGraphicFramePr/>
              <a:graphic xmlns:a="http://schemas.openxmlformats.org/drawingml/2006/main">
                <a:graphicData uri="http://schemas.microsoft.com/office/word/2010/wordprocessingShape">
                  <wps:wsp>
                    <wps:cNvSpPr txBox="1">
                      <a:spLocks noChangeArrowheads="1"/>
                    </wps:cNvSpPr>
                    <wps:spPr bwMode="auto">
                      <a:xfrm>
                        <a:off x="0" y="0"/>
                        <a:ext cx="467995" cy="153035"/>
                      </a:xfrm>
                      <a:prstGeom prst="rect">
                        <a:avLst/>
                      </a:prstGeom>
                      <a:noFill/>
                      <a:ln>
                        <a:noFill/>
                      </a:ln>
                    </wps:spPr>
                    <wps:txbx>
                      <w:txbxContent>
                        <w:p w14:paraId="55A2489D">
                          <w:pPr>
                            <w:pStyle w:val="20"/>
                          </w:pPr>
                          <w:r>
                            <w:fldChar w:fldCharType="begin"/>
                          </w:r>
                          <w:r>
                            <w:instrText xml:space="preserve"> PAGE  \* MERGEFORMAT </w:instrText>
                          </w:r>
                          <w:r>
                            <w:fldChar w:fldCharType="separate"/>
                          </w:r>
                          <w:r>
                            <w:t>III</w:t>
                          </w:r>
                          <w:r>
                            <w:fldChar w:fldCharType="end"/>
                          </w:r>
                        </w:p>
                      </w:txbxContent>
                    </wps:txbx>
                    <wps:bodyPr rot="0" vert="horz" wrap="square" lIns="0" tIns="0" rIns="0" bIns="0" anchor="t" anchorCtr="0" upright="1">
                      <a:spAutoFit/>
                    </wps:bodyPr>
                  </wps:wsp>
                </a:graphicData>
              </a:graphic>
            </wp:anchor>
          </w:drawing>
        </mc:Choice>
        <mc:Fallback>
          <w:pict>
            <v:shape id="Text Box 3" o:spid="_x0000_s1026" o:spt="202" type="#_x0000_t202" style="position:absolute;left:0pt;margin-top:0pt;height:12.05pt;width:36.85pt;mso-position-horizontal:center;mso-position-horizontal-relative:margin;z-index:251661312;mso-width-relative:page;mso-height-relative:page;" filled="f" stroked="f" coordsize="21600,21600" o:gfxdata="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zoHD00gAAAAMBAAAPAAAAAAAAAAEAIAAAACIAAABkcnMvZG93bnJldi54bWxQ&#10;SwECFAAUAAAACACHTuJAJcRQTP0BAAADBAAADgAAAAAAAAABACAAAAAhAQAAZHJzL2Uyb0RvYy54&#10;bWxQSwUGAAAAAAYABgBZAQAAkAUAAAAA&#10;">
              <v:fill on="f" focussize="0,0"/>
              <v:stroke on="f"/>
              <v:imagedata o:title=""/>
              <o:lock v:ext="edit" aspectratio="f"/>
              <v:textbox inset="0mm,0mm,0mm,0mm" style="mso-fit-shape-to-text:t;">
                <w:txbxContent>
                  <w:p w14:paraId="55A2489D">
                    <w:pPr>
                      <w:pStyle w:val="20"/>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C9AC4">
    <w:pPr>
      <w:pStyle w:val="2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88900" cy="153035"/>
              <wp:effectExtent l="0" t="0" r="0" b="0"/>
              <wp:wrapNone/>
              <wp:docPr id="6" name="Text Box 5"/>
              <wp:cNvGraphicFramePr/>
              <a:graphic xmlns:a="http://schemas.openxmlformats.org/drawingml/2006/main">
                <a:graphicData uri="http://schemas.microsoft.com/office/word/2010/wordprocessingShape">
                  <wps:wsp>
                    <wps:cNvSpPr txBox="1">
                      <a:spLocks noChangeArrowheads="1"/>
                    </wps:cNvSpPr>
                    <wps:spPr bwMode="auto">
                      <a:xfrm>
                        <a:off x="0" y="0"/>
                        <a:ext cx="88900" cy="153035"/>
                      </a:xfrm>
                      <a:prstGeom prst="rect">
                        <a:avLst/>
                      </a:prstGeom>
                      <a:noFill/>
                      <a:ln>
                        <a:noFill/>
                      </a:ln>
                    </wps:spPr>
                    <wps:txbx>
                      <w:txbxContent>
                        <w:p w14:paraId="4D7768DA">
                          <w:pPr>
                            <w:pStyle w:val="20"/>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Text Box 5" o:spid="_x0000_s1026" o:spt="202" type="#_x0000_t202" style="position:absolute;left:0pt;margin-top:0pt;height:12.05pt;width:7pt;mso-position-horizontal:center;mso-position-horizontal-relative:margin;mso-wrap-style:none;z-index:251663360;mso-width-relative:page;mso-height-relative:page;" filled="f" stroked="f" coordsize="21600,21600" o:gfxdata="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UArv/0AAAAAMBAAAPAAAAAAAAAAEAIAAAACIAAABkcnMvZG93bnJldi54bWxQSwECFAAU&#10;AAAACACHTuJApZIpFfkBAAAABAAADgAAAAAAAAABACAAAAAfAQAAZHJzL2Uyb0RvYy54bWxQSwUG&#10;AAAAAAYABgBZAQAAigUAAAAA&#10;">
              <v:fill on="f" focussize="0,0"/>
              <v:stroke on="f"/>
              <v:imagedata o:title=""/>
              <o:lock v:ext="edit" aspectratio="f"/>
              <v:textbox inset="0mm,0mm,0mm,0mm" style="mso-fit-shape-to-text:t;">
                <w:txbxContent>
                  <w:p w14:paraId="4D7768DA">
                    <w:pPr>
                      <w:pStyle w:val="2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6CF41">
    <w:pPr>
      <w:pStyle w:val="20"/>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467995" cy="153035"/>
              <wp:effectExtent l="0" t="0" r="0" b="0"/>
              <wp:wrapNone/>
              <wp:docPr id="3" name="Text Box 4"/>
              <wp:cNvGraphicFramePr/>
              <a:graphic xmlns:a="http://schemas.openxmlformats.org/drawingml/2006/main">
                <a:graphicData uri="http://schemas.microsoft.com/office/word/2010/wordprocessingShape">
                  <wps:wsp>
                    <wps:cNvSpPr txBox="1">
                      <a:spLocks noChangeArrowheads="1"/>
                    </wps:cNvSpPr>
                    <wps:spPr bwMode="auto">
                      <a:xfrm>
                        <a:off x="0" y="0"/>
                        <a:ext cx="467995" cy="153035"/>
                      </a:xfrm>
                      <a:prstGeom prst="rect">
                        <a:avLst/>
                      </a:prstGeom>
                      <a:noFill/>
                      <a:ln>
                        <a:noFill/>
                      </a:ln>
                    </wps:spPr>
                    <wps:txbx>
                      <w:txbxContent>
                        <w:p w14:paraId="420B7C9E">
                          <w:pPr>
                            <w:pStyle w:val="20"/>
                          </w:pPr>
                          <w:r>
                            <w:fldChar w:fldCharType="begin"/>
                          </w:r>
                          <w:r>
                            <w:instrText xml:space="preserve"> PAGE  \* MERGEFORMAT </w:instrText>
                          </w:r>
                          <w:r>
                            <w:fldChar w:fldCharType="separate"/>
                          </w:r>
                          <w:r>
                            <w:t>V</w:t>
                          </w:r>
                          <w:r>
                            <w:fldChar w:fldCharType="end"/>
                          </w:r>
                        </w:p>
                      </w:txbxContent>
                    </wps:txbx>
                    <wps:bodyPr rot="0" vert="horz" wrap="square" lIns="0" tIns="0" rIns="0" bIns="0" anchor="t" anchorCtr="0" upright="1">
                      <a:spAutoFit/>
                    </wps:bodyPr>
                  </wps:wsp>
                </a:graphicData>
              </a:graphic>
            </wp:anchor>
          </w:drawing>
        </mc:Choice>
        <mc:Fallback>
          <w:pict>
            <v:shape id="Text Box 4" o:spid="_x0000_s1026" o:spt="202" type="#_x0000_t202" style="position:absolute;left:0pt;margin-top:0pt;height:12.05pt;width:36.85pt;mso-position-horizontal:center;mso-position-horizontal-relative:margin;z-index:251662336;mso-width-relative:page;mso-height-relative:page;" filled="f" stroked="f" coordsize="21600,21600" o:gfxdata="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zoHD00gAAAAMBAAAPAAAAAAAAAAEAIAAAACIAAABkcnMvZG93bnJldi54bWxQ&#10;SwECFAAUAAAACACHTuJAE99Qh/0BAAADBAAADgAAAAAAAAABACAAAAAhAQAAZHJzL2Uyb0RvYy54&#10;bWxQSwUGAAAAAAYABgBZAQAAkAUAAAAA&#10;">
              <v:fill on="f" focussize="0,0"/>
              <v:stroke on="f"/>
              <v:imagedata o:title=""/>
              <o:lock v:ext="edit" aspectratio="f"/>
              <v:textbox inset="0mm,0mm,0mm,0mm" style="mso-fit-shape-to-text:t;">
                <w:txbxContent>
                  <w:p w14:paraId="420B7C9E">
                    <w:pPr>
                      <w:pStyle w:val="20"/>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8ACD7">
    <w:pPr>
      <w:pStyle w:val="2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40970" cy="153035"/>
              <wp:effectExtent l="0" t="0" r="0" b="0"/>
              <wp:wrapNone/>
              <wp:docPr id="4" name="Text Box 6"/>
              <wp:cNvGraphicFramePr/>
              <a:graphic xmlns:a="http://schemas.openxmlformats.org/drawingml/2006/main">
                <a:graphicData uri="http://schemas.microsoft.com/office/word/2010/wordprocessingShape">
                  <wps:wsp>
                    <wps:cNvSpPr txBox="1">
                      <a:spLocks noChangeArrowheads="1"/>
                    </wps:cNvSpPr>
                    <wps:spPr bwMode="auto">
                      <a:xfrm>
                        <a:off x="0" y="0"/>
                        <a:ext cx="140970" cy="153035"/>
                      </a:xfrm>
                      <a:prstGeom prst="rect">
                        <a:avLst/>
                      </a:prstGeom>
                      <a:noFill/>
                      <a:ln>
                        <a:noFill/>
                      </a:ln>
                    </wps:spPr>
                    <wps:txbx>
                      <w:txbxContent>
                        <w:p w14:paraId="32FB78AE">
                          <w:pPr>
                            <w:pStyle w:val="20"/>
                          </w:pPr>
                          <w:r>
                            <w:fldChar w:fldCharType="begin"/>
                          </w:r>
                          <w:r>
                            <w:instrText xml:space="preserve"> PAGE  \* MERGEFORMAT </w:instrText>
                          </w:r>
                          <w:r>
                            <w:fldChar w:fldCharType="separate"/>
                          </w:r>
                          <w:r>
                            <w:t>VI</w:t>
                          </w:r>
                          <w:r>
                            <w:fldChar w:fldCharType="end"/>
                          </w:r>
                        </w:p>
                      </w:txbxContent>
                    </wps:txbx>
                    <wps:bodyPr rot="0" vert="horz" wrap="none" lIns="0" tIns="0" rIns="0" bIns="0" anchor="t" anchorCtr="0" upright="1">
                      <a:spAutoFit/>
                    </wps:bodyPr>
                  </wps:wsp>
                </a:graphicData>
              </a:graphic>
            </wp:anchor>
          </w:drawing>
        </mc:Choice>
        <mc:Fallback>
          <w:pict>
            <v:shape id="Text Box 6" o:spid="_x0000_s1026" o:spt="202" type="#_x0000_t202" style="position:absolute;left:0pt;margin-top:0pt;height:12.05pt;width:11.1pt;mso-position-horizontal:center;mso-position-horizontal-relative:margin;mso-wrap-style:none;z-index:251664384;mso-width-relative:page;mso-height-relative:page;" filled="f" stroked="f" coordsize="21600,21600" o:gfxdata="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FEXgtAAAAADAQAADwAAAAAAAAABACAAAAAiAAAAZHJzL2Rvd25yZXYueG1sUEsBAhQA&#10;FAAAAAgAh07iQH6OhCX6AQAAAQQAAA4AAAAAAAAAAQAgAAAAHwEAAGRycy9lMm9Eb2MueG1sUEsF&#10;BgAAAAAGAAYAWQEAAIsFAAAAAA==&#10;">
              <v:fill on="f" focussize="0,0"/>
              <v:stroke on="f"/>
              <v:imagedata o:title=""/>
              <o:lock v:ext="edit" aspectratio="f"/>
              <v:textbox inset="0mm,0mm,0mm,0mm" style="mso-fit-shape-to-text:t;">
                <w:txbxContent>
                  <w:p w14:paraId="32FB78AE">
                    <w:pPr>
                      <w:pStyle w:val="20"/>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6980E">
    <w:pPr>
      <w:pStyle w:val="20"/>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96240" cy="153035"/>
              <wp:effectExtent l="0" t="0" r="3810" b="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6240" cy="153035"/>
                      </a:xfrm>
                      <a:prstGeom prst="rect">
                        <a:avLst/>
                      </a:prstGeom>
                      <a:noFill/>
                      <a:ln>
                        <a:noFill/>
                      </a:ln>
                    </wps:spPr>
                    <wps:txbx>
                      <w:txbxContent>
                        <w:p w14:paraId="76BFF952">
                          <w:pPr>
                            <w:pStyle w:val="20"/>
                          </w:pPr>
                          <w:r>
                            <w:fldChar w:fldCharType="begin"/>
                          </w:r>
                          <w:r>
                            <w:instrText xml:space="preserve"> PAGE  \* MERGEFORMAT </w:instrText>
                          </w:r>
                          <w:r>
                            <w:fldChar w:fldCharType="separate"/>
                          </w:r>
                          <w:r>
                            <w:t>3</w:t>
                          </w:r>
                          <w:r>
                            <w:fldChar w:fldCharType="end"/>
                          </w:r>
                        </w:p>
                      </w:txbxContent>
                    </wps:txbx>
                    <wps:bodyPr rot="0" vert="horz" wrap="square" lIns="0" tIns="0" rIns="0" bIns="0" anchor="t" anchorCtr="0" upright="1">
                      <a:spAutoFit/>
                    </wps:bodyPr>
                  </wps:wsp>
                </a:graphicData>
              </a:graphic>
            </wp:anchor>
          </w:drawing>
        </mc:Choice>
        <mc:Fallback>
          <w:pict>
            <v:shape id="Text Box 2" o:spid="_x0000_s1026" o:spt="202" type="#_x0000_t202" style="position:absolute;left:0pt;margin-top:0pt;height:12.05pt;width:31.2pt;mso-position-horizontal:center;mso-position-horizontal-relative:margin;z-index:251660288;mso-width-relative:page;mso-height-relative:page;" filled="f" stroked="f" coordsize="21600,21600" o:gfxdata="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alWJdIAAAADAQAADwAAAAAAAAABACAAAAAiAAAAZHJzL2Rvd25yZXYueG1sUEsB&#10;AhQAFAAAAAgAh07iQEJBLsn7AQAAAwQAAA4AAAAAAAAAAQAgAAAAIQEAAGRycy9lMm9Eb2MueG1s&#10;UEsFBgAAAAAGAAYAWQEAAI4FAAAAAA==&#10;">
              <v:fill on="f" focussize="0,0"/>
              <v:stroke on="f"/>
              <v:imagedata o:title=""/>
              <o:lock v:ext="edit" aspectratio="f"/>
              <v:textbox inset="0mm,0mm,0mm,0mm" style="mso-fit-shape-to-text:t;">
                <w:txbxContent>
                  <w:p w14:paraId="76BFF952">
                    <w:pPr>
                      <w:pStyle w:val="2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364BC">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2AA9C">
    <w:pPr>
      <w:pStyle w:val="21"/>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4403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8FD74">
    <w:pPr>
      <w:pStyle w:val="21"/>
      <w:rPr>
        <w:lang w:eastAsia="zh-CN"/>
      </w:rPr>
    </w:pPr>
    <w:r>
      <w:rPr>
        <w:rFonts w:hint="eastAsia"/>
        <w:lang w:eastAsia="zh-CN"/>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D9A06">
    <w:pPr>
      <w:pStyle w:val="21"/>
    </w:pPr>
    <w:r>
      <w:rPr>
        <w:rFonts w:hint="eastAsia"/>
      </w:rPr>
      <w:t>北京大学硕士学位论文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DB172">
    <w:pPr>
      <w:pStyle w:val="21"/>
      <w:rPr>
        <w:lang w:eastAsia="zh-CN"/>
      </w:rPr>
    </w:pPr>
    <w:r>
      <w:rPr>
        <w:rFonts w:hint="eastAsia"/>
        <w:lang w:eastAsia="zh-CN"/>
      </w:rPr>
      <w:t>第一章 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0A658">
    <w:pPr>
      <w:pStyle w:val="21"/>
    </w:pPr>
    <w:r>
      <w:rPr>
        <w:rFonts w:hint="eastAsia"/>
      </w:rPr>
      <w:t>北京大学硕士学位论文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4F977">
    <w:pPr>
      <w:pStyle w:val="21"/>
      <w:rPr>
        <w:lang w:eastAsia="zh-CN"/>
      </w:rPr>
    </w:pPr>
    <w:r>
      <w:rPr>
        <w:rFonts w:hint="eastAsia"/>
        <w:lang w:eastAsia="zh-CN"/>
      </w:rPr>
      <w:t>第二章 理论基础与文献综述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36DE7">
    <w:pPr>
      <w:pStyle w:val="21"/>
    </w:pPr>
    <w:r>
      <w:rPr>
        <w:rFonts w:hint="eastAsia"/>
      </w:rPr>
      <w:t>北京大学硕士学位论文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49C0D">
    <w:pPr>
      <w:pStyle w:val="21"/>
      <w:rPr>
        <w:lang w:eastAsia="zh-CN"/>
      </w:rPr>
    </w:pPr>
    <w:r>
      <w:rPr>
        <w:rFonts w:hint="eastAsia"/>
        <w:lang w:eastAsia="zh-CN"/>
      </w:rPr>
      <w:t>第三章 HSM公司外部环境分析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5EBF7">
    <w:pPr>
      <w:pStyle w:val="21"/>
    </w:pPr>
    <w:r>
      <w:rPr>
        <w:rFonts w:hint="eastAsia"/>
      </w:rPr>
      <w:t>北京大学硕士学位论文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0525B">
    <w:pPr>
      <w:pStyle w:val="21"/>
      <w:rPr>
        <w:lang w:eastAsia="zh-CN"/>
      </w:rPr>
    </w:pPr>
    <w:r>
      <w:rPr>
        <w:rFonts w:hint="eastAsia"/>
        <w:lang w:eastAsia="zh-CN"/>
      </w:rPr>
      <w:t>第四章 HSM战略转型的动因分析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A1304">
    <w:pPr>
      <w:pStyle w:val="21"/>
    </w:pPr>
    <w:r>
      <w:rPr>
        <w:rFonts w:hint="eastAsia"/>
      </w:rPr>
      <w:t>北京大学硕士学位论文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7EC44">
    <w:pPr>
      <w:pStyle w:val="21"/>
      <w:rPr>
        <w:lang w:eastAsia="zh-CN"/>
      </w:rPr>
    </w:pPr>
    <w:r>
      <w:rPr>
        <w:rFonts w:hint="eastAsia"/>
        <w:lang w:eastAsia="zh-CN"/>
      </w:rPr>
      <w:t>第五章 HSM战略转型的实施路径</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E367B">
    <w:pPr>
      <w:pStyle w:val="21"/>
    </w:pPr>
    <w:r>
      <w:rPr>
        <w:rFonts w:hint="eastAsia"/>
      </w:rPr>
      <w:t>北京大学硕士学位论文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95364">
    <w:pPr>
      <w:pStyle w:val="21"/>
      <w:rPr>
        <w:lang w:eastAsia="zh-CN"/>
      </w:rPr>
    </w:pPr>
    <w:r>
      <w:rPr>
        <w:rFonts w:hint="eastAsia"/>
        <w:lang w:eastAsia="zh-CN"/>
      </w:rPr>
      <w:t>第六章 HSM战略转型的成效评估</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3E4DF">
    <w:pPr>
      <w:pStyle w:val="21"/>
    </w:pPr>
    <w:r>
      <w:rPr>
        <w:rFonts w:hint="eastAsia"/>
      </w:rPr>
      <w:t>北京大学硕士学位论文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7DC3A">
    <w:pPr>
      <w:pStyle w:val="21"/>
      <w:tabs>
        <w:tab w:val="center" w:pos="4538"/>
        <w:tab w:val="left" w:pos="7101"/>
      </w:tabs>
      <w:rPr>
        <w:lang w:eastAsia="zh-CN"/>
      </w:rPr>
    </w:pPr>
    <w:r>
      <w:rPr>
        <w:rFonts w:hint="eastAsia"/>
        <w:lang w:eastAsia="zh-CN"/>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3CC70">
    <w:pPr>
      <w:pStyle w:val="21"/>
    </w:pPr>
    <w:r>
      <w:rPr>
        <w:rFonts w:hint="eastAsia"/>
      </w:rPr>
      <w:t>北京大学硕士学位论文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07063">
    <w:pPr>
      <w:pStyle w:val="21"/>
      <w:tabs>
        <w:tab w:val="center" w:pos="4538"/>
        <w:tab w:val="left" w:pos="7101"/>
      </w:tabs>
      <w:rPr>
        <w:lang w:eastAsia="zh-CN"/>
      </w:rPr>
    </w:pPr>
    <w:r>
      <w:rPr>
        <w:rFonts w:hint="eastAsia"/>
        <w:lang w:eastAsia="zh-CN"/>
      </w:rPr>
      <w:t>致谢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C2243">
    <w:pPr>
      <w:pStyle w:val="21"/>
      <w:jc w:val="both"/>
    </w:pPr>
    <w:r>
      <w:rPr>
        <w:rFonts w:hint="eastAsia"/>
      </w:rPr>
      <w:t>北京大学硕士学位论文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547CA">
    <w:pPr>
      <w:pStyle w:val="21"/>
      <w:tabs>
        <w:tab w:val="center" w:pos="4538"/>
        <w:tab w:val="left" w:pos="7101"/>
      </w:tabs>
      <w:rPr>
        <w:lang w:eastAsia="zh-CN"/>
      </w:rPr>
    </w:pPr>
    <w:r>
      <w:rPr>
        <w:rFonts w:hint="eastAsia"/>
        <w:lang w:eastAsia="zh-CN"/>
      </w:rPr>
      <w:t>北京大学学位论文原创性声明和使用授权说明</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ED57C">
    <w:pPr>
      <w:pStyle w:val="21"/>
      <w:jc w:val="both"/>
    </w:pPr>
    <w:r>
      <w:rPr>
        <w:rFonts w:hint="eastAsia"/>
      </w:rPr>
      <w:t>北京大学硕士学位论文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5D6B8DC5"/>
    <w:multiLevelType w:val="singleLevel"/>
    <w:tmpl w:val="5D6B8DC5"/>
    <w:lvl w:ilvl="0" w:tentative="0">
      <w:start w:val="1"/>
      <w:numFmt w:val="decimal"/>
      <w:suff w:val="space"/>
      <w:lvlText w:val="%1."/>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evenAndOddHeaders w:val="1"/>
  <w:drawingGridHorizontalSpacing w:val="240"/>
  <w:drawingGridVerticalSpacing w:val="163"/>
  <w:displayVerticalDrawingGridEvery w:val="2"/>
  <w:characterSpacingControl w:val="doNotCompress"/>
  <w:footnotePr>
    <w:numFmt w:val="decimalEnclosedCircleChinese"/>
    <w:numRestart w:val="eachPage"/>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9D97329"/>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9" w:semiHidden="0" w:name="footnote text"/>
    <w:lsdException w:uiPriority="0" w:name="annotation text"/>
    <w:lsdException w:qFormat="1" w:uiPriority="99" w:semiHidden="0" w:name="header"/>
    <w:lsdException w:qFormat="1"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qFormat="1" w:uiPriority="9" w:semiHidden="0" w:name="Block Text"/>
    <w:lsdException w:qFormat="1"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1"/>
    <w:qFormat/>
    <w:uiPriority w:val="9"/>
    <w:pPr>
      <w:keepNext/>
      <w:keepLines/>
      <w:spacing w:before="480" w:after="360" w:line="400" w:lineRule="exact"/>
      <w:jc w:val="center"/>
      <w:outlineLvl w:val="0"/>
    </w:pPr>
    <w:rPr>
      <w:rFonts w:ascii="黑体" w:hAnsi="黑体" w:eastAsia="黑体" w:cs="黑体"/>
      <w:color w:val="000000" w:themeColor="text1"/>
      <w:sz w:val="32"/>
      <w:szCs w:val="32"/>
      <w14:textFill>
        <w14:solidFill>
          <w14:schemeClr w14:val="tx1"/>
        </w14:solidFill>
      </w14:textFill>
    </w:rPr>
  </w:style>
  <w:style w:type="paragraph" w:styleId="3">
    <w:name w:val="heading 2"/>
    <w:basedOn w:val="1"/>
    <w:next w:val="4"/>
    <w:unhideWhenUsed/>
    <w:qFormat/>
    <w:uiPriority w:val="9"/>
    <w:pPr>
      <w:keepNext/>
      <w:widowControl w:val="0"/>
      <w:spacing w:before="480" w:after="120" w:line="400" w:lineRule="exact"/>
      <w:outlineLvl w:val="1"/>
    </w:pPr>
    <w:rPr>
      <w:rFonts w:ascii="Times New Roman" w:hAnsi="Times New Roman" w:eastAsia="黑体" w:cs="黑体"/>
      <w:bCs/>
      <w:color w:val="000000" w:themeColor="text1"/>
      <w:sz w:val="28"/>
      <w:szCs w:val="28"/>
      <w14:textFill>
        <w14:solidFill>
          <w14:schemeClr w14:val="tx1"/>
        </w14:solidFill>
      </w14:textFill>
    </w:rPr>
  </w:style>
  <w:style w:type="paragraph" w:styleId="5">
    <w:name w:val="heading 3"/>
    <w:basedOn w:val="1"/>
    <w:next w:val="4"/>
    <w:unhideWhenUsed/>
    <w:qFormat/>
    <w:uiPriority w:val="9"/>
    <w:pPr>
      <w:keepNext/>
      <w:widowControl w:val="0"/>
      <w:spacing w:before="240" w:after="120" w:line="400" w:lineRule="exact"/>
      <w:outlineLvl w:val="2"/>
    </w:pPr>
    <w:rPr>
      <w:rFonts w:ascii="Times New Roman" w:hAnsi="Times New Roman" w:eastAsia="黑体" w:cstheme="majorBidi"/>
      <w:bCs/>
      <w:color w:val="000000" w:themeColor="text1"/>
      <w:sz w:val="26"/>
      <w14:textFill>
        <w14:solidFill>
          <w14:schemeClr w14:val="tx1"/>
        </w14:solidFill>
      </w14:textFill>
    </w:rPr>
  </w:style>
  <w:style w:type="paragraph" w:styleId="6">
    <w:name w:val="heading 4"/>
    <w:basedOn w:val="1"/>
    <w:next w:val="4"/>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4"/>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4"/>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4"/>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4"/>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4"/>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32">
    <w:name w:val="Default Paragraph Font"/>
    <w:semiHidden/>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12">
    <w:name w:val="toc 7"/>
    <w:basedOn w:val="1"/>
    <w:next w:val="1"/>
    <w:autoRedefine/>
    <w:unhideWhenUsed/>
    <w:qFormat/>
    <w:uiPriority w:val="39"/>
    <w:pPr>
      <w:widowControl w:val="0"/>
      <w:spacing w:after="0"/>
      <w:ind w:left="2520" w:leftChars="1200"/>
      <w:jc w:val="both"/>
    </w:pPr>
    <w:rPr>
      <w:kern w:val="2"/>
      <w:sz w:val="21"/>
      <w:szCs w:val="22"/>
      <w:lang w:eastAsia="zh-CN"/>
    </w:rPr>
  </w:style>
  <w:style w:type="paragraph" w:styleId="13">
    <w:name w:val="caption"/>
    <w:basedOn w:val="1"/>
    <w:link w:val="34"/>
    <w:qFormat/>
    <w:uiPriority w:val="0"/>
    <w:pPr>
      <w:spacing w:after="120"/>
    </w:pPr>
    <w:rPr>
      <w:i/>
    </w:rPr>
  </w:style>
  <w:style w:type="paragraph" w:styleId="14">
    <w:name w:val="Block Text"/>
    <w:basedOn w:val="4"/>
    <w:next w:val="4"/>
    <w:unhideWhenUsed/>
    <w:qFormat/>
    <w:uiPriority w:val="9"/>
    <w:pPr>
      <w:spacing w:before="100" w:after="100"/>
      <w:ind w:left="480" w:right="480"/>
    </w:pPr>
  </w:style>
  <w:style w:type="paragraph" w:styleId="15">
    <w:name w:val="toc 5"/>
    <w:basedOn w:val="1"/>
    <w:next w:val="1"/>
    <w:autoRedefine/>
    <w:unhideWhenUsed/>
    <w:qFormat/>
    <w:uiPriority w:val="39"/>
    <w:pPr>
      <w:widowControl w:val="0"/>
      <w:spacing w:after="0"/>
      <w:ind w:left="1680" w:leftChars="800"/>
      <w:jc w:val="both"/>
    </w:pPr>
    <w:rPr>
      <w:kern w:val="2"/>
      <w:sz w:val="21"/>
      <w:szCs w:val="22"/>
      <w:lang w:eastAsia="zh-CN"/>
    </w:rPr>
  </w:style>
  <w:style w:type="paragraph" w:styleId="16">
    <w:name w:val="toc 3"/>
    <w:basedOn w:val="1"/>
    <w:next w:val="1"/>
    <w:autoRedefine/>
    <w:unhideWhenUsed/>
    <w:qFormat/>
    <w:uiPriority w:val="39"/>
    <w:pPr>
      <w:tabs>
        <w:tab w:val="right" w:leader="dot" w:pos="8957"/>
      </w:tabs>
      <w:spacing w:after="0" w:line="400" w:lineRule="exact"/>
      <w:ind w:firstLine="480" w:firstLineChars="200"/>
    </w:pPr>
    <w:rPr>
      <w:rFonts w:ascii="Times New Roman" w:hAnsi="Times New Roman"/>
    </w:rPr>
  </w:style>
  <w:style w:type="paragraph" w:styleId="17">
    <w:name w:val="Plain Text"/>
    <w:basedOn w:val="1"/>
    <w:qFormat/>
    <w:uiPriority w:val="0"/>
    <w:rPr>
      <w:rFonts w:ascii="宋体" w:hAnsi="Courier New" w:cs="幼圆"/>
      <w:szCs w:val="21"/>
    </w:rPr>
  </w:style>
  <w:style w:type="paragraph" w:styleId="18">
    <w:name w:val="toc 8"/>
    <w:basedOn w:val="1"/>
    <w:next w:val="1"/>
    <w:autoRedefine/>
    <w:unhideWhenUsed/>
    <w:qFormat/>
    <w:uiPriority w:val="39"/>
    <w:pPr>
      <w:widowControl w:val="0"/>
      <w:spacing w:after="0"/>
      <w:ind w:left="2940" w:leftChars="1400"/>
      <w:jc w:val="both"/>
    </w:pPr>
    <w:rPr>
      <w:kern w:val="2"/>
      <w:sz w:val="21"/>
      <w:szCs w:val="22"/>
      <w:lang w:eastAsia="zh-CN"/>
    </w:rPr>
  </w:style>
  <w:style w:type="paragraph" w:styleId="19">
    <w:name w:val="Date"/>
    <w:next w:val="4"/>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20">
    <w:name w:val="footer"/>
    <w:unhideWhenUsed/>
    <w:qFormat/>
    <w:uiPriority w:val="99"/>
    <w:pPr>
      <w:tabs>
        <w:tab w:val="center" w:pos="4153"/>
        <w:tab w:val="right" w:pos="8306"/>
      </w:tabs>
      <w:snapToGrid w:val="0"/>
      <w:jc w:val="center"/>
    </w:pPr>
    <w:rPr>
      <w:rFonts w:ascii="Times New Roman" w:hAnsi="Times New Roman" w:eastAsia="宋体" w:cstheme="minorBidi"/>
      <w:sz w:val="21"/>
      <w:szCs w:val="21"/>
      <w:lang w:val="en-US" w:eastAsia="zh-CN" w:bidi="ar-SA"/>
    </w:rPr>
  </w:style>
  <w:style w:type="paragraph" w:styleId="21">
    <w:name w:val="header"/>
    <w:basedOn w:val="1"/>
    <w:unhideWhenUsed/>
    <w:qFormat/>
    <w:uiPriority w:val="99"/>
    <w:pPr>
      <w:pBdr>
        <w:bottom w:val="single" w:color="auto" w:sz="6" w:space="1"/>
      </w:pBdr>
      <w:tabs>
        <w:tab w:val="center" w:pos="4153"/>
        <w:tab w:val="right" w:pos="8306"/>
      </w:tabs>
      <w:snapToGrid w:val="0"/>
      <w:spacing w:after="0"/>
      <w:jc w:val="center"/>
    </w:pPr>
    <w:rPr>
      <w:sz w:val="21"/>
      <w:szCs w:val="21"/>
    </w:rPr>
  </w:style>
  <w:style w:type="paragraph" w:styleId="22">
    <w:name w:val="toc 1"/>
    <w:basedOn w:val="1"/>
    <w:next w:val="1"/>
    <w:autoRedefine/>
    <w:unhideWhenUsed/>
    <w:uiPriority w:val="39"/>
    <w:pPr>
      <w:tabs>
        <w:tab w:val="right" w:leader="dot" w:pos="8957"/>
      </w:tabs>
      <w:spacing w:before="120" w:after="0" w:line="400" w:lineRule="exact"/>
    </w:pPr>
    <w:rPr>
      <w:rFonts w:ascii="Times New Roman" w:hAnsi="Times New Roman" w:eastAsia="黑体" w:cs="黑体"/>
    </w:rPr>
  </w:style>
  <w:style w:type="paragraph" w:styleId="23">
    <w:name w:val="toc 4"/>
    <w:basedOn w:val="1"/>
    <w:next w:val="1"/>
    <w:autoRedefine/>
    <w:unhideWhenUsed/>
    <w:qFormat/>
    <w:uiPriority w:val="39"/>
    <w:pPr>
      <w:widowControl w:val="0"/>
      <w:spacing w:after="0"/>
      <w:ind w:left="1260" w:leftChars="600"/>
      <w:jc w:val="both"/>
    </w:pPr>
    <w:rPr>
      <w:kern w:val="2"/>
      <w:sz w:val="21"/>
      <w:szCs w:val="22"/>
      <w:lang w:eastAsia="zh-CN"/>
    </w:rPr>
  </w:style>
  <w:style w:type="paragraph" w:styleId="24">
    <w:name w:val="Subtitle"/>
    <w:basedOn w:val="25"/>
    <w:next w:val="4"/>
    <w:qFormat/>
    <w:uiPriority w:val="0"/>
    <w:pPr>
      <w:spacing w:before="240"/>
    </w:pPr>
    <w:rPr>
      <w:sz w:val="30"/>
      <w:szCs w:val="30"/>
    </w:rPr>
  </w:style>
  <w:style w:type="paragraph" w:styleId="25">
    <w:name w:val="Title"/>
    <w:basedOn w:val="1"/>
    <w:next w:val="4"/>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6">
    <w:name w:val="footnote text"/>
    <w:basedOn w:val="1"/>
    <w:unhideWhenUsed/>
    <w:qFormat/>
    <w:uiPriority w:val="9"/>
  </w:style>
  <w:style w:type="paragraph" w:styleId="27">
    <w:name w:val="toc 6"/>
    <w:basedOn w:val="1"/>
    <w:next w:val="1"/>
    <w:autoRedefine/>
    <w:unhideWhenUsed/>
    <w:qFormat/>
    <w:uiPriority w:val="39"/>
    <w:pPr>
      <w:widowControl w:val="0"/>
      <w:spacing w:after="0"/>
      <w:ind w:left="2100" w:leftChars="1000"/>
      <w:jc w:val="both"/>
    </w:pPr>
    <w:rPr>
      <w:kern w:val="2"/>
      <w:sz w:val="21"/>
      <w:szCs w:val="22"/>
      <w:lang w:eastAsia="zh-CN"/>
    </w:rPr>
  </w:style>
  <w:style w:type="paragraph" w:styleId="28">
    <w:name w:val="toc 2"/>
    <w:basedOn w:val="1"/>
    <w:next w:val="1"/>
    <w:autoRedefine/>
    <w:unhideWhenUsed/>
    <w:qFormat/>
    <w:uiPriority w:val="39"/>
    <w:pPr>
      <w:tabs>
        <w:tab w:val="right" w:leader="dot" w:pos="8957"/>
      </w:tabs>
      <w:spacing w:after="0" w:line="400" w:lineRule="exact"/>
      <w:ind w:left="240" w:leftChars="100"/>
    </w:pPr>
    <w:rPr>
      <w:rFonts w:ascii="Times New Roman" w:hAnsi="Times New Roman"/>
    </w:rPr>
  </w:style>
  <w:style w:type="paragraph" w:styleId="29">
    <w:name w:val="toc 9"/>
    <w:basedOn w:val="1"/>
    <w:next w:val="1"/>
    <w:autoRedefine/>
    <w:unhideWhenUsed/>
    <w:qFormat/>
    <w:uiPriority w:val="39"/>
    <w:pPr>
      <w:widowControl w:val="0"/>
      <w:spacing w:after="0"/>
      <w:ind w:left="3360" w:leftChars="1600"/>
      <w:jc w:val="both"/>
    </w:pPr>
    <w:rPr>
      <w:kern w:val="2"/>
      <w:sz w:val="21"/>
      <w:szCs w:val="22"/>
      <w:lang w:eastAsia="zh-CN"/>
    </w:rPr>
  </w:style>
  <w:style w:type="table" w:styleId="31">
    <w:name w:val="Table Grid"/>
    <w:basedOn w:val="3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Hyperlink"/>
    <w:basedOn w:val="34"/>
    <w:qFormat/>
    <w:uiPriority w:val="99"/>
    <w:rPr>
      <w:color w:val="4F81BD" w:themeColor="accent1"/>
      <w14:textFill>
        <w14:solidFill>
          <w14:schemeClr w14:val="accent1"/>
        </w14:solidFill>
      </w14:textFill>
    </w:rPr>
  </w:style>
  <w:style w:type="character" w:customStyle="1" w:styleId="34">
    <w:name w:val="题注 字符"/>
    <w:basedOn w:val="32"/>
    <w:link w:val="13"/>
    <w:qFormat/>
    <w:uiPriority w:val="0"/>
  </w:style>
  <w:style w:type="character" w:styleId="35">
    <w:name w:val="footnote reference"/>
    <w:basedOn w:val="34"/>
    <w:qFormat/>
    <w:uiPriority w:val="0"/>
    <w:rPr>
      <w:vertAlign w:val="superscript"/>
    </w:rPr>
  </w:style>
  <w:style w:type="paragraph" w:customStyle="1" w:styleId="36">
    <w:name w:val="First Paragraph"/>
    <w:basedOn w:val="4"/>
    <w:next w:val="4"/>
    <w:qFormat/>
    <w:uiPriority w:val="0"/>
  </w:style>
  <w:style w:type="paragraph" w:customStyle="1" w:styleId="37">
    <w:name w:val="Compact"/>
    <w:basedOn w:val="4"/>
    <w:qFormat/>
    <w:uiPriority w:val="0"/>
    <w:pPr>
      <w:spacing w:before="36" w:after="36"/>
    </w:pPr>
  </w:style>
  <w:style w:type="paragraph" w:customStyle="1" w:styleId="38">
    <w:name w:val="Author"/>
    <w:next w:val="4"/>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9">
    <w:name w:val="Abstract"/>
    <w:basedOn w:val="1"/>
    <w:next w:val="4"/>
    <w:qFormat/>
    <w:uiPriority w:val="0"/>
    <w:pPr>
      <w:keepNext/>
      <w:keepLines/>
      <w:spacing w:before="300" w:after="300"/>
    </w:pPr>
    <w:rPr>
      <w:sz w:val="20"/>
      <w:szCs w:val="20"/>
    </w:rPr>
  </w:style>
  <w:style w:type="paragraph" w:customStyle="1" w:styleId="40">
    <w:name w:val="书目1"/>
    <w:basedOn w:val="1"/>
    <w:qFormat/>
    <w:uiPriority w:val="0"/>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3"/>
    <w:qFormat/>
    <w:uiPriority w:val="0"/>
    <w:pPr>
      <w:keepNext/>
    </w:pPr>
  </w:style>
  <w:style w:type="paragraph" w:customStyle="1" w:styleId="45">
    <w:name w:val="Image Caption"/>
    <w:basedOn w:val="13"/>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34"/>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34"/>
    <w:qFormat/>
    <w:uiPriority w:val="0"/>
  </w:style>
  <w:style w:type="paragraph" w:customStyle="1" w:styleId="51">
    <w:name w:val="TOC 标题1"/>
    <w:basedOn w:val="2"/>
    <w:next w:val="4"/>
    <w:unhideWhenUsed/>
    <w:qFormat/>
    <w:uiPriority w:val="39"/>
    <w:pPr>
      <w:spacing w:before="240" w:line="259" w:lineRule="auto"/>
      <w:outlineLvl w:val="9"/>
    </w:pPr>
    <w:rPr>
      <w:color w:val="376092" w:themeColor="accent1" w:themeShade="BF"/>
    </w:rPr>
  </w:style>
  <w:style w:type="character" w:customStyle="1" w:styleId="52">
    <w:name w:val="KeywordTok"/>
    <w:basedOn w:val="48"/>
    <w:qFormat/>
    <w:uiPriority w:val="0"/>
    <w:rPr>
      <w:rFonts w:ascii="Consolas" w:hAnsi="Consolas"/>
      <w:b/>
      <w:color w:val="007020"/>
      <w:sz w:val="22"/>
    </w:rPr>
  </w:style>
  <w:style w:type="character" w:customStyle="1" w:styleId="53">
    <w:name w:val="DataTypeTok"/>
    <w:basedOn w:val="48"/>
    <w:qFormat/>
    <w:uiPriority w:val="0"/>
    <w:rPr>
      <w:rFonts w:ascii="Consolas" w:hAnsi="Consolas"/>
      <w:color w:val="902000"/>
      <w:sz w:val="22"/>
    </w:rPr>
  </w:style>
  <w:style w:type="character" w:customStyle="1" w:styleId="54">
    <w:name w:val="DecValTok"/>
    <w:basedOn w:val="48"/>
    <w:qFormat/>
    <w:uiPriority w:val="0"/>
    <w:rPr>
      <w:rFonts w:ascii="Consolas" w:hAnsi="Consolas"/>
      <w:color w:val="40A070"/>
      <w:sz w:val="22"/>
    </w:rPr>
  </w:style>
  <w:style w:type="character" w:customStyle="1" w:styleId="55">
    <w:name w:val="BaseNTok"/>
    <w:basedOn w:val="48"/>
    <w:qFormat/>
    <w:uiPriority w:val="0"/>
    <w:rPr>
      <w:rFonts w:ascii="Consolas" w:hAnsi="Consolas"/>
      <w:color w:val="40A070"/>
      <w:sz w:val="22"/>
    </w:rPr>
  </w:style>
  <w:style w:type="character" w:customStyle="1" w:styleId="56">
    <w:name w:val="FloatTok"/>
    <w:basedOn w:val="48"/>
    <w:qFormat/>
    <w:uiPriority w:val="0"/>
    <w:rPr>
      <w:rFonts w:ascii="Consolas" w:hAnsi="Consolas"/>
      <w:color w:val="40A070"/>
      <w:sz w:val="22"/>
    </w:rPr>
  </w:style>
  <w:style w:type="character" w:customStyle="1" w:styleId="57">
    <w:name w:val="ConstantTok"/>
    <w:basedOn w:val="48"/>
    <w:qFormat/>
    <w:uiPriority w:val="0"/>
    <w:rPr>
      <w:rFonts w:ascii="Consolas" w:hAnsi="Consolas"/>
      <w:color w:val="880000"/>
      <w:sz w:val="22"/>
    </w:rPr>
  </w:style>
  <w:style w:type="character" w:customStyle="1" w:styleId="58">
    <w:name w:val="CharTok"/>
    <w:basedOn w:val="48"/>
    <w:qFormat/>
    <w:uiPriority w:val="0"/>
    <w:rPr>
      <w:rFonts w:ascii="Consolas" w:hAnsi="Consolas"/>
      <w:color w:val="4070A0"/>
      <w:sz w:val="22"/>
    </w:rPr>
  </w:style>
  <w:style w:type="character" w:customStyle="1" w:styleId="59">
    <w:name w:val="SpecialCharTok"/>
    <w:basedOn w:val="48"/>
    <w:qFormat/>
    <w:uiPriority w:val="0"/>
    <w:rPr>
      <w:rFonts w:ascii="Consolas" w:hAnsi="Consolas"/>
      <w:color w:val="4070A0"/>
      <w:sz w:val="22"/>
    </w:rPr>
  </w:style>
  <w:style w:type="character" w:customStyle="1" w:styleId="60">
    <w:name w:val="StringTok"/>
    <w:basedOn w:val="48"/>
    <w:qFormat/>
    <w:uiPriority w:val="0"/>
    <w:rPr>
      <w:rFonts w:ascii="Consolas" w:hAnsi="Consolas"/>
      <w:color w:val="4070A0"/>
      <w:sz w:val="22"/>
    </w:rPr>
  </w:style>
  <w:style w:type="character" w:customStyle="1" w:styleId="61">
    <w:name w:val="VerbatimStringTok"/>
    <w:basedOn w:val="48"/>
    <w:qFormat/>
    <w:uiPriority w:val="0"/>
    <w:rPr>
      <w:rFonts w:ascii="Consolas" w:hAnsi="Consolas"/>
      <w:color w:val="4070A0"/>
      <w:sz w:val="22"/>
    </w:rPr>
  </w:style>
  <w:style w:type="character" w:customStyle="1" w:styleId="62">
    <w:name w:val="SpecialStringTok"/>
    <w:basedOn w:val="48"/>
    <w:qFormat/>
    <w:uiPriority w:val="0"/>
    <w:rPr>
      <w:rFonts w:ascii="Consolas" w:hAnsi="Consolas"/>
      <w:color w:val="BB6688"/>
      <w:sz w:val="22"/>
    </w:rPr>
  </w:style>
  <w:style w:type="character" w:customStyle="1" w:styleId="63">
    <w:name w:val="ImportTok"/>
    <w:basedOn w:val="48"/>
    <w:qFormat/>
    <w:uiPriority w:val="0"/>
    <w:rPr>
      <w:rFonts w:ascii="Consolas" w:hAnsi="Consolas"/>
      <w:b/>
      <w:color w:val="008000"/>
      <w:sz w:val="22"/>
    </w:rPr>
  </w:style>
  <w:style w:type="character" w:customStyle="1" w:styleId="64">
    <w:name w:val="CommentTok"/>
    <w:basedOn w:val="48"/>
    <w:qFormat/>
    <w:uiPriority w:val="0"/>
    <w:rPr>
      <w:rFonts w:ascii="Consolas" w:hAnsi="Consolas"/>
      <w:i/>
      <w:color w:val="60A0B0"/>
      <w:sz w:val="22"/>
    </w:rPr>
  </w:style>
  <w:style w:type="character" w:customStyle="1" w:styleId="65">
    <w:name w:val="DocumentationTok"/>
    <w:basedOn w:val="48"/>
    <w:qFormat/>
    <w:uiPriority w:val="0"/>
    <w:rPr>
      <w:rFonts w:ascii="Consolas" w:hAnsi="Consolas"/>
      <w:i/>
      <w:color w:val="BA2121"/>
      <w:sz w:val="22"/>
    </w:rPr>
  </w:style>
  <w:style w:type="character" w:customStyle="1" w:styleId="66">
    <w:name w:val="AnnotationTok"/>
    <w:basedOn w:val="48"/>
    <w:qFormat/>
    <w:uiPriority w:val="0"/>
    <w:rPr>
      <w:rFonts w:ascii="Consolas" w:hAnsi="Consolas"/>
      <w:b/>
      <w:i/>
      <w:color w:val="60A0B0"/>
      <w:sz w:val="22"/>
    </w:rPr>
  </w:style>
  <w:style w:type="character" w:customStyle="1" w:styleId="67">
    <w:name w:val="CommentVarTok"/>
    <w:basedOn w:val="48"/>
    <w:qFormat/>
    <w:uiPriority w:val="0"/>
    <w:rPr>
      <w:rFonts w:ascii="Consolas" w:hAnsi="Consolas"/>
      <w:b/>
      <w:i/>
      <w:color w:val="60A0B0"/>
      <w:sz w:val="22"/>
    </w:rPr>
  </w:style>
  <w:style w:type="character" w:customStyle="1" w:styleId="68">
    <w:name w:val="OtherTok"/>
    <w:basedOn w:val="48"/>
    <w:qFormat/>
    <w:uiPriority w:val="0"/>
    <w:rPr>
      <w:rFonts w:ascii="Consolas" w:hAnsi="Consolas"/>
      <w:color w:val="007020"/>
      <w:sz w:val="22"/>
    </w:rPr>
  </w:style>
  <w:style w:type="character" w:customStyle="1" w:styleId="69">
    <w:name w:val="FunctionTok"/>
    <w:basedOn w:val="48"/>
    <w:qFormat/>
    <w:uiPriority w:val="0"/>
    <w:rPr>
      <w:rFonts w:ascii="Consolas" w:hAnsi="Consolas"/>
      <w:color w:val="06287E"/>
      <w:sz w:val="22"/>
    </w:rPr>
  </w:style>
  <w:style w:type="character" w:customStyle="1" w:styleId="70">
    <w:name w:val="VariableTok"/>
    <w:basedOn w:val="48"/>
    <w:qFormat/>
    <w:uiPriority w:val="0"/>
    <w:rPr>
      <w:rFonts w:ascii="Consolas" w:hAnsi="Consolas"/>
      <w:color w:val="19177C"/>
      <w:sz w:val="22"/>
    </w:rPr>
  </w:style>
  <w:style w:type="character" w:customStyle="1" w:styleId="71">
    <w:name w:val="ControlFlowTok"/>
    <w:basedOn w:val="48"/>
    <w:qFormat/>
    <w:uiPriority w:val="0"/>
    <w:rPr>
      <w:rFonts w:ascii="Consolas" w:hAnsi="Consolas"/>
      <w:b/>
      <w:color w:val="007020"/>
      <w:sz w:val="22"/>
    </w:rPr>
  </w:style>
  <w:style w:type="character" w:customStyle="1" w:styleId="72">
    <w:name w:val="OperatorTok"/>
    <w:basedOn w:val="48"/>
    <w:qFormat/>
    <w:uiPriority w:val="0"/>
    <w:rPr>
      <w:rFonts w:ascii="Consolas" w:hAnsi="Consolas"/>
      <w:color w:val="666666"/>
      <w:sz w:val="22"/>
    </w:rPr>
  </w:style>
  <w:style w:type="character" w:customStyle="1" w:styleId="73">
    <w:name w:val="BuiltInTok"/>
    <w:basedOn w:val="48"/>
    <w:qFormat/>
    <w:uiPriority w:val="0"/>
    <w:rPr>
      <w:rFonts w:ascii="Consolas" w:hAnsi="Consolas"/>
      <w:color w:val="008000"/>
      <w:sz w:val="22"/>
    </w:rPr>
  </w:style>
  <w:style w:type="character" w:customStyle="1" w:styleId="74">
    <w:name w:val="ExtensionTok"/>
    <w:basedOn w:val="48"/>
    <w:qFormat/>
    <w:uiPriority w:val="0"/>
    <w:rPr>
      <w:rFonts w:ascii="Consolas" w:hAnsi="Consolas"/>
      <w:sz w:val="22"/>
    </w:rPr>
  </w:style>
  <w:style w:type="character" w:customStyle="1" w:styleId="75">
    <w:name w:val="PreprocessorTok"/>
    <w:basedOn w:val="48"/>
    <w:qFormat/>
    <w:uiPriority w:val="0"/>
    <w:rPr>
      <w:rFonts w:ascii="Consolas" w:hAnsi="Consolas"/>
      <w:color w:val="BC7A00"/>
      <w:sz w:val="22"/>
    </w:rPr>
  </w:style>
  <w:style w:type="character" w:customStyle="1" w:styleId="76">
    <w:name w:val="AttributeTok"/>
    <w:basedOn w:val="48"/>
    <w:qFormat/>
    <w:uiPriority w:val="0"/>
    <w:rPr>
      <w:rFonts w:ascii="Consolas" w:hAnsi="Consolas"/>
      <w:color w:val="7D9029"/>
      <w:sz w:val="22"/>
    </w:rPr>
  </w:style>
  <w:style w:type="character" w:customStyle="1" w:styleId="77">
    <w:name w:val="RegionMarkerTok"/>
    <w:basedOn w:val="48"/>
    <w:qFormat/>
    <w:uiPriority w:val="0"/>
    <w:rPr>
      <w:rFonts w:ascii="Consolas" w:hAnsi="Consolas"/>
      <w:sz w:val="22"/>
    </w:rPr>
  </w:style>
  <w:style w:type="character" w:customStyle="1" w:styleId="78">
    <w:name w:val="InformationTok"/>
    <w:basedOn w:val="48"/>
    <w:qFormat/>
    <w:uiPriority w:val="0"/>
    <w:rPr>
      <w:rFonts w:ascii="Consolas" w:hAnsi="Consolas"/>
      <w:b/>
      <w:i/>
      <w:color w:val="60A0B0"/>
      <w:sz w:val="22"/>
    </w:rPr>
  </w:style>
  <w:style w:type="character" w:customStyle="1" w:styleId="79">
    <w:name w:val="WarningTok"/>
    <w:basedOn w:val="48"/>
    <w:qFormat/>
    <w:uiPriority w:val="0"/>
    <w:rPr>
      <w:rFonts w:ascii="Consolas" w:hAnsi="Consolas"/>
      <w:b/>
      <w:i/>
      <w:color w:val="60A0B0"/>
      <w:sz w:val="22"/>
    </w:rPr>
  </w:style>
  <w:style w:type="character" w:customStyle="1" w:styleId="80">
    <w:name w:val="AlertTok"/>
    <w:basedOn w:val="48"/>
    <w:qFormat/>
    <w:uiPriority w:val="0"/>
    <w:rPr>
      <w:rFonts w:ascii="Consolas" w:hAnsi="Consolas"/>
      <w:b/>
      <w:color w:val="FF0000"/>
      <w:sz w:val="22"/>
    </w:rPr>
  </w:style>
  <w:style w:type="character" w:customStyle="1" w:styleId="81">
    <w:name w:val="ErrorTok"/>
    <w:basedOn w:val="48"/>
    <w:qFormat/>
    <w:uiPriority w:val="0"/>
    <w:rPr>
      <w:rFonts w:ascii="Consolas" w:hAnsi="Consolas"/>
      <w:b/>
      <w:color w:val="FF0000"/>
      <w:sz w:val="22"/>
    </w:rPr>
  </w:style>
  <w:style w:type="character" w:customStyle="1" w:styleId="82">
    <w:name w:val="NormalTok"/>
    <w:basedOn w:val="48"/>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header" Target="header22.xml"/><Relationship Id="rId33" Type="http://schemas.openxmlformats.org/officeDocument/2006/relationships/header" Target="header21.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63</Pages>
  <Words>5872</Words>
  <Characters>8698</Characters>
  <Lines>410</Lines>
  <Paragraphs>115</Paragraphs>
  <TotalTime>7</TotalTime>
  <ScaleCrop>false</ScaleCrop>
  <LinksUpToDate>false</LinksUpToDate>
  <CharactersWithSpaces>9439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2026-02-25T04:03:00Z</dcterms:created>
  <dc:creator>老毕</dc:creator>
  <cp:lastModifiedBy>郭宏亮</cp:lastModifiedBy>
  <dcterms:modified xsi:type="dcterms:W3CDTF">2026-02-28T02:52:01Z</dcterms:modified>
  <dc:title>视觉力学传感器企业战略转型研究——以HSM为例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宋教授</vt:lpwstr>
  </property>
  <property fmtid="{D5CDD505-2E9C-101B-9397-08002B2CF9AE}" pid="3" name="date">
    <vt:lpwstr>2026年2月</vt:lpwstr>
  </property>
  <property fmtid="{D5CDD505-2E9C-101B-9397-08002B2CF9AE}" pid="4" name="header-includes">
    <vt:lpwstr/>
  </property>
  <property fmtid="{D5CDD505-2E9C-101B-9397-08002B2CF9AE}" pid="5" name="program">
    <vt:lpwstr>高级管理人员工商管理硕士（EMBA）</vt:lpwstr>
  </property>
  <property fmtid="{D5CDD505-2E9C-101B-9397-08002B2CF9AE}" pid="6" name="school">
    <vt:lpwstr>北京大学汇丰商学院</vt:lpwstr>
  </property>
  <property fmtid="{D5CDD505-2E9C-101B-9397-08002B2CF9AE}" pid="7" name="subtitle">
    <vt:lpwstr>硕士学位论文</vt:lpwstr>
  </property>
  <property fmtid="{D5CDD505-2E9C-101B-9397-08002B2CF9AE}" pid="8" name="KSOTemplateDocerSaveRecord">
    <vt:lpwstr>eyJoZGlkIjoiMDA0ZjczZDM2YjFlOGVkNzc2NmZjMzg4ZTM5Yjk4YmEiLCJ1c2VySWQiOiIxNjg1ODYxMzcwIn0=</vt:lpwstr>
  </property>
  <property fmtid="{D5CDD505-2E9C-101B-9397-08002B2CF9AE}" pid="9" name="KSOProductBuildVer">
    <vt:lpwstr>2052-12.1.0.24034</vt:lpwstr>
  </property>
  <property fmtid="{D5CDD505-2E9C-101B-9397-08002B2CF9AE}" pid="10" name="ICV">
    <vt:lpwstr>974999CC2C884759B068BEAF9983079A_12</vt:lpwstr>
  </property>
</Properties>
</file>