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导师：[请在此处填写导师姓名]</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40" w:name="第一章-绪论"/>
    <w:p>
      <w:pPr>
        <w:pStyle w:val="2"/>
      </w:pPr>
      <w:r>
        <w:t xml:space="preserve">第一章 绪论</w:t>
      </w:r>
    </w:p>
    <w:bookmarkStart w:id="25"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5"/>
    <w:bookmarkStart w:id="26"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6"/>
    <w:bookmarkStart w:id="27"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7"/>
    <w:bookmarkStart w:id="28"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8"/>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r>
        <w:t xml:space="preserve"> </w:t>
      </w:r>
      <w:r>
        <w:t xml:space="preserve"># 第三章 HSM公司概况与行业环境分析</w:t>
      </w:r>
    </w:p>
    <w:bookmarkEnd w:id="31"/>
    <w:bookmarkStart w:id="32" w:name="hsm公司发展历程"/>
    <w:p>
      <w:pPr>
        <w:pStyle w:val="3"/>
      </w:pPr>
      <w:r>
        <w:t xml:space="preserve">3.1 HSM公司发展历程</w:t>
      </w:r>
    </w:p>
    <w:p>
      <w:pPr>
        <w:pStyle w:val="FirstParagraph"/>
      </w:pPr>
      <w:r>
        <w:rPr>
          <w:bCs/>
          <w:b/>
        </w:rPr>
        <w:t xml:space="preserve">公司创立背景与愿景</w:t>
      </w:r>
      <w:r>
        <w:t xml:space="preserve">。深圳市海塞姆科技有限公司（简称HSM）成立于2020年6月，由李长太创立。公司名称”海塞姆”取自英文”Haytham”的音译，寓意”智慧之光”。创始人李长太拥有深厚的机器视觉技术背景，曾在清华大学、北京航空航天大学等高校从事DIC技术研究多年，积累了丰富的理论知识和实践经验。创立初衷包括：解决传统DIC设备价格昂贵、操作复杂、难以大规模应用的问题；将实验室技术转化为标准化、智能化的工业产品；推动中国在机器视觉传感器领域的自主创新和产业升级。企业愿景包括：成为全球领先的DIC视觉传感技术方案提供商；</w:t>
      </w:r>
      <w:r>
        <w:t xml:space="preserve">“</w:t>
      </w:r>
      <w:r>
        <w:t xml:space="preserve">点亮机器的眼睛</w:t>
      </w:r>
      <w:r>
        <w:t xml:space="preserve">”</w:t>
      </w:r>
      <w:r>
        <w:t xml:space="preserve">，让机器拥有精准的视觉感知能力；推动DIC技术在各行各业的普及应用，赋能产业数字化转型。</w:t>
      </w:r>
    </w:p>
    <w:p>
      <w:pPr>
        <w:pStyle w:val="BodyText"/>
      </w:pPr>
      <w:r>
        <w:rPr>
          <w:bCs/>
          <w:b/>
        </w:rPr>
        <w:t xml:space="preserve">技术发展路径（第一代到第三代DIC）</w:t>
      </w:r>
      <w:r>
        <w:t xml:space="preserve">。HSM公司的技术发展遵循着清晰的演进路径，实现了从技术追随者到技术引领者的跨越。第一阶段：技术积累与原型开发（2020-2021），基于创始人20年的DIC技术积累，开发单目三维DIC算法原型，突破传统双目DIC的技术局限，大幅降低硬件成本和系统复杂度，完成核心技术专利布局，构建技术壁垒。第二阶段：产品化与市场验证（2021-2022），推出第一代标准化DIC视觉应变仪产品，在材料测试、结构测试等领域进行客户验证，获得首批种子客户认可，验证产品市场可行性。第三阶段：技术升级与生态构建（2022-2023），发布第二代产品，集成人工智能算法，实现自动化测量，与深圳大学智能光测研究院等科研机构建立战略合作，构建”硬件+软件+服务”的一体化解决方案能力。第四阶段：平台化与国际化（2023-至今），推出第三代DIC技术，实现技术的标准化和平台化，拓展国际市场，服务全球客户，构建DIC技术生态圈，推动行业共同发展。</w:t>
      </w:r>
    </w:p>
    <w:p>
      <w:pPr>
        <w:pStyle w:val="BodyText"/>
      </w:pPr>
      <w:r>
        <w:rPr>
          <w:bCs/>
          <w:b/>
        </w:rPr>
        <w:t xml:space="preserve">组织架构演变</w:t>
      </w:r>
      <w:r>
        <w:t xml:space="preserve">。HSM公司的组织架构随着业务发展不断优化调整。初创期（2020-2021）为扁平化研发团队：以技术研发为核心，创始人直接管理研发团队，团队规模约10-20人，全部为技术研发人员，聚焦核心算法和产品原型开发。成长期（2021-2022）为职能化分工：设立研发部、产品部、市场部、销售部等职能部门，团队规模扩展至30-50人，引入市场和管理人才，建立基本的管理制度和流程体系。扩张期（2022-至今）为矩阵式组织：总部位于深圳，北京设有研发中心，绵阳设有生产基地，在北京、上海、西安、成都、武汉、无锡和长春设有办事处，团队规模超过100人，形成研发、生产、销售、服务的完整体系，建立项目管理机制，提升跨部门协作效率。</w:t>
      </w:r>
    </w:p>
    <w:p>
      <w:pPr>
        <w:pStyle w:val="BodyText"/>
      </w:pPr>
      <w:r>
        <w:rPr>
          <w:bCs/>
          <w:b/>
        </w:rPr>
        <w:t xml:space="preserve">关键里程碑事件</w:t>
      </w:r>
      <w:r>
        <w:t xml:space="preserve">。HSM公司发展过程中的关键里程碑事件如下表所示：</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时间</w:t>
            </w:r>
          </w:p>
        </w:tc>
        <w:tc>
          <w:tcPr/>
          <w:p>
            <w:pPr>
              <w:pStyle w:val="Compact"/>
              <w:jc w:val="left"/>
            </w:pPr>
            <w:r>
              <w:t xml:space="preserve">里程碑事件</w:t>
            </w:r>
          </w:p>
        </w:tc>
        <w:tc>
          <w:tcPr/>
          <w:p>
            <w:pPr>
              <w:pStyle w:val="Compact"/>
              <w:jc w:val="left"/>
            </w:pPr>
            <w:r>
              <w:t xml:space="preserve">意义</w:t>
            </w:r>
          </w:p>
        </w:tc>
      </w:tr>
      <w:tr>
        <w:tc>
          <w:tcPr/>
          <w:p>
            <w:pPr>
              <w:pStyle w:val="Compact"/>
              <w:jc w:val="left"/>
            </w:pPr>
            <w:r>
              <w:t xml:space="preserve">2020年6月</w:t>
            </w:r>
          </w:p>
        </w:tc>
        <w:tc>
          <w:tcPr/>
          <w:p>
            <w:pPr>
              <w:pStyle w:val="Compact"/>
              <w:jc w:val="left"/>
            </w:pPr>
            <w:r>
              <w:t xml:space="preserve">公司成立，全球首创单目三维DIC技术</w:t>
            </w:r>
          </w:p>
        </w:tc>
        <w:tc>
          <w:tcPr/>
          <w:p>
            <w:pPr>
              <w:pStyle w:val="Compact"/>
              <w:jc w:val="left"/>
            </w:pPr>
            <w:r>
              <w:t xml:space="preserve">技术路线确立，开启创业征程</w:t>
            </w:r>
          </w:p>
        </w:tc>
      </w:tr>
      <w:tr>
        <w:tc>
          <w:tcPr/>
          <w:p>
            <w:pPr>
              <w:pStyle w:val="Compact"/>
              <w:jc w:val="left"/>
            </w:pPr>
            <w:r>
              <w:t xml:space="preserve">2021年</w:t>
            </w:r>
          </w:p>
        </w:tc>
        <w:tc>
          <w:tcPr/>
          <w:p>
            <w:pPr>
              <w:pStyle w:val="Compact"/>
              <w:jc w:val="left"/>
            </w:pPr>
            <w:r>
              <w:t xml:space="preserve">推出第一代标准化DIC视觉应变仪</w:t>
            </w:r>
          </w:p>
        </w:tc>
        <w:tc>
          <w:tcPr/>
          <w:p>
            <w:pPr>
              <w:pStyle w:val="Compact"/>
              <w:jc w:val="left"/>
            </w:pPr>
            <w:r>
              <w:t xml:space="preserve">完成从技术到产品的跨越</w:t>
            </w:r>
          </w:p>
        </w:tc>
      </w:tr>
      <w:tr>
        <w:tc>
          <w:tcPr/>
          <w:p>
            <w:pPr>
              <w:pStyle w:val="Compact"/>
              <w:jc w:val="left"/>
            </w:pPr>
            <w:r>
              <w:t xml:space="preserve">2022年</w:t>
            </w:r>
          </w:p>
        </w:tc>
        <w:tc>
          <w:tcPr/>
          <w:p>
            <w:pPr>
              <w:pStyle w:val="Compact"/>
              <w:jc w:val="left"/>
            </w:pPr>
            <w:r>
              <w:t xml:space="preserve">获得首轮融资，发布第二代智能产品</w:t>
            </w:r>
          </w:p>
        </w:tc>
        <w:tc>
          <w:tcPr/>
          <w:p>
            <w:pPr>
              <w:pStyle w:val="Compact"/>
              <w:jc w:val="left"/>
            </w:pPr>
            <w:r>
              <w:t xml:space="preserve">资本认可，技术升级</w:t>
            </w:r>
          </w:p>
        </w:tc>
      </w:tr>
      <w:tr>
        <w:tc>
          <w:tcPr/>
          <w:p>
            <w:pPr>
              <w:pStyle w:val="Compact"/>
              <w:jc w:val="left"/>
            </w:pPr>
            <w:r>
              <w:t xml:space="preserve">2023年</w:t>
            </w:r>
          </w:p>
        </w:tc>
        <w:tc>
          <w:tcPr/>
          <w:p>
            <w:pPr>
              <w:pStyle w:val="Compact"/>
              <w:jc w:val="left"/>
            </w:pPr>
            <w:r>
              <w:t xml:space="preserve">荣获深圳市种子独角兽企业</w:t>
            </w:r>
          </w:p>
        </w:tc>
        <w:tc>
          <w:tcPr/>
          <w:p>
            <w:pPr>
              <w:pStyle w:val="Compact"/>
              <w:jc w:val="left"/>
            </w:pPr>
            <w:r>
              <w:t xml:space="preserve">政府和社会认可，进入高速成长期</w:t>
            </w:r>
          </w:p>
        </w:tc>
      </w:tr>
      <w:tr>
        <w:tc>
          <w:tcPr/>
          <w:p>
            <w:pPr>
              <w:pStyle w:val="Compact"/>
              <w:jc w:val="left"/>
            </w:pPr>
            <w:r>
              <w:t xml:space="preserve">2024年</w:t>
            </w:r>
          </w:p>
        </w:tc>
        <w:tc>
          <w:tcPr/>
          <w:p>
            <w:pPr>
              <w:pStyle w:val="Compact"/>
              <w:jc w:val="left"/>
            </w:pPr>
            <w:r>
              <w:t xml:space="preserve">单目三维视频引伸计通过科技成果评价，获评”国内领先”</w:t>
            </w:r>
          </w:p>
        </w:tc>
        <w:tc>
          <w:tcPr/>
          <w:p>
            <w:pPr>
              <w:pStyle w:val="Compact"/>
              <w:jc w:val="left"/>
            </w:pPr>
            <w:r>
              <w:t xml:space="preserve">技术达到行业领先水平</w:t>
            </w:r>
          </w:p>
        </w:tc>
      </w:tr>
      <w:tr>
        <w:tc>
          <w:tcPr/>
          <w:p>
            <w:pPr>
              <w:pStyle w:val="Compact"/>
              <w:jc w:val="left"/>
            </w:pPr>
            <w:r>
              <w:t xml:space="preserve">2024年</w:t>
            </w:r>
          </w:p>
        </w:tc>
        <w:tc>
          <w:tcPr/>
          <w:p>
            <w:pPr>
              <w:pStyle w:val="Compact"/>
              <w:jc w:val="left"/>
            </w:pPr>
            <w:r>
              <w:t xml:space="preserve">创始人李长太荣获日内瓦国际发明展银奖</w:t>
            </w:r>
          </w:p>
        </w:tc>
        <w:tc>
          <w:tcPr/>
          <w:p>
            <w:pPr>
              <w:pStyle w:val="Compact"/>
              <w:jc w:val="left"/>
            </w:pPr>
            <w:r>
              <w:t xml:space="preserve">国际技术创新认可</w:t>
            </w:r>
          </w:p>
        </w:tc>
      </w:tr>
      <w:tr>
        <w:tc>
          <w:tcPr/>
          <w:p>
            <w:pPr>
              <w:pStyle w:val="Compact"/>
              <w:jc w:val="left"/>
            </w:pPr>
            <w:r>
              <w:t xml:space="preserve">2025年</w:t>
            </w:r>
          </w:p>
        </w:tc>
        <w:tc>
          <w:tcPr/>
          <w:p>
            <w:pPr>
              <w:pStyle w:val="Compact"/>
              <w:jc w:val="left"/>
            </w:pPr>
            <w:r>
              <w:t xml:space="preserve">入选福布斯中国投资价值初创企业100强</w:t>
            </w:r>
          </w:p>
        </w:tc>
        <w:tc>
          <w:tcPr/>
          <w:p>
            <w:pPr>
              <w:pStyle w:val="Compact"/>
              <w:jc w:val="left"/>
            </w:pPr>
            <w:r>
              <w:t xml:space="preserve">投资价值得到权威认可</w:t>
            </w:r>
          </w:p>
        </w:tc>
      </w:tr>
      <w:tr>
        <w:tc>
          <w:tcPr/>
          <w:p>
            <w:pPr>
              <w:pStyle w:val="Compact"/>
              <w:jc w:val="left"/>
            </w:pPr>
            <w:r>
              <w:t xml:space="preserve">2025年</w:t>
            </w:r>
          </w:p>
        </w:tc>
        <w:tc>
          <w:tcPr/>
          <w:p>
            <w:pPr>
              <w:pStyle w:val="Compact"/>
              <w:jc w:val="left"/>
            </w:pPr>
            <w:r>
              <w:t xml:space="preserve">荣获第十四届财经峰会卓越成长价值奖</w:t>
            </w:r>
          </w:p>
        </w:tc>
        <w:tc>
          <w:tcPr/>
          <w:p>
            <w:pPr>
              <w:pStyle w:val="Compact"/>
              <w:jc w:val="left"/>
            </w:pPr>
            <w:r>
              <w:t xml:space="preserve">商业价值和社会贡献认可</w:t>
            </w:r>
          </w:p>
        </w:tc>
      </w:tr>
      <w:tr>
        <w:tc>
          <w:tcPr/>
          <w:p>
            <w:pPr>
              <w:pStyle w:val="Compact"/>
              <w:jc w:val="left"/>
            </w:pPr>
            <w:r>
              <w:t xml:space="preserve">2025年</w:t>
            </w:r>
          </w:p>
        </w:tc>
        <w:tc>
          <w:tcPr/>
          <w:p>
            <w:pPr>
              <w:pStyle w:val="Compact"/>
              <w:jc w:val="left"/>
            </w:pPr>
            <w:r>
              <w:t xml:space="preserve">入选粤港澳大湾区科创专精特新标杆企业TOP100</w:t>
            </w:r>
          </w:p>
        </w:tc>
        <w:tc>
          <w:tcPr/>
          <w:p>
            <w:pPr>
              <w:pStyle w:val="Compact"/>
              <w:jc w:val="left"/>
            </w:pPr>
            <w:r>
              <w:t xml:space="preserve">区域创新领军地位确立</w:t>
            </w:r>
          </w:p>
        </w:tc>
      </w:tr>
    </w:tbl>
    <w:bookmarkEnd w:id="32"/>
    <w:bookmarkStart w:id="33" w:name="视觉力学传感器行业分析"/>
    <w:p>
      <w:pPr>
        <w:pStyle w:val="3"/>
      </w:pPr>
      <w:r>
        <w:t xml:space="preserve">3.2 视觉力学传感器行业分析</w:t>
      </w:r>
    </w:p>
    <w:p>
      <w:pPr>
        <w:pStyle w:val="FirstParagraph"/>
      </w:pPr>
      <w:r>
        <w:rPr>
          <w:bCs/>
          <w:b/>
        </w:rPr>
        <w:t xml:space="preserve">宏观环境分析（PEST分析）</w:t>
      </w:r>
      <w:r>
        <w:t xml:space="preserve">。政治环境方面：国家高度重视传感器产业发展，《</w:t>
      </w:r>
      <w:r>
        <w:t xml:space="preserve">“</w:t>
      </w:r>
      <w:r>
        <w:t xml:space="preserve">十四五</w:t>
      </w:r>
      <w:r>
        <w:t xml:space="preserve">”</w:t>
      </w:r>
      <w:r>
        <w:t xml:space="preserve">智能制造发展规划》等政策明确提出支持高端传感器研发和产业化；深圳等地方政府出台专项扶持政策，支持硬科技企业创新发展；国家加快传感器行业标准体系建设，为产业发展提供规范指引。经济环境方面：制造业转型升级、智能制造推进，对视觉力学传感器的需求持续增长；硬科技投资成为热点，传感器领域吸引大量资本关注；原材料价格上涨、人力成本增加，对企业成本控制提出更高要求。社会环境方面：机器视觉、人工智能等技术普及，提高了社会对视觉传感器的认知和接受度；高校加强相关专业建设，但复合型技术人才仍然短缺；社会对生产安全、结构安全、环境安全的关注度提高，推动安全监测市场需求。技术环境方面：人工智能、大数据、云计算等技术与传感器技术深度融合；新材料、新工艺、新算法不断涌现，推动传感器技术快速迭代；从定制化向标准化、模块化发展，降低应用门槛。</w:t>
      </w:r>
    </w:p>
    <w:p>
      <w:pPr>
        <w:pStyle w:val="BodyText"/>
      </w:pPr>
      <w:r>
        <w:rPr>
          <w:bCs/>
          <w:b/>
        </w:rPr>
        <w:t xml:space="preserve">市场规模与增长预测</w:t>
      </w:r>
      <w:r>
        <w:t xml:space="preserve">。根据行业研究数据，视觉力学传感器市场呈现快速增长态势。全球市场规模方面：根据《2025年全球市场数字图像相关（DIC）系统总体规模》研究报告，2024年全球DIC视觉传感器市场规模约为85亿元，预计2031年将达到150亿元，2025-2031年复合年增长率（CAGR）为8.5%。中国市场表现方面：2024年中国DIC视觉传感器市场规模约为30亿元，占全球35%，中国成为全球最大的单一市场，增长速度快于全球平均水平，预计到2031年中国市场规模将达到60亿元，年复合增长率约10%。市场驱动因素包括：（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p>
      <w:pPr>
        <w:pStyle w:val="BodyText"/>
      </w:pPr>
      <w:r>
        <w:rPr>
          <w:bCs/>
          <w:b/>
        </w:rPr>
        <w:t xml:space="preserve">主要应用领域分析</w:t>
      </w:r>
      <w:r>
        <w:t xml:space="preserve">。视觉力学传感器的主要应用领域包括：（1）材料测试领域：应用场景为金属材料、复合材料、生物材料等的力学性能测试；技术要求为高精度、高稳定性、可重复性；市场特点为科研需求为主，对精度要求最高，价格敏感度相对较低。（2）结构测试领域：应用场景为汽车、航空航天、建筑、桥梁等结构强度测试；技术要求为大尺寸测量、复杂环境适应、长期稳定性；市场特点为工程应用为主，注重可靠性和实用性。（3）安全检测与监测领域：应用场景为基础设施安全监测、工业设备状态监控、地质灾害预警；技术要求为实时性、远程监控、智能预警；市场特点为政府和企业采购为主，注重系统解决方案。（4）工业在线测量领域：应用场景为智能制造、质量控制、过程监控；技术要求为高速测量、自动化集成、易用性；市场特点为批量采购，对性价比和稳定性要求高。（5）科研教育领域：应用场景为高校、科研院所的实验教学和科学研究；技术要求为教学友好、功能全面、扩展性强；市场特点为分散采购，注重教学功能和研究价值。</w:t>
      </w:r>
    </w:p>
    <w:p>
      <w:pPr>
        <w:pStyle w:val="BodyText"/>
      </w:pPr>
      <w:r>
        <w:rPr>
          <w:bCs/>
          <w:b/>
        </w:rPr>
        <w:t xml:space="preserve">技术发展趋势</w:t>
      </w:r>
      <w:r>
        <w:t xml:space="preserve">。技术发展趋势包括短期趋势（1-3年）：智能化升级（人工智能算法与DIC技术的深度融合，实现自动化分析和智能诊断）；标准化推广（标准化产品成为主流，降低用户使用门槛）；云端服务（数据上云，提供远程监控和数据分析服务）。中期趋势（3-5年）：多模态融合（DIC与其他传感技术如声学、热成像的融合应用）；微型化集成（设备小型化、轻量化，适应更多应用场景）；实时化处理（从离线分析向在线实时监测发展）。长期趋势（5年以上）：全息化测量（从二维、三维向更高维度的测量发展）；预测性维护（基于数据分析和机器学习，实现预测性维护和智能决策）；生态化发展（构建开放的技术生态和产业生态）。</w:t>
      </w:r>
    </w:p>
    <w:bookmarkEnd w:id="33"/>
    <w:bookmarkStart w:id="34" w:name="竞争环境分析"/>
    <w:p>
      <w:pPr>
        <w:pStyle w:val="3"/>
      </w:pPr>
      <w:r>
        <w:t xml:space="preserve">3.3 竞争环境分析</w:t>
      </w:r>
    </w:p>
    <w:p>
      <w:pPr>
        <w:pStyle w:val="FirstParagraph"/>
      </w:pPr>
      <w:r>
        <w:rPr>
          <w:bCs/>
          <w:b/>
        </w:rPr>
        <w:t xml:space="preserve">主要竞争对手分析</w:t>
      </w:r>
      <w:r>
        <w:t xml:space="preserve">。竞争对手包括国际竞争对手和国内竞争对手。国际竞争对手方面：（1）德国GOM公司：优势为技术积累深厚、品牌影响力强、全球销售网络完善；劣势为价格昂贵、对中国市场响应慢、产品标准化程度低；市场定位为高端科研和工业应用。（2）美国Correlated Solutions公司：优势为软件算法先进、测量精度高、学术影响力强；劣势为硬件依赖第三方、系统集成度低、市场推广不足；市场定位为科研机构和高端工业用户。（3）日本Keyence公司：优势为产品线丰富、市场响应快、服务网络完善；劣势为DIC非核心业务、技术深度有限、定制化能力弱；市场定位为工业自动化市场。国内竞争对手方面：（1）中科检测技术有限公司：优势为国有背景、资源丰富、检测资质齐全；劣势为技术创新不足、市场化程度低、响应速度慢；市场定位为政府项目和大型企业检测服务。（2）华测检测认证集团：优势为检测网络完善、品牌知名度高、资本实力强；劣势为DIC非核心业务、技术积累有限、产品化能力弱；市场定位为综合检测服务提供商。（3）亿维股份（深圳亿维锐创科技股份有限公司）：优势为AI视觉监测技术领先，</w:t>
      </w:r>
      <w:r>
        <w:t xml:space="preserve">“</w:t>
      </w:r>
      <w:r>
        <w:t xml:space="preserve">AI在线视觉监测仪</w:t>
      </w:r>
      <w:r>
        <w:t xml:space="preserve">”</w:t>
      </w:r>
      <w:r>
        <w:t xml:space="preserve">荣获中国公路学会2025年技术创新大赛一等奖，斜光轴DIC技术突破；劣势为成立时间较短，品牌影响力仍在建立中；市场定位为交通基础设施安全监测。（4）基康仪器：优势为智能安全监测领域领军者，国家级专精特新”小巨人”企业，机器视觉变形监测系统已在水利能源、交通等行业取得应用；劣势为传统监测企业转型，视觉监测技术积累相对较浅；市场定位为智能安全监测终端和系统解决方案。（5）其他创业公司：优势为专注细分领域、创新灵活、成本优势；劣势为规模小、资源有限、品牌影响力弱；市场定位为特定应用场景和细分市场。</w:t>
      </w:r>
    </w:p>
    <w:p>
      <w:pPr>
        <w:pStyle w:val="BodyText"/>
      </w:pPr>
      <w:r>
        <w:rPr>
          <w:bCs/>
          <w:b/>
        </w:rPr>
        <w:t xml:space="preserve">波特五力模型分析</w:t>
      </w:r>
      <w:r>
        <w:t xml:space="preserve">。波特五力模型分析包括：（1）供应商议价能力（中等）：光学元件、图像传感器等核心部件存在多家供应商；高端部件仍依赖进口，供应商议价能力较强；随着国产替代推进，供应商议价能力逐步下降。（2）购买者议价能力（中等偏高）：大型客户采购批量大，议价能力强；中小客户分散，议价能力相对较弱；产品差异化程度提高，可适当降低购买者议价压力。（3）新进入者威胁（中等）：技术门槛较高，需要光学、机械、电子、软件等多学科交叉知识；资金需求较大，研发投入和市场营销需要持续投入；品牌和渠道建设需要时间积累；但AI、云计算等新技术可能催生新的进入者。（4）替代品威胁（较低）：传统接触式测量方法精度低、效率低、应用受限；其他非接触测量技术如激光扫描、摄影测量等各有局限性；DIC技术在全场测量、精度、成本等方面具有综合优势。（5）行业内竞争程度（激烈）：国际巨头技术领先、品牌强大；国内企业价格竞争激烈，同质化严重；差异化竞争和技术创新成为关键。</w:t>
      </w:r>
    </w:p>
    <w:p>
      <w:pPr>
        <w:pStyle w:val="BodyText"/>
      </w:pPr>
      <w:r>
        <w:rPr>
          <w:bCs/>
          <w:b/>
        </w:rPr>
        <w:t xml:space="preserve">HSWOT分析</w:t>
      </w:r>
      <w:r>
        <w:t xml:space="preserve">。HSWOT分析包括历史优势、现状优势、未来机会、现状劣势和未来威胁。历史优势包括：深厚的技术积累和创新能力；创始团队的技术背景和行业经验；先发优势，率先实现单目三维DIC技术突破。现状优势包括：技术领先，第三代DIC技术达到国内领先水平；产品标准化程度高，成本优势明显；客户基础扎实，服务超过1000家客户；品牌影响力提升，获得多项荣誉认可。未来机会包括：智能制造、数字化转型带来的市场机遇；国产替代政策支持，国内市场空间巨大；国际化拓展，进军全球市场；技术生态构建，平台化发展。现状劣势包括：规模相对较小，资源有限；国际品牌影响力不足；高端人才短缺，特别是国际化人才；融资渠道相对单一。未来威胁包括：国际竞争对手加大中国市场投入；技术快速迭代带来的创新压力；宏观经济波动影响市场需求；政策变化带来的不确定性。</w:t>
      </w:r>
    </w:p>
    <w:p>
      <w:pPr>
        <w:pStyle w:val="BodyText"/>
      </w:pPr>
      <w:r>
        <w:rPr>
          <w:bCs/>
          <w:b/>
        </w:rPr>
        <w:t xml:space="preserve">竞争格局与发展机遇</w:t>
      </w:r>
      <w:r>
        <w:t xml:space="preserve">。当前竞争格局分为三个梯队：第一梯队为国际巨头（GOM、Correlated Solutions等），技术领先但价格昂贵；第二梯队为国内领先企业（HSM、亿维股份、基康仪器等），技术接近国际水平，性价比高，在细分领域各有优势；第三梯队为其他国内企业，技术相对落后，以价格竞争为主。HSM的竞争策略包括：技术差异化（坚持技术创新，保持技术领先优势）；成本领先（通过标准化、规模化降低生产成本）；市场聚焦（深耕重点行业和重点客户，建立标杆案例）；服务增值（提供”硬件+软件+服务”的一体化解决方案）。发展机遇包括：政策机遇（国家大力支持硬科技创新和国产替代）；市场机遇（制造业转型升级、智能制造推进带来的增量市场）；技术机遇（人工智能、云计算等新技术与DIC技术的融合创新）；资本机遇（硬科技投资热度上升，融资环境改善）。</w:t>
      </w:r>
    </w:p>
    <w:bookmarkEnd w:id="34"/>
    <w:bookmarkStart w:id="35"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视觉安全监测作为视觉力学传感器的重要应用领域，在桥梁、隧道、边坡等基础设施安全监测中发挥着关键作用。本节将对这三个主要应用场景进行深度分析。</w:t>
      </w:r>
    </w:p>
    <w:p>
      <w:pPr>
        <w:pStyle w:val="BodyText"/>
      </w:pPr>
      <w:r>
        <w:rPr>
          <w:bCs/>
          <w:b/>
        </w:rPr>
        <w:t xml:space="preserve">桥梁健康监测市场分析</w:t>
      </w:r>
      <w:r>
        <w:t xml:space="preserve">。桥梁作为交通基础设施的关键节点，其安全监测需求持续增长。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技术方案方面，视觉位移监测主要监测桥梁的挠度（竖向位移）和横向位移，DIC技术能够实现全场、非接触、高精度测量，特别适用于大跨度桥梁的长期健康监测。主要厂商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政策支持方面，交通运输部《</w:t>
      </w:r>
      <w:r>
        <w:t xml:space="preserve">“</w:t>
      </w:r>
      <w:r>
        <w:t xml:space="preserve">十四五</w:t>
      </w:r>
      <w:r>
        <w:t xml:space="preserve">”</w:t>
      </w:r>
      <w:r>
        <w:t xml:space="preserve">公路养护管理发展规划》明确提出推进桥梁隧道智能监测技术应用，为视觉监测技术提供了政策支持。</w:t>
      </w:r>
    </w:p>
    <w:p>
      <w:pPr>
        <w:pStyle w:val="BodyText"/>
      </w:pPr>
      <w:r>
        <w:rPr>
          <w:bCs/>
          <w:b/>
        </w:rPr>
        <w:t xml:space="preserve">隧道收敛监测市场分析</w:t>
      </w:r>
      <w:r>
        <w:t xml:space="preserve">。隧道作为地下交通基础设施，其结构安全监测至关重要。根据《全球及中国隧道运行监测系统市场规模及”十五五”前景规划分析报告》，2024年全球隧道运行监测系统市场规模约为45亿美元，预计2031年将达到68亿美元，年复合增长率约6%。中国市场占全球市场的30%以上，是最大的单一市场。隧道监测主要关注收敛变形（横断面尺寸变化）和沉降位移，视觉监测技术能够实现非接触、全天候监测，避免人工进入危险环境。技术需求方面，隧道环境光照条件差、湿度大、空间受限，对视觉监测系统的环境适应性要求较高。主要厂商包括隧道工程监测企业（如唐源电气等）和视觉监测技术提供商。应用案例方面，视觉监测技术已在地铁隧道、公路隧道、铁路隧道等场景得到应用，实现了从人工巡检向自动化监测的转变。</w:t>
      </w:r>
    </w:p>
    <w:p>
      <w:pPr>
        <w:pStyle w:val="BodyText"/>
      </w:pPr>
      <w:r>
        <w:rPr>
          <w:bCs/>
          <w:b/>
        </w:rPr>
        <w:t xml:space="preserve">边坡位移监测市场分析</w:t>
      </w:r>
      <w:r>
        <w:t xml:space="preserve">。边坡地质灾害监测是视觉安全监测的重要应用领域。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技术方案方面，视觉监测结合无人机航拍可实现大范围边坡巡查，固定式视觉监测站可实现重点区域连续监测。主要厂商包括岩土工程监测企业、地质灾害监测机构和视觉技术提供商。发展趋势方面，随着”空天地一体化”监测体系的构建，视觉监测技术与InSAR、GNSS等技术的融合应用成为发展方向。</w:t>
      </w:r>
    </w:p>
    <w:p>
      <w:pPr>
        <w:pStyle w:val="BodyText"/>
      </w:pPr>
      <w:r>
        <w:rPr>
          <w:bCs/>
          <w:b/>
        </w:rPr>
        <w:t xml:space="preserve">国家政策环境分析</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此外，《</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综合交通运输体系发展规划》等政策文件均明确提出加强基础设施安全监测能力建设，推广智能感知、物联网、大数据等技术在安全监测领域的应用。政策支持为视觉安全监测行业发展创造了良好的外部环境。</w:t>
      </w:r>
    </w:p>
    <w:p>
      <w:pPr>
        <w:pStyle w:val="BodyText"/>
      </w:pPr>
      <w:r>
        <w:rPr>
          <w:bCs/>
          <w:b/>
        </w:rPr>
        <w:t xml:space="preserve">技术发展趋势与市场机遇</w:t>
      </w:r>
      <w:r>
        <w:t xml:space="preserve">。视觉安全监测技术正朝着智能化、集成化、标准化方向发展：（1）智能化：人工智能算法与DIC技术深度融合，实现自动化缺陷识别、智能预警；（2）集成化：视觉监测与声学、热成像、振动等多传感技术融合，形成多模态监测系统；（3）标准化：行业标准体系逐步完善，推动产品标准化和规模化应用。市场机遇方面，随着新型城镇化、交通强国、数字中国等国家战略的推进，基础设施安全监测市场需求将持续增长。预计到2027年，中国基础设施安全监测市场规模将突破1500亿元，其中视觉监测技术市场份额有望从2024年的35%提升至50%以上，技术替代效应显著。</w:t>
      </w:r>
    </w:p>
    <w:bookmarkEnd w:id="35"/>
    <w:bookmarkStart w:id="36" w:name="关键数据可视化分析"/>
    <w:p>
      <w:pPr>
        <w:pStyle w:val="3"/>
      </w:pPr>
      <w:r>
        <w:t xml:space="preserve">3.5 关键数据可视化分析</w:t>
      </w:r>
    </w:p>
    <w:p>
      <w:pPr>
        <w:pStyle w:val="FirstParagraph"/>
      </w:pPr>
      <w:r>
        <w:t xml:space="preserve">为更直观地展示视觉力学传感器行业的发展趋势和市场规模，本节通过数据可视化方式呈现关键指标。以下图表基于前文分析数据绘制，建议在最终论文版本中插入相应的数据图表。</w:t>
      </w:r>
    </w:p>
    <w:p>
      <w:pPr>
        <w:pStyle w:val="BodyText"/>
      </w:pPr>
      <w:r>
        <w:rPr>
          <w:bCs/>
          <w:b/>
        </w:rPr>
        <w:t xml:space="preserve">图3-1 全球与中国DIC视觉传感器市场规模增长趋势（2024-2031年）</w:t>
      </w:r>
    </w:p>
    <w:p>
      <w:pPr>
        <w:pStyle w:val="SourceCode"/>
      </w:pPr>
      <w:r>
        <w:rPr>
          <w:rStyle w:val="VerbatimChar"/>
        </w:rPr>
        <w:t xml:space="preserve">gantt</w:t>
      </w:r>
      <w:r>
        <w:br/>
      </w:r>
      <w:r>
        <w:rPr>
          <w:rStyle w:val="VerbatimChar"/>
        </w:rPr>
        <w:t xml:space="preserve">    title 全球与中国DIC视觉传感器市场规模增长趋势（亿元）</w:t>
      </w:r>
      <w:r>
        <w:br/>
      </w:r>
      <w:r>
        <w:rPr>
          <w:rStyle w:val="VerbatimChar"/>
        </w:rPr>
        <w:t xml:space="preserve">    dateFormat  YYYY</w:t>
      </w:r>
      <w:r>
        <w:br/>
      </w:r>
      <w:r>
        <w:rPr>
          <w:rStyle w:val="VerbatimChar"/>
        </w:rPr>
        <w:t xml:space="preserve">    axisFormat %Y</w:t>
      </w:r>
      <w:r>
        <w:br/>
      </w:r>
      <w:r>
        <w:rPr>
          <w:rStyle w:val="VerbatimChar"/>
        </w:rPr>
        <w:t xml:space="preserve">    </w:t>
      </w:r>
      <w:r>
        <w:br/>
      </w:r>
      <w:r>
        <w:rPr>
          <w:rStyle w:val="VerbatimChar"/>
        </w:rPr>
        <w:t xml:space="preserve">    section 全球市场</w:t>
      </w:r>
      <w:r>
        <w:br/>
      </w:r>
      <w:r>
        <w:rPr>
          <w:rStyle w:val="VerbatimChar"/>
        </w:rPr>
        <w:t xml:space="preserve">    2024年: 85, 2024, 1y</w:t>
      </w:r>
      <w:r>
        <w:br/>
      </w:r>
      <w:r>
        <w:rPr>
          <w:rStyle w:val="VerbatimChar"/>
        </w:rPr>
        <w:t xml:space="preserve">    2025年: 92, 2025, 1y</w:t>
      </w:r>
      <w:r>
        <w:br/>
      </w:r>
      <w:r>
        <w:rPr>
          <w:rStyle w:val="VerbatimChar"/>
        </w:rPr>
        <w:t xml:space="preserve">    2026年: 100, 2026, 1y</w:t>
      </w:r>
      <w:r>
        <w:br/>
      </w:r>
      <w:r>
        <w:rPr>
          <w:rStyle w:val="VerbatimChar"/>
        </w:rPr>
        <w:t xml:space="preserve">    2027年: 108, 2027, 1y</w:t>
      </w:r>
      <w:r>
        <w:br/>
      </w:r>
      <w:r>
        <w:rPr>
          <w:rStyle w:val="VerbatimChar"/>
        </w:rPr>
        <w:t xml:space="preserve">    2028年: 117, 2028, 1y</w:t>
      </w:r>
      <w:r>
        <w:br/>
      </w:r>
      <w:r>
        <w:rPr>
          <w:rStyle w:val="VerbatimChar"/>
        </w:rPr>
        <w:t xml:space="preserve">    2029年: 127, 2029, 1y</w:t>
      </w:r>
      <w:r>
        <w:br/>
      </w:r>
      <w:r>
        <w:rPr>
          <w:rStyle w:val="VerbatimChar"/>
        </w:rPr>
        <w:t xml:space="preserve">    2030年: 138, 2030, 1y</w:t>
      </w:r>
      <w:r>
        <w:br/>
      </w:r>
      <w:r>
        <w:rPr>
          <w:rStyle w:val="VerbatimChar"/>
        </w:rPr>
        <w:t xml:space="preserve">    2031年: 150, 2031, 1y</w:t>
      </w:r>
      <w:r>
        <w:br/>
      </w:r>
      <w:r>
        <w:rPr>
          <w:rStyle w:val="VerbatimChar"/>
        </w:rPr>
        <w:t xml:space="preserve">    </w:t>
      </w:r>
      <w:r>
        <w:br/>
      </w:r>
      <w:r>
        <w:rPr>
          <w:rStyle w:val="VerbatimChar"/>
        </w:rPr>
        <w:t xml:space="preserve">    section 中国市场</w:t>
      </w:r>
      <w:r>
        <w:br/>
      </w:r>
      <w:r>
        <w:rPr>
          <w:rStyle w:val="VerbatimChar"/>
        </w:rPr>
        <w:t xml:space="preserve">    2024年: 30, 2024, 1y</w:t>
      </w:r>
      <w:r>
        <w:br/>
      </w:r>
      <w:r>
        <w:rPr>
          <w:rStyle w:val="VerbatimChar"/>
        </w:rPr>
        <w:t xml:space="preserve">    2025年: 33, 2025, 1y</w:t>
      </w:r>
      <w:r>
        <w:br/>
      </w:r>
      <w:r>
        <w:rPr>
          <w:rStyle w:val="VerbatimChar"/>
        </w:rPr>
        <w:t xml:space="preserve">    2026年: 37, 2026, 1y</w:t>
      </w:r>
      <w:r>
        <w:br/>
      </w:r>
      <w:r>
        <w:rPr>
          <w:rStyle w:val="VerbatimChar"/>
        </w:rPr>
        <w:t xml:space="preserve">    2027年: 41, 2027, 1y</w:t>
      </w:r>
      <w:r>
        <w:br/>
      </w:r>
      <w:r>
        <w:rPr>
          <w:rStyle w:val="VerbatimChar"/>
        </w:rPr>
        <w:t xml:space="preserve">    2028年: 46, 2028, 1y</w:t>
      </w:r>
      <w:r>
        <w:br/>
      </w:r>
      <w:r>
        <w:rPr>
          <w:rStyle w:val="VerbatimChar"/>
        </w:rPr>
        <w:t xml:space="preserve">    2029年: 51, 2029, 1y</w:t>
      </w:r>
      <w:r>
        <w:br/>
      </w:r>
      <w:r>
        <w:rPr>
          <w:rStyle w:val="VerbatimChar"/>
        </w:rPr>
        <w:t xml:space="preserve">    2030年: 56, 2030, 1y</w:t>
      </w:r>
      <w:r>
        <w:br/>
      </w:r>
      <w:r>
        <w:rPr>
          <w:rStyle w:val="VerbatimChar"/>
        </w:rPr>
        <w:t xml:space="preserve">    2031年: 60, 2031, 1y</w:t>
      </w:r>
    </w:p>
    <w:p>
      <w:pPr>
        <w:pStyle w:val="FirstParagraph"/>
      </w:pPr>
      <w:r>
        <w:rPr>
          <w:iCs/>
          <w:i/>
        </w:rPr>
        <w:t xml:space="preserve">数据说明：全球市场从2024年85亿元增长至2031年150亿元，年复合增长率8.5%；中国市场从2024年30亿元增长至2031年60亿元，年复合增长率10%，占全球市场份额从35%提升至40%。</w:t>
      </w:r>
    </w:p>
    <w:p>
      <w:pPr>
        <w:pStyle w:val="BodyText"/>
      </w:pPr>
      <w:r>
        <w:rPr>
          <w:bCs/>
          <w:b/>
        </w:rPr>
        <w:t xml:space="preserve">图3-2 视觉安全监测三大应用场景市场规模对比（2025年）</w:t>
      </w:r>
    </w:p>
    <w:p>
      <w:pPr>
        <w:pStyle w:val="SourceCode"/>
      </w:pPr>
      <w:r>
        <w:rPr>
          <w:rStyle w:val="VerbatimChar"/>
        </w:rPr>
        <w:t xml:space="preserve">pie title 视觉安全监测三大应用场景市场规模对比（2025年）</w:t>
      </w:r>
      <w:r>
        <w:br/>
      </w:r>
      <w:r>
        <w:rPr>
          <w:rStyle w:val="VerbatimChar"/>
        </w:rPr>
        <w:t xml:space="preserve">    "桥梁健康监测" : 320</w:t>
      </w:r>
      <w:r>
        <w:br/>
      </w:r>
      <w:r>
        <w:rPr>
          <w:rStyle w:val="VerbatimChar"/>
        </w:rPr>
        <w:t xml:space="preserve">    "隧道收敛监测" : 135</w:t>
      </w:r>
      <w:r>
        <w:br/>
      </w:r>
      <w:r>
        <w:rPr>
          <w:rStyle w:val="VerbatimChar"/>
        </w:rPr>
        <w:t xml:space="preserve">    "边坡位移监测" : 145</w:t>
      </w:r>
    </w:p>
    <w:p>
      <w:pPr>
        <w:pStyle w:val="FirstParagraph"/>
      </w:pPr>
      <w:r>
        <w:rPr>
          <w:iCs/>
          <w:i/>
        </w:rPr>
        <w:t xml:space="preserve">数据说明：2025年，桥梁健康监测市场规模约320亿元（中国），隧道收敛监测全球市场规模约45亿美元（约合人民币315亿元，中国占30%约95亿元），边坡位移监测全球市场规模约58亿美元（约合人民币406亿元，中国占30%约122亿元）。图中数据已统一为人民币亿元并取整。</w:t>
      </w:r>
    </w:p>
    <w:p>
      <w:pPr>
        <w:pStyle w:val="BodyText"/>
      </w:pPr>
      <w:r>
        <w:rPr>
          <w:bCs/>
          <w:b/>
        </w:rPr>
        <w:t xml:space="preserve">图3-3 中国基础设施安全监测市场规模增长趋势（2024-2027年）</w:t>
      </w:r>
    </w:p>
    <w:p>
      <w:pPr>
        <w:pStyle w:val="SourceCode"/>
      </w:pPr>
      <w:r>
        <w:rPr>
          <w:rStyle w:val="VerbatimChar"/>
        </w:rPr>
        <w:t xml:space="preserve">graph LR</w:t>
      </w:r>
      <w:r>
        <w:br/>
      </w:r>
      <w:r>
        <w:rPr>
          <w:rStyle w:val="VerbatimChar"/>
        </w:rPr>
        <w:t xml:space="preserve">    A[2024年 850亿元] --&gt; B[2025年 1050亿元]</w:t>
      </w:r>
      <w:r>
        <w:br/>
      </w:r>
      <w:r>
        <w:rPr>
          <w:rStyle w:val="VerbatimChar"/>
        </w:rPr>
        <w:t xml:space="preserve">    B --&gt; C[2026年 1275亿元]</w:t>
      </w:r>
      <w:r>
        <w:br/>
      </w:r>
      <w:r>
        <w:rPr>
          <w:rStyle w:val="VerbatimChar"/>
        </w:rPr>
        <w:t xml:space="preserve">    C --&gt; D[2027年 1500亿元]</w:t>
      </w:r>
      <w:r>
        <w:br/>
      </w:r>
      <w:r>
        <w:rPr>
          <w:rStyle w:val="VerbatimChar"/>
        </w:rPr>
        <w:t xml:space="preserve">    </w:t>
      </w:r>
      <w:r>
        <w:br/>
      </w:r>
      <w:r>
        <w:rPr>
          <w:rStyle w:val="VerbatimChar"/>
        </w:rPr>
        <w:t xml:space="preserve">    style A fill:#e1f5fe</w:t>
      </w:r>
      <w:r>
        <w:br/>
      </w:r>
      <w:r>
        <w:rPr>
          <w:rStyle w:val="VerbatimChar"/>
        </w:rPr>
        <w:t xml:space="preserve">    style B fill:#bbdefb</w:t>
      </w:r>
      <w:r>
        <w:br/>
      </w:r>
      <w:r>
        <w:rPr>
          <w:rStyle w:val="VerbatimChar"/>
        </w:rPr>
        <w:t xml:space="preserve">    style C fill:#90caf9</w:t>
      </w:r>
      <w:r>
        <w:br/>
      </w:r>
      <w:r>
        <w:rPr>
          <w:rStyle w:val="VerbatimChar"/>
        </w:rPr>
        <w:t xml:space="preserve">    style D fill:#64b5f6</w:t>
      </w:r>
    </w:p>
    <w:p>
      <w:pPr>
        <w:pStyle w:val="FirstParagraph"/>
      </w:pPr>
      <w:r>
        <w:rPr>
          <w:iCs/>
          <w:i/>
        </w:rPr>
        <w:t xml:space="preserve">数据说明：中国基础设施安全监测市场规模从2024年850亿元快速增长至2027年1500亿元，年复合增长率超过20%。其中视觉监测技术市场份额从2024年35%提升至2027年50%以上。</w:t>
      </w:r>
    </w:p>
    <w:p>
      <w:pPr>
        <w:pStyle w:val="BodyText"/>
      </w:pPr>
      <w:r>
        <w:rPr>
          <w:bCs/>
          <w:b/>
        </w:rPr>
        <w:t xml:space="preserve">图3-4 HSM公司关键财务与运营指标可视化</w:t>
      </w:r>
    </w:p>
    <w:p>
      <w:pPr>
        <w:pStyle w:val="SourceCode"/>
      </w:pPr>
      <w:r>
        <w:rPr>
          <w:rStyle w:val="VerbatimChar"/>
        </w:rPr>
        <w:t xml:space="preserve">gantt</w:t>
      </w:r>
      <w:r>
        <w:br/>
      </w:r>
      <w:r>
        <w:rPr>
          <w:rStyle w:val="VerbatimChar"/>
        </w:rPr>
        <w:t xml:space="preserve">    title HSM公司关键财务与运营指标</w:t>
      </w:r>
      <w:r>
        <w:br/>
      </w:r>
      <w:r>
        <w:rPr>
          <w:rStyle w:val="VerbatimChar"/>
        </w:rPr>
        <w:t xml:space="preserve">    dateFormat  YYYY</w:t>
      </w:r>
      <w:r>
        <w:br/>
      </w:r>
      <w:r>
        <w:rPr>
          <w:rStyle w:val="VerbatimChar"/>
        </w:rPr>
        <w:t xml:space="preserve">    </w:t>
      </w:r>
      <w:r>
        <w:br/>
      </w:r>
      <w:r>
        <w:rPr>
          <w:rStyle w:val="VerbatimChar"/>
        </w:rPr>
        <w:t xml:space="preserve">    section 应收账款周转天数</w:t>
      </w:r>
      <w:r>
        <w:br/>
      </w:r>
      <w:r>
        <w:rPr>
          <w:rStyle w:val="VerbatimChar"/>
        </w:rPr>
        <w:t xml:space="preserve">    行业健康水平: 90, 2024, 1y</w:t>
      </w:r>
      <w:r>
        <w:br/>
      </w:r>
      <w:r>
        <w:rPr>
          <w:rStyle w:val="VerbatimChar"/>
        </w:rPr>
        <w:t xml:space="preserve">    HSM实际水平: 270, 2024, 1y</w:t>
      </w:r>
      <w:r>
        <w:br/>
      </w:r>
      <w:r>
        <w:rPr>
          <w:rStyle w:val="VerbatimChar"/>
        </w:rPr>
        <w:t xml:space="preserve">    </w:t>
      </w:r>
      <w:r>
        <w:br/>
      </w:r>
      <w:r>
        <w:rPr>
          <w:rStyle w:val="VerbatimChar"/>
        </w:rPr>
        <w:t xml:space="preserve">    section 团队规模</w:t>
      </w:r>
      <w:r>
        <w:br/>
      </w:r>
      <w:r>
        <w:rPr>
          <w:rStyle w:val="VerbatimChar"/>
        </w:rPr>
        <w:t xml:space="preserve">    2023年: 80, 2023, 1y</w:t>
      </w:r>
      <w:r>
        <w:br/>
      </w:r>
      <w:r>
        <w:rPr>
          <w:rStyle w:val="VerbatimChar"/>
        </w:rPr>
        <w:t xml:space="preserve">    2024年: 120, 2024, 1y</w:t>
      </w:r>
      <w:r>
        <w:br/>
      </w:r>
      <w:r>
        <w:rPr>
          <w:rStyle w:val="VerbatimChar"/>
        </w:rPr>
        <w:t xml:space="preserve">    </w:t>
      </w:r>
      <w:r>
        <w:br/>
      </w:r>
      <w:r>
        <w:rPr>
          <w:rStyle w:val="VerbatimChar"/>
        </w:rPr>
        <w:t xml:space="preserve">    section 服务客户数量</w:t>
      </w:r>
      <w:r>
        <w:br/>
      </w:r>
      <w:r>
        <w:rPr>
          <w:rStyle w:val="VerbatimChar"/>
        </w:rPr>
        <w:t xml:space="preserve">    2023年: 800, 2023, 1y</w:t>
      </w:r>
      <w:r>
        <w:br/>
      </w:r>
      <w:r>
        <w:rPr>
          <w:rStyle w:val="VerbatimChar"/>
        </w:rPr>
        <w:t xml:space="preserve">    2024年: 1000, 2024, 1y</w:t>
      </w:r>
    </w:p>
    <w:p>
      <w:pPr>
        <w:pStyle w:val="FirstParagraph"/>
      </w:pPr>
      <w:r>
        <w:rPr>
          <w:iCs/>
          <w:i/>
        </w:rPr>
        <w:t xml:space="preserve">数据说明：HSM公司应收账款周转天数2024年达到270天，远高于行业健康水平90天，反映项目制模式下的资金压力；团队规模从2023年80人扩张至2024年120人；服务客户数量从2023年800家增长至2024年1000家。</w:t>
      </w:r>
    </w:p>
    <w:p>
      <w:pPr>
        <w:pStyle w:val="BodyText"/>
      </w:pPr>
      <w:r>
        <w:rPr>
          <w:bCs/>
          <w:b/>
        </w:rPr>
        <w:t xml:space="preserve">数据可视化总结</w:t>
      </w:r>
      <w:r>
        <w:t xml:space="preserve">：通过上述图表可以直观看出：（1）DIC视觉传感器市场保持稳定增长，中国市场增速快于全球；（2）视觉安全监测三大应用场景中，桥梁健康监测市场规模最大；（3）基础设施安全监测市场快速增长，为视觉监测技术提供广阔空间；（4）HSM公司在快速扩张的同时面临应收账款周转等财务挑战。数据可视化增强了论文分析的直观性和说服力，为后续战略转型分析提供了数据支撑。</w:t>
      </w:r>
    </w:p>
    <w:p>
      <w:r>
        <w:pict>
          <v:rect style="width:0;height:1.5pt" o:hralign="center" o:hrstd="t" o:hr="t"/>
        </w:pict>
      </w:r>
    </w:p>
    <w:p>
      <w:pPr>
        <w:pStyle w:val="FirstParagraph"/>
      </w:pPr>
      <w:r>
        <w:rPr>
          <w:bCs/>
          <w:b/>
        </w:rPr>
        <w:t xml:space="preserve">本章小结</w:t>
      </w:r>
      <w:r>
        <w:t xml:space="preserve">：本章深入分析了HSM公司的发展历程和组织架构，系统研究了视觉力学传感器行业的宏观环境、市场规模和应用领域，重点分析了视觉安全监测在桥梁、隧道、边坡三个核心应用场景的市场规模、技术方案、主要厂商和政策环境，并通过数据可视化方式直观呈现了关键市场数据和公司运营指标，全面评估了竞争环境和HSM的竞争地位。分析表明，HSM在技术研发、产品创新和市场拓展方面取得了显著成就，在视觉安全监测领域具有明显的技术优势和市场机遇，但在规模扩张、国际化发展和资源整合方面仍面临挑战，这为其战略转型提供了内在动力和外部压力。</w:t>
      </w:r>
      <w:r>
        <w:t xml:space="preserve"> </w:t>
      </w:r>
      <w:r>
        <w:t xml:space="preserve"># 第四章 HSM战略转型的动因分析</w:t>
      </w:r>
    </w:p>
    <w:bookmarkEnd w:id="36"/>
    <w:bookmarkStart w:id="37" w:name="外部环境驱动因素"/>
    <w:p>
      <w:pPr>
        <w:pStyle w:val="3"/>
      </w:pP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37"/>
    <w:bookmarkStart w:id="38" w:name="内部资源能力分析"/>
    <w:p>
      <w:pPr>
        <w:pStyle w:val="3"/>
      </w:pP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38"/>
    <w:bookmarkStart w:id="39" w:name="战略转型的紧迫性分析"/>
    <w:p>
      <w:pPr>
        <w:pStyle w:val="3"/>
      </w:pP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p>
    <w:bookmarkEnd w:id="39"/>
    <w:bookmarkEnd w:id="40"/>
    <w:bookmarkStart w:id="43" w:name="第五章-hsm战略转型的实施路径"/>
    <w:p>
      <w:pPr>
        <w:pStyle w:val="2"/>
      </w:pPr>
      <w:r>
        <w:t xml:space="preserve">第五章 HSM战略转型的实施路径</w:t>
      </w:r>
    </w:p>
    <w:bookmarkStart w:id="41" w:name="技术战略转型"/>
    <w:p>
      <w:pPr>
        <w:pStyle w:val="3"/>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41"/>
    <w:bookmarkStart w:id="42" w:name="X70497a6cbbdcc21d3a7fd423340a9485e8af074"/>
    <w:p>
      <w:pPr>
        <w:pStyle w:val="3"/>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42"/>
    <w:bookmarkEnd w:id="43"/>
    <w:bookmarkStart w:id="48" w:name="第六章-hsm战略转型的成效评估"/>
    <w:p>
      <w:pPr>
        <w:pStyle w:val="2"/>
      </w:pPr>
      <w:r>
        <w:t xml:space="preserve">第六章 HSM战略转型的成效评估</w:t>
      </w:r>
    </w:p>
    <w:bookmarkStart w:id="44"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44"/>
    <w:bookmarkStart w:id="45"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45"/>
    <w:bookmarkStart w:id="46"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46"/>
    <w:bookmarkStart w:id="47"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47"/>
    <w:bookmarkEnd w:id="48"/>
    <w:bookmarkStart w:id="65" w:name="第七章-结论与建议"/>
    <w:p>
      <w:pPr>
        <w:pStyle w:val="2"/>
      </w:pPr>
      <w:r>
        <w:t xml:space="preserve">第七章 结论与建议</w:t>
      </w:r>
    </w:p>
    <w:bookmarkStart w:id="49"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49"/>
    <w:bookmarkStart w:id="53" w:name="管理启示"/>
    <w:p>
      <w:pPr>
        <w:pStyle w:val="3"/>
      </w:pPr>
      <w:r>
        <w:t xml:space="preserve">7.2 管理启示</w:t>
      </w:r>
    </w:p>
    <w:bookmarkStart w:id="50"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50"/>
    <w:bookmarkStart w:id="51"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51"/>
    <w:bookmarkStart w:id="52"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52"/>
    <w:bookmarkEnd w:id="53"/>
    <w:bookmarkStart w:id="57" w:name="政策建议"/>
    <w:p>
      <w:pPr>
        <w:pStyle w:val="3"/>
      </w:pPr>
      <w:r>
        <w:t xml:space="preserve">7.3 政策建议</w:t>
      </w:r>
    </w:p>
    <w:bookmarkStart w:id="54"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54"/>
    <w:bookmarkStart w:id="55"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55"/>
    <w:bookmarkStart w:id="56"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56"/>
    <w:bookmarkEnd w:id="57"/>
    <w:bookmarkStart w:id="61" w:name="研究局限与展望"/>
    <w:p>
      <w:pPr>
        <w:pStyle w:val="3"/>
      </w:pPr>
      <w:r>
        <w:t xml:space="preserve">7.4 研究局限与展望</w:t>
      </w:r>
    </w:p>
    <w:bookmarkStart w:id="58"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58"/>
    <w:bookmarkStart w:id="59"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59"/>
    <w:bookmarkStart w:id="60"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60"/>
    <w:bookmarkEnd w:id="61"/>
    <w:bookmarkStart w:id="62"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62"/>
    <w:bookmarkStart w:id="63"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63"/>
    <w:bookmarkStart w:id="64"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p>
      <w:pPr>
        <w:pStyle w:val="BodyText"/>
      </w:pPr>
      <w:r>
        <w:t xml:space="preserve">感谢各位评审老师和答辩委员会专家在百忙之中审阅本文并提出宝贵意见。</w:t>
      </w:r>
    </w:p>
    <w:bookmarkEnd w:id="64"/>
    <w:bookmarkEnd w:id="65"/>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2026-02-10T07:07:46Z</dcterms:created>
  <dcterms:modified xsi:type="dcterms:W3CDTF">2026-02-10T07:07:46Z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