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视觉力学传感器企业战略转型研究以hsm为例"/>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0"/>
    <w:bookmarkStart w:id="21"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1"/>
    <w:bookmarkStart w:id="105" w:name="第一章-绪论"/>
    <w:p>
      <w:pPr>
        <w:pStyle w:val="2"/>
      </w:pPr>
      <w:r>
        <w:t xml:space="preserve">第一章 绪论</w:t>
      </w:r>
    </w:p>
    <w:bookmarkStart w:id="22"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2"/>
    <w:bookmarkStart w:id="23"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3"/>
    <w:bookmarkStart w:id="24"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4"/>
    <w:bookmarkStart w:id="25"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5"/>
    <w:bookmarkStart w:id="26"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6"/>
    <w:bookmarkStart w:id="27"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27"/>
    <w:bookmarkStart w:id="28"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r>
        <w:t xml:space="preserve"> </w:t>
      </w:r>
      <w:r>
        <w:t xml:space="preserve"># 第三章 HSM公司外部环境分析</w:t>
      </w:r>
    </w:p>
    <w:bookmarkEnd w:id="28"/>
    <w:bookmarkStart w:id="34"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29"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29"/>
    <w:bookmarkStart w:id="30"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0"/>
    <w:bookmarkStart w:id="31"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1"/>
    <w:bookmarkStart w:id="32"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2"/>
    <w:bookmarkStart w:id="33"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3"/>
    <w:bookmarkEnd w:id="34"/>
    <w:bookmarkStart w:id="37" w:name="视觉力学传感器行业总体环境分析"/>
    <w:p>
      <w:pPr>
        <w:pStyle w:val="3"/>
      </w:pPr>
      <w:r>
        <w:t xml:space="preserve">3.2 视觉力学传感器行业总体环境分析</w:t>
      </w:r>
    </w:p>
    <w:bookmarkStart w:id="35"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5"/>
    <w:bookmarkStart w:id="36"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36"/>
    <w:bookmarkEnd w:id="37"/>
    <w:bookmarkStart w:id="44"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38"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38"/>
    <w:bookmarkStart w:id="39"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39"/>
    <w:bookmarkStart w:id="40"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0"/>
    <w:bookmarkStart w:id="41"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1"/>
    <w:bookmarkStart w:id="42"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2"/>
    <w:bookmarkStart w:id="43"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3"/>
    <w:bookmarkEnd w:id="44"/>
    <w:bookmarkStart w:id="49"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5"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5"/>
    <w:bookmarkStart w:id="46"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46"/>
    <w:bookmarkStart w:id="47"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47"/>
    <w:bookmarkStart w:id="48"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48"/>
    <w:bookmarkEnd w:id="49"/>
    <w:bookmarkStart w:id="50"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r>
        <w:t xml:space="preserve"> </w:t>
      </w:r>
      <w:r>
        <w:t xml:space="preserve"># 第四章 HSM战略转型的动因分析</w:t>
      </w:r>
    </w:p>
    <w:bookmarkEnd w:id="50"/>
    <w:bookmarkStart w:id="52" w:name="hsm基本情况"/>
    <w:p>
      <w:pPr>
        <w:pStyle w:val="3"/>
      </w:pP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1" w:name="表4-1hsm三大产品线基本特征对比"/>
    <w:p>
      <w:pPr>
        <w:pStyle w:val="4"/>
      </w:pP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1"/>
    <w:bookmarkEnd w:id="52"/>
    <w:bookmarkStart w:id="62" w:name="hsm内部资源和能力分析"/>
    <w:p>
      <w:pPr>
        <w:pStyle w:val="3"/>
      </w:pPr>
      <w:r>
        <w:t xml:space="preserve">4.2 HSM内部资源和能力分析</w:t>
      </w:r>
    </w:p>
    <w:bookmarkStart w:id="53" w:name="技术资源"/>
    <w:p>
      <w:pPr>
        <w:pStyle w:val="4"/>
      </w:pP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53"/>
    <w:bookmarkStart w:id="57"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54" w:name="表4-2视频引伸计生产链结构"/>
    <w:p>
      <w:pPr>
        <w:pStyle w:val="Heading4"/>
      </w:pP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54"/>
    <w:bookmarkStart w:id="55" w:name="表4-3视频应变仪生产链结构"/>
    <w:p>
      <w:pPr>
        <w:pStyle w:val="Heading4"/>
      </w:pP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55"/>
    <w:bookmarkStart w:id="56" w:name="表4-4视频跟踪仪生产链结构"/>
    <w:p>
      <w:pPr>
        <w:pStyle w:val="Heading4"/>
      </w:pP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6"/>
    <w:bookmarkEnd w:id="57"/>
    <w:bookmarkStart w:id="59"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58" w:name="表4-5生产模式与市场表现关联矩阵"/>
    <w:p>
      <w:pPr>
        <w:pStyle w:val="Heading4"/>
      </w:pP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58"/>
    <w:bookmarkEnd w:id="59"/>
    <w:bookmarkStart w:id="60"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0"/>
    <w:bookmarkStart w:id="61" w:name="人力资源"/>
    <w:p>
      <w:pPr>
        <w:pStyle w:val="4"/>
      </w:pP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1"/>
    <w:bookmarkEnd w:id="62"/>
    <w:bookmarkStart w:id="66"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5"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64" w:name="表4-6hsm基本价值链的竞争选择和实施路径"/>
    <w:p>
      <w:pPr>
        <w:pStyle w:val="Heading4"/>
      </w:pP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End w:id="66"/>
    <w:bookmarkStart w:id="70" w:name="hsm面临的机遇和挑战"/>
    <w:p>
      <w:pPr>
        <w:pStyle w:val="3"/>
      </w:pPr>
      <w:r>
        <w:t xml:space="preserve">4.4 HSM面临的机遇和挑战</w:t>
      </w:r>
    </w:p>
    <w:bookmarkStart w:id="67" w:name="机遇"/>
    <w:p>
      <w:pPr>
        <w:pStyle w:val="4"/>
      </w:pP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67"/>
    <w:bookmarkStart w:id="69" w:name="挑战"/>
    <w:p>
      <w:pPr>
        <w:pStyle w:val="4"/>
      </w:pPr>
      <w:r>
        <w:t xml:space="preserve">4.4.2 挑战</w:t>
      </w:r>
    </w:p>
    <w:p>
      <w:pPr>
        <w:pStyle w:val="FirstParagraph"/>
      </w:pPr>
      <w:r>
        <w:rPr>
          <w:bCs/>
          <w:b/>
        </w:rPr>
        <w:t xml:space="preserve">视频跟踪仪项目制困境</w:t>
      </w:r>
      <w:r>
        <w:t xml:space="preserve">：这是HSM面临的最核心挑战，具体表现为：</w:t>
      </w:r>
    </w:p>
    <w:bookmarkStart w:id="68" w:name="表4-7标准化产品与项目化产品关键指标对比"/>
    <w:p>
      <w:pPr>
        <w:pStyle w:val="Heading4"/>
      </w:pP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r>
        <w:t xml:space="preserve"> </w:t>
      </w:r>
      <w:r>
        <w:t xml:space="preserve"># 第五章 HSM战略转型的实施路径</w:t>
      </w:r>
    </w:p>
    <w:p>
      <w:pPr>
        <w:pStyle w:val="BodyText"/>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End w:id="68"/>
    <w:bookmarkEnd w:id="69"/>
    <w:bookmarkEnd w:id="70"/>
    <w:bookmarkStart w:id="75" w:name="技术战略产品线差异化研发与创新"/>
    <w:p>
      <w:pPr>
        <w:pStyle w:val="3"/>
      </w:pPr>
      <w:r>
        <w:t xml:space="preserve">5.1 技术战略：产品线差异化研发与创新</w:t>
      </w:r>
    </w:p>
    <w:p>
      <w:pPr>
        <w:pStyle w:val="FirstParagraph"/>
      </w:pPr>
      <w:r>
        <w:t xml:space="preserve">HSM的技术战略聚焦于三条产品线的差异化研发需求，通过资源优化配置实现技术创新的最大化价值转化。</w:t>
      </w:r>
    </w:p>
    <w:bookmarkStart w:id="72" w:name="视频引伸计与视频应变仪标准化生产与技术迭代"/>
    <w:p>
      <w:pPr>
        <w:pStyle w:val="4"/>
      </w:pPr>
      <w:r>
        <w:t xml:space="preserve">5.1.1 视频引伸计与视频应变仪：标准化生产与技术迭代</w:t>
      </w:r>
    </w:p>
    <w:p>
      <w:pPr>
        <w:pStyle w:val="FirstParagraph"/>
      </w:pPr>
      <w:r>
        <w:t xml:space="preserve">视频引伸计和视频应变仪作为HSM的成熟产品线，已实现高度标准化生产。技术战略的重点从原始创新转向持续优化：</w:t>
      </w:r>
      <w:r>
        <w:t xml:space="preserve"> </w:t>
      </w:r>
      <w:r>
        <w:t xml:space="preserve">-</w:t>
      </w:r>
      <w:r>
        <w:t xml:space="preserve"> </w:t>
      </w:r>
      <w:r>
        <w:rPr>
          <w:bCs/>
          <w:b/>
        </w:rPr>
        <w:t xml:space="preserve">算法精度提升</w:t>
      </w:r>
      <w:r>
        <w:t xml:space="preserve">：基于海量实验数据持续优化DIC算法，目标将测量精度从当前的0.01%提升至0.005%</w:t>
      </w:r>
      <w:r>
        <w:t xml:space="preserve"> </w:t>
      </w:r>
      <w:r>
        <w:t xml:space="preserve">-</w:t>
      </w:r>
      <w:r>
        <w:t xml:space="preserve"> </w:t>
      </w:r>
      <w:r>
        <w:rPr>
          <w:bCs/>
          <w:b/>
        </w:rPr>
        <w:t xml:space="preserve">硬件标准化设计</w:t>
      </w:r>
      <w:r>
        <w:t xml:space="preserve">：推动第四代硬件平台标准化，将核心组件从120个减少至80个，降低供应链复杂度</w:t>
      </w:r>
      <w:r>
        <w:t xml:space="preserve"> </w:t>
      </w:r>
      <w:r>
        <w:t xml:space="preserve">-</w:t>
      </w:r>
      <w:r>
        <w:t xml:space="preserve"> </w:t>
      </w:r>
      <w:r>
        <w:rPr>
          <w:bCs/>
          <w:b/>
        </w:rPr>
        <w:t xml:space="preserve">智能化升级</w:t>
      </w:r>
      <w:r>
        <w:t xml:space="preserve">：集成AI辅助分析功能，实现异常数据自动识别与预警</w:t>
      </w:r>
    </w:p>
    <w:bookmarkStart w:id="71" w:name="表5-1视频引伸计与视频应变仪技术迭代路线图"/>
    <w:p>
      <w:pPr>
        <w:pStyle w:val="Heading4"/>
      </w:pPr>
      <w:r>
        <w:t xml:space="preserve">表5-1：视频引伸计与视频应变仪技术迭代路线图</w:t>
      </w:r>
    </w:p>
    <w:tbl>
      <w:tblPr>
        <w:tblStyle w:val="Table"/>
        <w:tblW w:type="pct" w:w="5000"/>
        <w:tblLook w:firstRow="1" w:lastRow="0" w:firstColumn="0" w:lastColumn="0" w:noHBand="0" w:noVBand="0" w:val="0020"/>
      </w:tblPr>
      <w:tblGrid>
        <w:gridCol w:w="1466"/>
        <w:gridCol w:w="1466"/>
        <w:gridCol w:w="1760"/>
        <w:gridCol w:w="1760"/>
        <w:gridCol w:w="1466"/>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rPr>
                <w:bCs/>
                <w:b/>
              </w:rP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rPr>
                <w:bCs/>
                <w:b/>
              </w:rP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rPr>
                <w:bCs/>
                <w:b/>
              </w:rP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rPr>
                <w:bCs/>
                <w:b/>
              </w:rP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rPr>
                <w:bCs/>
                <w:b/>
              </w:rP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End w:id="72"/>
    <w:bookmarkStart w:id="73" w:name="视频跟踪仪垂直领域技术聚焦与新产品研发"/>
    <w:p>
      <w:pPr>
        <w:pStyle w:val="4"/>
      </w:pPr>
      <w:r>
        <w:t xml:space="preserve">5.1.2 视频跟踪仪：垂直领域技术聚焦与新产品研发</w:t>
      </w:r>
    </w:p>
    <w:p>
      <w:pPr>
        <w:pStyle w:val="FirstParagraph"/>
      </w:pPr>
      <w:r>
        <w:t xml:space="preserve">视频跟踪仪的技术战略从广泛定制转向垂直领域深度聚焦：</w:t>
      </w:r>
      <w:r>
        <w:t xml:space="preserve"> </w:t>
      </w:r>
      <w:r>
        <w:t xml:space="preserve">-</w:t>
      </w:r>
      <w:r>
        <w:t xml:space="preserve"> </w:t>
      </w:r>
      <w:r>
        <w:rPr>
          <w:bCs/>
          <w:b/>
        </w:rPr>
        <w:t xml:space="preserve">桥梁监测专项技术</w:t>
      </w:r>
      <w:r>
        <w:t xml:space="preserve">：开发大跨径桥梁动态变形监测算法，适应风荷载、温度变化等复杂环境</w:t>
      </w:r>
      <w:r>
        <w:t xml:space="preserve"> </w:t>
      </w:r>
      <w:r>
        <w:t xml:space="preserve">-</w:t>
      </w:r>
      <w:r>
        <w:t xml:space="preserve"> </w:t>
      </w:r>
      <w:r>
        <w:rPr>
          <w:bCs/>
          <w:b/>
        </w:rPr>
        <w:t xml:space="preserve">隧道收敛监测技术</w:t>
      </w:r>
      <w:r>
        <w:t xml:space="preserve">：针对隧道施工与运营期收敛变形监测需求，开发多相机同步测量系统</w:t>
      </w:r>
      <w:r>
        <w:t xml:space="preserve"> </w:t>
      </w:r>
      <w:r>
        <w:t xml:space="preserve">-</w:t>
      </w:r>
      <w:r>
        <w:t xml:space="preserve"> </w:t>
      </w:r>
      <w:r>
        <w:rPr>
          <w:bCs/>
          <w:b/>
        </w:rPr>
        <w:t xml:space="preserve">边坡稳定性监测</w:t>
      </w:r>
      <w:r>
        <w:t xml:space="preserve">：结合地质雷达数据，开发边坡表面位移与内部变形关联分析模型</w:t>
      </w:r>
      <w:r>
        <w:t xml:space="preserve"> </w:t>
      </w:r>
      <w:r>
        <w:t xml:space="preserve">-</w:t>
      </w:r>
      <w:r>
        <w:t xml:space="preserve"> </w:t>
      </w:r>
      <w:r>
        <w:rPr>
          <w:bCs/>
          <w:b/>
        </w:rPr>
        <w:t xml:space="preserve">新产品研发</w:t>
      </w:r>
      <w:r>
        <w:t xml:space="preserve">：启动柔性跟踪仪和并联跟踪仪的研发，前者适用于柔性结构监测，后者实现多点同步测量</w:t>
      </w:r>
    </w:p>
    <w:bookmarkEnd w:id="73"/>
    <w:bookmarkStart w:id="74" w:name="柔性跟踪仪与并联跟踪仪下一代产品布局"/>
    <w:p>
      <w:pPr>
        <w:pStyle w:val="4"/>
      </w:pPr>
      <w:r>
        <w:t xml:space="preserve">5.1.3 柔性跟踪仪与并联跟踪仪：下一代产品布局</w:t>
      </w:r>
    </w:p>
    <w:p>
      <w:pPr>
        <w:pStyle w:val="FirstParagraph"/>
      </w:pPr>
      <w:r>
        <w:t xml:space="preserve">为保持技术领先优势，HSM启动下一代产品研发：</w:t>
      </w:r>
      <w:r>
        <w:t xml:space="preserve"> </w:t>
      </w:r>
      <w:r>
        <w:t xml:space="preserve">-</w:t>
      </w:r>
      <w:r>
        <w:t xml:space="preserve"> </w:t>
      </w:r>
      <w:r>
        <w:rPr>
          <w:bCs/>
          <w:b/>
        </w:rPr>
        <w:t xml:space="preserve">柔性跟踪仪</w:t>
      </w:r>
      <w:r>
        <w:t xml:space="preserve">：采用柔性传感器阵列，适用于复合材料、生物组织等柔性结构的全场应变测量</w:t>
      </w:r>
      <w:r>
        <w:t xml:space="preserve"> </w:t>
      </w:r>
      <w:r>
        <w:t xml:space="preserve">-</w:t>
      </w:r>
      <w:r>
        <w:t xml:space="preserve"> </w:t>
      </w:r>
      <w:r>
        <w:rPr>
          <w:bCs/>
          <w:b/>
        </w:rPr>
        <w:t xml:space="preserve">并联跟踪仪</w:t>
      </w:r>
      <w:r>
        <w:t xml:space="preserve">：通过多相机并联架构，实现大型结构的多区域同步监测，测量范围扩大至传统产品的3-5倍</w:t>
      </w:r>
    </w:p>
    <w:bookmarkEnd w:id="74"/>
    <w:bookmarkEnd w:id="75"/>
    <w:bookmarkStart w:id="82" w:name="市场战略销售模式重构与市场聚焦"/>
    <w:p>
      <w:pPr>
        <w:pStyle w:val="3"/>
      </w:pPr>
      <w:r>
        <w:t xml:space="preserve">5.2 市场战略：销售模式重构与市场聚焦</w:t>
      </w:r>
    </w:p>
    <w:p>
      <w:pPr>
        <w:pStyle w:val="FirstParagraph"/>
      </w:pPr>
      <w:r>
        <w:t xml:space="preserve">HSM的市场战略以产品线特性为基础，构建差异化的销售模式和市场拓展路径。</w:t>
      </w:r>
    </w:p>
    <w:bookmarkStart w:id="77" w:name="视频引伸计与视频应变仪捆绑销售模式与渠道合作"/>
    <w:p>
      <w:pPr>
        <w:pStyle w:val="4"/>
      </w:pPr>
      <w:r>
        <w:t xml:space="preserve">5.2.1 视频引伸计与视频应变仪：捆绑销售模式与渠道合作</w:t>
      </w:r>
    </w:p>
    <w:p>
      <w:pPr>
        <w:pStyle w:val="FirstParagraph"/>
      </w:pPr>
      <w:r>
        <w:t xml:space="preserve">针对视频引伸计和视频应变仪的高标准化特性，HSM推行捆绑销售模式：</w:t>
      </w:r>
      <w:r>
        <w:t xml:space="preserve"> </w:t>
      </w:r>
      <w:r>
        <w:t xml:space="preserve">-</w:t>
      </w:r>
      <w:r>
        <w:t xml:space="preserve"> </w:t>
      </w:r>
      <w:r>
        <w:rPr>
          <w:bCs/>
          <w:b/>
        </w:rPr>
        <w:t xml:space="preserve">与试验机厂家战略合作</w:t>
      </w:r>
      <w:r>
        <w:t xml:space="preserve">：将HSM产品作为试验机标准配置，通过厂家渠道触达终端客户</w:t>
      </w:r>
      <w:r>
        <w:t xml:space="preserve"> </w:t>
      </w:r>
      <w:r>
        <w:t xml:space="preserve">-</w:t>
      </w:r>
      <w:r>
        <w:t xml:space="preserve"> </w:t>
      </w:r>
      <w:r>
        <w:rPr>
          <w:bCs/>
          <w:b/>
        </w:rPr>
        <w:t xml:space="preserve">渠道利润共享</w:t>
      </w:r>
      <w:r>
        <w:t xml:space="preserve">：建立阶梯式返点机制，激励合作伙伴推广HSM产品</w:t>
      </w:r>
      <w:r>
        <w:t xml:space="preserve"> </w:t>
      </w:r>
      <w:r>
        <w:t xml:space="preserve">-</w:t>
      </w:r>
      <w:r>
        <w:t xml:space="preserve"> </w:t>
      </w:r>
      <w:r>
        <w:rPr>
          <w:bCs/>
          <w:b/>
        </w:rPr>
        <w:t xml:space="preserve">联合品牌推广</w:t>
      </w:r>
      <w:r>
        <w:t xml:space="preserve">：与合作伙伴联合举办技术研讨会、行业展会，共同提升品牌影响力</w:t>
      </w:r>
    </w:p>
    <w:bookmarkStart w:id="76" w:name="表5-2视频引伸计应变仪捆绑销售合作厂家列表"/>
    <w:p>
      <w:pPr>
        <w:pStyle w:val="Heading4"/>
      </w:pPr>
      <w:r>
        <w:t xml:space="preserve">表5-2：视频引伸计/应变仪捆绑销售合作厂家列表</w:t>
      </w:r>
    </w:p>
    <w:tbl>
      <w:tblPr>
        <w:tblStyle w:val="Table"/>
        <w:tblW w:type="pct" w:w="5000"/>
        <w:tblLook w:firstRow="1" w:lastRow="0" w:firstColumn="0" w:lastColumn="0" w:noHBand="0" w:noVBand="0" w:val="0020"/>
      </w:tblPr>
      <w:tblGrid>
        <w:gridCol w:w="1199"/>
        <w:gridCol w:w="1199"/>
        <w:gridCol w:w="1199"/>
        <w:gridCol w:w="1439"/>
        <w:gridCol w:w="1679"/>
        <w:gridCol w:w="1199"/>
      </w:tblGrid>
      <w:tr>
        <w:trPr>
          <w:tblHeader w:val="true"/>
        </w:trP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rPr>
                <w:bCs/>
                <w:b/>
              </w:rP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rPr>
                <w:bCs/>
                <w:b/>
              </w:rP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rPr>
                <w:bCs/>
                <w:b/>
              </w:rP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rPr>
                <w:bCs/>
                <w:b/>
              </w:rP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rPr>
                <w:bCs/>
                <w:b/>
              </w:rP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6"/>
    <w:bookmarkEnd w:id="77"/>
    <w:bookmarkStart w:id="79" w:name="视频跟踪仪垂直行业聚焦与地区合作伙伴体系"/>
    <w:p>
      <w:pPr>
        <w:pStyle w:val="4"/>
      </w:pPr>
      <w:r>
        <w:t xml:space="preserve">5.2.2 视频跟踪仪：垂直行业聚焦与地区合作伙伴体系</w:t>
      </w:r>
    </w:p>
    <w:p>
      <w:pPr>
        <w:pStyle w:val="FirstParagraph"/>
      </w:pPr>
      <w:r>
        <w:t xml:space="preserve">视频跟踪仪的市场战略从全面铺开转向垂直深耕：</w:t>
      </w:r>
      <w:r>
        <w:t xml:space="preserve"> </w:t>
      </w:r>
      <w:r>
        <w:t xml:space="preserve">-</w:t>
      </w:r>
      <w:r>
        <w:t xml:space="preserve"> </w:t>
      </w:r>
      <w:r>
        <w:rPr>
          <w:bCs/>
          <w:b/>
        </w:rPr>
        <w:t xml:space="preserve">聚焦三大垂直领域</w:t>
      </w:r>
      <w:r>
        <w:t xml:space="preserve">：桥梁、隧道、边坡监测，每个领域建立专业解决方案团队</w:t>
      </w:r>
      <w:r>
        <w:t xml:space="preserve"> </w:t>
      </w:r>
      <w:r>
        <w:t xml:space="preserve">-</w:t>
      </w:r>
      <w:r>
        <w:t xml:space="preserve"> </w:t>
      </w:r>
      <w:r>
        <w:rPr>
          <w:bCs/>
          <w:b/>
        </w:rPr>
        <w:t xml:space="preserve">地区合作伙伴发展</w:t>
      </w:r>
      <w:r>
        <w:t xml:space="preserve">：每个重点区域发展2-3家类似”亿维”的整包项目合作伙伴</w:t>
      </w:r>
      <w:r>
        <w:t xml:space="preserve"> </w:t>
      </w:r>
      <w:r>
        <w:t xml:space="preserve">-</w:t>
      </w:r>
      <w:r>
        <w:t xml:space="preserve"> </w:t>
      </w:r>
      <w:r>
        <w:rPr>
          <w:bCs/>
          <w:b/>
        </w:rPr>
        <w:t xml:space="preserve">快速回款机制</w:t>
      </w:r>
      <w:r>
        <w:t xml:space="preserve">：优化合同条款，将回款周期从270天缩短至120天以内</w:t>
      </w:r>
    </w:p>
    <w:bookmarkStart w:id="78" w:name="表5-3视频跟踪仪垂直领域市场聚焦策略"/>
    <w:p>
      <w:pPr>
        <w:pStyle w:val="Heading4"/>
      </w:pPr>
      <w:r>
        <w:t xml:space="preserve">表5-3：视频跟踪仪垂直领域市场聚焦策略</w:t>
      </w:r>
    </w:p>
    <w:tbl>
      <w:tblPr>
        <w:tblStyle w:val="Table"/>
        <w:tblW w:type="pct" w:w="5000"/>
        <w:tblLook w:firstRow="1" w:lastRow="0" w:firstColumn="0" w:lastColumn="0" w:noHBand="0" w:noVBand="0" w:val="0020"/>
      </w:tblPr>
      <w:tblGrid>
        <w:gridCol w:w="1200"/>
        <w:gridCol w:w="1680"/>
        <w:gridCol w:w="1200"/>
        <w:gridCol w:w="1200"/>
        <w:gridCol w:w="1440"/>
        <w:gridCol w:w="120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rPr>
                <w:bCs/>
                <w:b/>
              </w:rP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rPr>
                <w:bCs/>
                <w:b/>
              </w:rP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rPr>
                <w:bCs/>
                <w:b/>
              </w:rP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75个项目</w:t>
            </w:r>
          </w:p>
        </w:tc>
        <w:tc>
          <w:tcPr/>
          <w:p>
            <w:pPr>
              <w:pStyle w:val="Compact"/>
              <w:jc w:val="left"/>
            </w:pPr>
            <w:r>
              <w:rPr>
                <w:bCs/>
                <w:b/>
              </w:rPr>
              <w:t xml:space="preserve">集中优势资源</w:t>
            </w:r>
          </w:p>
        </w:tc>
      </w:tr>
    </w:tbl>
    <w:bookmarkEnd w:id="78"/>
    <w:bookmarkEnd w:id="79"/>
    <w:bookmarkStart w:id="81"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r>
        <w:t xml:space="preserve"> </w:t>
      </w:r>
      <w:r>
        <w:t xml:space="preserve">-</w:t>
      </w:r>
      <w:r>
        <w:t xml:space="preserve"> </w:t>
      </w:r>
      <w:r>
        <w:rPr>
          <w:bCs/>
          <w:b/>
        </w:rPr>
        <w:t xml:space="preserve">合同条款优化</w:t>
      </w:r>
      <w:r>
        <w:t xml:space="preserve">：增加预付款比例（从10%提升至30%），缩短中期付款节点</w:t>
      </w:r>
      <w:r>
        <w:t xml:space="preserve"> </w:t>
      </w:r>
      <w:r>
        <w:t xml:space="preserve">-</w:t>
      </w:r>
      <w:r>
        <w:t xml:space="preserve"> </w:t>
      </w:r>
      <w:r>
        <w:rPr>
          <w:bCs/>
          <w:b/>
        </w:rPr>
        <w:t xml:space="preserve">客户信用管理</w:t>
      </w:r>
      <w:r>
        <w:t xml:space="preserve">：建立客户信用评级体系，对不同信用等级客户采取差异化的付款条件</w:t>
      </w:r>
      <w:r>
        <w:t xml:space="preserve"> </w:t>
      </w:r>
      <w:r>
        <w:t xml:space="preserve">-</w:t>
      </w:r>
      <w:r>
        <w:t xml:space="preserve"> </w:t>
      </w:r>
      <w:r>
        <w:rPr>
          <w:bCs/>
          <w:b/>
        </w:rPr>
        <w:t xml:space="preserve">应收账款证券化</w:t>
      </w:r>
      <w:r>
        <w:t xml:space="preserve">：与金融机构合作，对优质项目的应收账款进行保理融资</w:t>
      </w:r>
    </w:p>
    <w:bookmarkStart w:id="80" w:name="表5-4回款机制优化前后对比"/>
    <w:p>
      <w:pPr>
        <w:pStyle w:val="Heading4"/>
      </w:pPr>
      <w:r>
        <w:t xml:space="preserve">表5-4：回款机制优化前后对比</w:t>
      </w:r>
    </w:p>
    <w:tbl>
      <w:tblPr>
        <w:tblStyle w:val="Table"/>
        <w:tblW w:type="pct" w:w="5000"/>
        <w:tblLook w:firstRow="1" w:lastRow="0" w:firstColumn="0" w:lastColumn="0" w:noHBand="0" w:noVBand="0" w:val="0020"/>
      </w:tblPr>
      <w:tblGrid>
        <w:gridCol w:w="754"/>
        <w:gridCol w:w="2262"/>
        <w:gridCol w:w="2388"/>
        <w:gridCol w:w="1257"/>
        <w:gridCol w:w="1257"/>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rPr>
                <w:bCs/>
                <w:b/>
              </w:rP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rPr>
                <w:bCs/>
                <w:b/>
              </w:rP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rPr>
                <w:bCs/>
                <w:b/>
              </w:rP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rPr>
                <w:bCs/>
                <w:b/>
              </w:rP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rPr>
                <w:bCs/>
                <w:b/>
              </w:rP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80"/>
    <w:bookmarkEnd w:id="81"/>
    <w:bookmarkEnd w:id="82"/>
    <w:bookmarkStart w:id="87" w:name="组织架构资源重新配置与团队转型"/>
    <w:p>
      <w:pPr>
        <w:pStyle w:val="3"/>
      </w:pPr>
      <w:r>
        <w:t xml:space="preserve">5.3 组织架构：资源重新配置与团队转型</w:t>
      </w:r>
    </w:p>
    <w:p>
      <w:pPr>
        <w:pStyle w:val="FirstParagraph"/>
      </w:pPr>
      <w:r>
        <w:t xml:space="preserve">为支撑产品线差异化战略，HSM对组织架构进行系统性重组。</w:t>
      </w:r>
    </w:p>
    <w:bookmarkStart w:id="84" w:name="研发资源向标准化产品倾斜"/>
    <w:p>
      <w:pPr>
        <w:pStyle w:val="4"/>
      </w:pPr>
      <w:r>
        <w:t xml:space="preserve">5.3.1 研发资源向标准化产品倾斜</w:t>
      </w:r>
    </w:p>
    <w:p>
      <w:pPr>
        <w:pStyle w:val="FirstParagraph"/>
      </w:pPr>
      <w:r>
        <w:t xml:space="preserve">基于”减少售前，增大研发”的原则，重新配置研发资源：</w:t>
      </w:r>
      <w:r>
        <w:t xml:space="preserve"> </w:t>
      </w:r>
      <w:r>
        <w:t xml:space="preserve">-</w:t>
      </w:r>
      <w:r>
        <w:t xml:space="preserve"> </w:t>
      </w:r>
      <w:r>
        <w:rPr>
          <w:bCs/>
          <w:b/>
        </w:rPr>
        <w:t xml:space="preserve">研发人员重新分配</w:t>
      </w:r>
      <w:r>
        <w:t xml:space="preserve">：将视频跟踪仪定制开发团队50%的人员转向标准化产品研发</w:t>
      </w:r>
      <w:r>
        <w:t xml:space="preserve"> </w:t>
      </w:r>
      <w:r>
        <w:t xml:space="preserve">-</w:t>
      </w:r>
      <w:r>
        <w:t xml:space="preserve"> </w:t>
      </w:r>
      <w:r>
        <w:rPr>
          <w:bCs/>
          <w:b/>
        </w:rPr>
        <w:t xml:space="preserve">建立产品线研发中心</w:t>
      </w:r>
      <w:r>
        <w:t xml:space="preserve">：分别为三条产品线设立独立的研发团队，专注各自领域技术突破</w:t>
      </w:r>
      <w:r>
        <w:t xml:space="preserve"> </w:t>
      </w:r>
      <w:r>
        <w:t xml:space="preserve">-</w:t>
      </w:r>
      <w:r>
        <w:t xml:space="preserve"> </w:t>
      </w:r>
      <w:r>
        <w:rPr>
          <w:bCs/>
          <w:b/>
        </w:rPr>
        <w:t xml:space="preserve">创新激励机制</w:t>
      </w:r>
      <w:r>
        <w:t xml:space="preserve">：设立产品创新奖，鼓励研发人员申报专利、发表论文</w:t>
      </w:r>
    </w:p>
    <w:bookmarkStart w:id="83" w:name="表5-5研发资源重新配置方案"/>
    <w:p>
      <w:pPr>
        <w:pStyle w:val="Heading4"/>
      </w:pPr>
      <w:r>
        <w:t xml:space="preserve">表5-5：研发资源重新配置方案</w:t>
      </w:r>
    </w:p>
    <w:tbl>
      <w:tblPr>
        <w:tblStyle w:val="Table"/>
        <w:tblW w:type="pct" w:w="5000"/>
        <w:tblLook w:firstRow="1" w:lastRow="0" w:firstColumn="0" w:lastColumn="0" w:noHBand="0" w:noVBand="0" w:val="0020"/>
      </w:tblPr>
      <w:tblGrid>
        <w:gridCol w:w="920"/>
        <w:gridCol w:w="2394"/>
        <w:gridCol w:w="1933"/>
        <w:gridCol w:w="1749"/>
        <w:gridCol w:w="920"/>
      </w:tblGrid>
      <w:tr>
        <w:trPr>
          <w:tblHeader w:val="true"/>
        </w:trP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rPr>
                <w:bCs/>
                <w:b/>
              </w:rP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rPr>
                <w:bCs/>
                <w:b/>
              </w:rP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rPr>
                <w:bCs/>
                <w:b/>
              </w:rP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rPr>
                <w:bCs/>
                <w:b/>
              </w:rP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rPr>
                <w:bCs/>
                <w:b/>
              </w:rP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83"/>
    <w:bookmarkEnd w:id="84"/>
    <w:bookmarkStart w:id="85"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r>
        <w:t xml:space="preserve"> </w:t>
      </w:r>
      <w:r>
        <w:t xml:space="preserve">-</w:t>
      </w:r>
      <w:r>
        <w:t xml:space="preserve"> </w:t>
      </w:r>
      <w:r>
        <w:rPr>
          <w:bCs/>
          <w:b/>
        </w:rPr>
        <w:t xml:space="preserve">售前团队精简</w:t>
      </w:r>
      <w:r>
        <w:t xml:space="preserve">：将售前工程师从项目方案设计中解放，专注于标准化产品技术支持</w:t>
      </w:r>
      <w:r>
        <w:t xml:space="preserve"> </w:t>
      </w:r>
      <w:r>
        <w:t xml:space="preserve">-</w:t>
      </w:r>
      <w:r>
        <w:t xml:space="preserve"> </w:t>
      </w:r>
      <w:r>
        <w:rPr>
          <w:bCs/>
          <w:b/>
        </w:rPr>
        <w:t xml:space="preserve">售中实施支持</w:t>
      </w:r>
      <w:r>
        <w:t xml:space="preserve">：建立快速响应机制，确保产品交付与客户预期一致</w:t>
      </w:r>
      <w:r>
        <w:t xml:space="preserve"> </w:t>
      </w:r>
      <w:r>
        <w:t xml:space="preserve">-</w:t>
      </w:r>
      <w:r>
        <w:t xml:space="preserve"> </w:t>
      </w:r>
      <w:r>
        <w:rPr>
          <w:bCs/>
          <w:b/>
        </w:rPr>
        <w:t xml:space="preserve">售后价值挖掘</w:t>
      </w:r>
      <w:r>
        <w:t xml:space="preserve">：通过定期回访、软件升级、功能拓展挖掘客户终身价值</w:t>
      </w:r>
    </w:p>
    <w:bookmarkEnd w:id="85"/>
    <w:bookmarkStart w:id="86" w:name="项目制团队向产品化团队转型"/>
    <w:p>
      <w:pPr>
        <w:pStyle w:val="4"/>
      </w:pPr>
      <w:r>
        <w:t xml:space="preserve">5.3.3 项目制团队向产品化团队转型</w:t>
      </w:r>
    </w:p>
    <w:p>
      <w:pPr>
        <w:pStyle w:val="FirstParagraph"/>
      </w:pPr>
      <w:r>
        <w:t xml:space="preserve">视频跟踪仪团队从项目制向产品化转型：</w:t>
      </w:r>
      <w:r>
        <w:t xml:space="preserve"> </w:t>
      </w:r>
      <w:r>
        <w:t xml:space="preserve">-</w:t>
      </w:r>
      <w:r>
        <w:t xml:space="preserve"> </w:t>
      </w:r>
      <w:r>
        <w:rPr>
          <w:bCs/>
          <w:b/>
        </w:rPr>
        <w:t xml:space="preserve">建立产品经理负责制</w:t>
      </w:r>
      <w:r>
        <w:t xml:space="preserve">：每个垂直领域（桥梁、隧道、边坡）设立专职产品经理</w:t>
      </w:r>
      <w:r>
        <w:t xml:space="preserve"> </w:t>
      </w:r>
      <w:r>
        <w:t xml:space="preserve">-</w:t>
      </w:r>
      <w:r>
        <w:t xml:space="preserve"> </w:t>
      </w:r>
      <w:r>
        <w:rPr>
          <w:bCs/>
          <w:b/>
        </w:rPr>
        <w:t xml:space="preserve">标准化方案库建设</w:t>
      </w:r>
      <w:r>
        <w:t xml:space="preserve">：将项目经验沉淀为标准化方案模块，复用率从30%提升至70%</w:t>
      </w:r>
      <w:r>
        <w:t xml:space="preserve"> </w:t>
      </w:r>
      <w:r>
        <w:t xml:space="preserve">-</w:t>
      </w:r>
      <w:r>
        <w:t xml:space="preserve"> </w:t>
      </w:r>
      <w:r>
        <w:rPr>
          <w:bCs/>
          <w:b/>
        </w:rPr>
        <w:t xml:space="preserve">实施外包管理</w:t>
      </w:r>
      <w:r>
        <w:t xml:space="preserve">：将现场安装、调试等实施工作外包给地区合作伙伴，专注核心价值环节</w:t>
      </w:r>
    </w:p>
    <w:bookmarkEnd w:id="86"/>
    <w:bookmarkEnd w:id="87"/>
    <w:bookmarkStart w:id="92" w:name="数字化转型供应链与生产流程优化"/>
    <w:p>
      <w:pPr>
        <w:pStyle w:val="3"/>
      </w:pPr>
      <w:r>
        <w:t xml:space="preserve">5.4 数字化转型：供应链与生产流程优化</w:t>
      </w:r>
    </w:p>
    <w:p>
      <w:pPr>
        <w:pStyle w:val="FirstParagraph"/>
      </w:pPr>
      <w:r>
        <w:t xml:space="preserve">数字化转型是HSM战略转型的技术基础，重点优化供应链和生产流程。</w:t>
      </w:r>
    </w:p>
    <w:bookmarkStart w:id="89" w:name="视频引伸计与视频应变仪供应链调整与标准化生产"/>
    <w:p>
      <w:pPr>
        <w:pStyle w:val="4"/>
      </w:pPr>
      <w:r>
        <w:t xml:space="preserve">5.4.1 视频引伸计与视频应变仪：供应链调整与标准化生产</w:t>
      </w:r>
    </w:p>
    <w:p>
      <w:pPr>
        <w:pStyle w:val="FirstParagraph"/>
      </w:pPr>
      <w:r>
        <w:t xml:space="preserve">针对标准化产品线，数字化转型聚焦供应链优化：</w:t>
      </w:r>
      <w:r>
        <w:t xml:space="preserve"> </w:t>
      </w:r>
      <w:r>
        <w:t xml:space="preserve">-</w:t>
      </w:r>
      <w:r>
        <w:t xml:space="preserve"> </w:t>
      </w:r>
      <w:r>
        <w:rPr>
          <w:bCs/>
          <w:b/>
        </w:rPr>
        <w:t xml:space="preserve">供应链可视化平台</w:t>
      </w:r>
      <w:r>
        <w:t xml:space="preserve">：实时监控原材料库存、生产进度、物流状态</w:t>
      </w:r>
      <w:r>
        <w:t xml:space="preserve"> </w:t>
      </w:r>
      <w:r>
        <w:t xml:space="preserve">-</w:t>
      </w:r>
      <w:r>
        <w:t xml:space="preserve"> </w:t>
      </w:r>
      <w:r>
        <w:rPr>
          <w:bCs/>
          <w:b/>
        </w:rPr>
        <w:t xml:space="preserve">供应商协同系统</w:t>
      </w:r>
      <w:r>
        <w:t xml:space="preserve">：与核心供应商共享需求预测，实现JIT（准时制）供货</w:t>
      </w:r>
      <w:r>
        <w:t xml:space="preserve"> </w:t>
      </w:r>
      <w:r>
        <w:t xml:space="preserve">-</w:t>
      </w:r>
      <w:r>
        <w:t xml:space="preserve"> </w:t>
      </w:r>
      <w:r>
        <w:rPr>
          <w:bCs/>
          <w:b/>
        </w:rPr>
        <w:t xml:space="preserve">生产自动化升级</w:t>
      </w:r>
      <w:r>
        <w:t xml:space="preserve">：引入自动化测试设备，将人工测试环节减少50%</w:t>
      </w:r>
    </w:p>
    <w:bookmarkStart w:id="88" w:name="表5-6视频引伸计应变仪供应链调整效果预测"/>
    <w:p>
      <w:pPr>
        <w:pStyle w:val="Heading4"/>
      </w:pPr>
      <w:r>
        <w:t xml:space="preserve">表5-6：视频引伸计/应变仪供应链调整效果预测</w:t>
      </w:r>
    </w:p>
    <w:tbl>
      <w:tblPr>
        <w:tblStyle w:val="Table"/>
        <w:tblW w:type="pct" w:w="5000"/>
        <w:tblLook w:firstRow="1" w:lastRow="0" w:firstColumn="0" w:lastColumn="0" w:noHBand="0" w:noVBand="0" w:val="0020"/>
      </w:tblPr>
      <w:tblGrid>
        <w:gridCol w:w="1827"/>
        <w:gridCol w:w="1218"/>
        <w:gridCol w:w="1827"/>
        <w:gridCol w:w="1523"/>
        <w:gridCol w:w="1523"/>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rPr>
                <w:bCs/>
                <w:b/>
              </w:rP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rPr>
                <w:bCs/>
                <w:b/>
              </w:rP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rPr>
                <w:bCs/>
                <w:b/>
              </w:rP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rPr>
                <w:bCs/>
                <w:b/>
              </w:rP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rPr>
                <w:bCs/>
                <w:b/>
              </w:rP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8"/>
    <w:bookmarkEnd w:id="89"/>
    <w:bookmarkStart w:id="90" w:name="视频跟踪仪产业链优化与合作伙伴协同平台"/>
    <w:p>
      <w:pPr>
        <w:pStyle w:val="4"/>
      </w:pPr>
      <w:r>
        <w:t xml:space="preserve">5.4.2 视频跟踪仪：产业链优化与合作伙伴协同平台</w:t>
      </w:r>
    </w:p>
    <w:p>
      <w:pPr>
        <w:pStyle w:val="FirstParagraph"/>
      </w:pPr>
      <w:r>
        <w:t xml:space="preserve">视频跟踪仪的数字化转型重点在产业链协同：</w:t>
      </w:r>
      <w:r>
        <w:t xml:space="preserve"> </w:t>
      </w:r>
      <w:r>
        <w:t xml:space="preserve">-</w:t>
      </w:r>
      <w:r>
        <w:t xml:space="preserve"> </w:t>
      </w:r>
      <w:r>
        <w:rPr>
          <w:bCs/>
          <w:b/>
        </w:rPr>
        <w:t xml:space="preserve">合作伙伴门户</w:t>
      </w:r>
      <w:r>
        <w:t xml:space="preserve">：为地区合作伙伴提供方案设计、技术支持、项目管理的在线平台</w:t>
      </w:r>
      <w:r>
        <w:t xml:space="preserve"> </w:t>
      </w:r>
      <w:r>
        <w:t xml:space="preserve">-</w:t>
      </w:r>
      <w:r>
        <w:t xml:space="preserve"> </w:t>
      </w:r>
      <w:r>
        <w:rPr>
          <w:bCs/>
          <w:b/>
        </w:rPr>
        <w:t xml:space="preserve">远程诊断系统</w:t>
      </w:r>
      <w:r>
        <w:t xml:space="preserve">：通过物联网技术实现设备远程监控、故障预警和诊断</w:t>
      </w:r>
      <w:r>
        <w:t xml:space="preserve"> </w:t>
      </w:r>
      <w:r>
        <w:t xml:space="preserve">-</w:t>
      </w:r>
      <w:r>
        <w:t xml:space="preserve"> </w:t>
      </w:r>
      <w:r>
        <w:rPr>
          <w:bCs/>
          <w:b/>
        </w:rPr>
        <w:t xml:space="preserve">项目协同工具</w:t>
      </w:r>
      <w:r>
        <w:t xml:space="preserve">：支持多参与方在线协作，提高项目执行效率</w:t>
      </w:r>
    </w:p>
    <w:bookmarkEnd w:id="90"/>
    <w:bookmarkStart w:id="91" w:name="数字化工具提升管理效率"/>
    <w:p>
      <w:pPr>
        <w:pStyle w:val="4"/>
      </w:pPr>
      <w:r>
        <w:t xml:space="preserve">5.4.3 数字化工具提升管理效率</w:t>
      </w:r>
    </w:p>
    <w:p>
      <w:pPr>
        <w:pStyle w:val="FirstParagraph"/>
      </w:pPr>
      <w:r>
        <w:t xml:space="preserve">公司层面推广数字化管理工具：</w:t>
      </w:r>
      <w:r>
        <w:t xml:space="preserve"> </w:t>
      </w:r>
      <w:r>
        <w:t xml:space="preserve">-</w:t>
      </w:r>
      <w:r>
        <w:t xml:space="preserve"> </w:t>
      </w:r>
      <w:r>
        <w:rPr>
          <w:bCs/>
          <w:b/>
        </w:rPr>
        <w:t xml:space="preserve">ERP系统升级</w:t>
      </w:r>
      <w:r>
        <w:t xml:space="preserve">：集成销售、生产、财务、人力资源模块，实现数据一体化</w:t>
      </w:r>
      <w:r>
        <w:t xml:space="preserve"> </w:t>
      </w:r>
      <w:r>
        <w:t xml:space="preserve">-</w:t>
      </w:r>
      <w:r>
        <w:t xml:space="preserve"> </w:t>
      </w:r>
      <w:r>
        <w:rPr>
          <w:bCs/>
          <w:b/>
        </w:rPr>
        <w:t xml:space="preserve">BI数据分析平台</w:t>
      </w:r>
      <w:r>
        <w:t xml:space="preserve">：实时监控三条产品线的关键绩效指标，支持数据驱动决策</w:t>
      </w:r>
      <w:r>
        <w:t xml:space="preserve"> </w:t>
      </w:r>
      <w:r>
        <w:t xml:space="preserve">-</w:t>
      </w:r>
      <w:r>
        <w:t xml:space="preserve"> </w:t>
      </w:r>
      <w:r>
        <w:rPr>
          <w:bCs/>
          <w:b/>
        </w:rPr>
        <w:t xml:space="preserve">移动办公系统</w:t>
      </w:r>
      <w:r>
        <w:t xml:space="preserve">：支持远程协作，适应后疫情时代的灵活工作模式</w:t>
      </w:r>
    </w:p>
    <w:bookmarkEnd w:id="91"/>
    <w:bookmarkEnd w:id="92"/>
    <w:bookmarkStart w:id="97" w:name="生态合作构建可持续发展伙伴关系"/>
    <w:p>
      <w:pPr>
        <w:pStyle w:val="3"/>
      </w:pPr>
      <w:r>
        <w:t xml:space="preserve">5.5 生态合作：构建可持续发展伙伴关系</w:t>
      </w:r>
    </w:p>
    <w:p>
      <w:pPr>
        <w:pStyle w:val="FirstParagraph"/>
      </w:pPr>
      <w:r>
        <w:t xml:space="preserve">生态合作是HSM战略转型的长期保障，通过构建多层次伙伴关系实现共赢发展。</w:t>
      </w:r>
    </w:p>
    <w:bookmarkStart w:id="93" w:name="与试验机厂家的深度合作模式"/>
    <w:p>
      <w:pPr>
        <w:pStyle w:val="4"/>
      </w:pPr>
      <w:r>
        <w:t xml:space="preserve">5.5.1 与试验机厂家的深度合作模式</w:t>
      </w:r>
    </w:p>
    <w:p>
      <w:pPr>
        <w:pStyle w:val="FirstParagraph"/>
      </w:pPr>
      <w:r>
        <w:t xml:space="preserve">与试验机厂家的合作超越简单的产品销售：</w:t>
      </w:r>
      <w:r>
        <w:t xml:space="preserve"> </w:t>
      </w:r>
      <w:r>
        <w:t xml:space="preserve">-</w:t>
      </w:r>
      <w:r>
        <w:t xml:space="preserve"> </w:t>
      </w:r>
      <w:r>
        <w:rPr>
          <w:bCs/>
          <w:b/>
        </w:rPr>
        <w:t xml:space="preserve">技术集成合作</w:t>
      </w:r>
      <w:r>
        <w:t xml:space="preserve">：将HSM的DIC技术深度集成到试验机控制系统中</w:t>
      </w:r>
      <w:r>
        <w:t xml:space="preserve"> </w:t>
      </w:r>
      <w:r>
        <w:t xml:space="preserve">-</w:t>
      </w:r>
      <w:r>
        <w:t xml:space="preserve"> </w:t>
      </w:r>
      <w:r>
        <w:rPr>
          <w:bCs/>
          <w:b/>
        </w:rPr>
        <w:t xml:space="preserve">联合研发</w:t>
      </w:r>
      <w:r>
        <w:t xml:space="preserve">：共同开发面向特定材料测试的专用测量模块</w:t>
      </w:r>
      <w:r>
        <w:t xml:space="preserve"> </w:t>
      </w:r>
      <w:r>
        <w:t xml:space="preserve">-</w:t>
      </w:r>
      <w:r>
        <w:t xml:space="preserve"> </w:t>
      </w:r>
      <w:r>
        <w:rPr>
          <w:bCs/>
          <w:b/>
        </w:rPr>
        <w:t xml:space="preserve">市场共拓</w:t>
      </w:r>
      <w:r>
        <w:t xml:space="preserve">：共享客户资源，联合拓展海外市场</w:t>
      </w:r>
    </w:p>
    <w:bookmarkEnd w:id="93"/>
    <w:bookmarkStart w:id="95" w:name="地区合作伙伴培育与管理体系"/>
    <w:p>
      <w:pPr>
        <w:pStyle w:val="4"/>
      </w:pPr>
      <w:r>
        <w:t xml:space="preserve">5.5.2 地区合作伙伴培育与管理体系</w:t>
      </w:r>
    </w:p>
    <w:p>
      <w:pPr>
        <w:pStyle w:val="FirstParagraph"/>
      </w:pPr>
      <w:r>
        <w:t xml:space="preserve">针对视频跟踪仪业务，建立地区合作伙伴培育体系：</w:t>
      </w:r>
      <w:r>
        <w:t xml:space="preserve"> </w:t>
      </w:r>
      <w:r>
        <w:t xml:space="preserve">-</w:t>
      </w:r>
      <w:r>
        <w:t xml:space="preserve"> </w:t>
      </w:r>
      <w:r>
        <w:rPr>
          <w:bCs/>
          <w:b/>
        </w:rPr>
        <w:t xml:space="preserve">合作伙伴分级管理</w:t>
      </w:r>
      <w:r>
        <w:t xml:space="preserve">：根据能力、业绩将合作伙伴分为金牌、银牌、铜牌三级</w:t>
      </w:r>
      <w:r>
        <w:t xml:space="preserve"> </w:t>
      </w:r>
      <w:r>
        <w:t xml:space="preserve">-</w:t>
      </w:r>
      <w:r>
        <w:t xml:space="preserve"> </w:t>
      </w:r>
      <w:r>
        <w:rPr>
          <w:bCs/>
          <w:b/>
        </w:rPr>
        <w:t xml:space="preserve">全方位支持</w:t>
      </w:r>
      <w:r>
        <w:t xml:space="preserve">：提供技术培训、市场资源、项目协作、资金支持等全方位赋能</w:t>
      </w:r>
      <w:r>
        <w:t xml:space="preserve"> </w:t>
      </w:r>
      <w:r>
        <w:t xml:space="preserve">-</w:t>
      </w:r>
      <w:r>
        <w:t xml:space="preserve"> </w:t>
      </w:r>
      <w:r>
        <w:rPr>
          <w:bCs/>
          <w:b/>
        </w:rPr>
        <w:t xml:space="preserve">利益共享机制</w:t>
      </w:r>
      <w:r>
        <w:t xml:space="preserve">：建立透明的利润分配机制，确保合作伙伴有持续合作动力</w:t>
      </w:r>
    </w:p>
    <w:bookmarkStart w:id="94" w:name="表5-7地区合作伙伴选择标准与培育计划"/>
    <w:p>
      <w:pPr>
        <w:pStyle w:val="Heading4"/>
      </w:pPr>
      <w:r>
        <w:t xml:space="preserve">表5-7：地区合作伙伴选择标准与培育计划</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rPr>
                <w:bCs/>
                <w:b/>
              </w:rP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rPr>
                <w:bCs/>
                <w:b/>
              </w:rP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rPr>
                <w:bCs/>
                <w:b/>
              </w:rP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r>
        <w:tc>
          <w:tcPr/>
          <w:p>
            <w:pPr>
              <w:pStyle w:val="Compact"/>
              <w:jc w:val="left"/>
            </w:pPr>
            <w:r>
              <w:rPr>
                <w:bCs/>
                <w:b/>
              </w:rP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rPr>
                <w:bCs/>
                <w:b/>
              </w:rP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rPr>
                <w:bCs/>
                <w:b/>
              </w:rP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94"/>
    <w:bookmarkEnd w:id="95"/>
    <w:bookmarkStart w:id="96" w:name="产学研合作与行业标准共建"/>
    <w:p>
      <w:pPr>
        <w:pStyle w:val="4"/>
      </w:pPr>
      <w:r>
        <w:t xml:space="preserve">5.5.3 产学研合作与行业标准共建</w:t>
      </w:r>
    </w:p>
    <w:p>
      <w:pPr>
        <w:pStyle w:val="FirstParagraph"/>
      </w:pPr>
      <w:r>
        <w:t xml:space="preserve">长期生态建设包括产学研合作和行业标准参与：</w:t>
      </w:r>
      <w:r>
        <w:t xml:space="preserve"> </w:t>
      </w:r>
      <w:r>
        <w:t xml:space="preserve">-</w:t>
      </w:r>
      <w:r>
        <w:t xml:space="preserve"> </w:t>
      </w:r>
      <w:r>
        <w:rPr>
          <w:bCs/>
          <w:b/>
        </w:rPr>
        <w:t xml:space="preserve">高校联合实验室</w:t>
      </w:r>
      <w:r>
        <w:t xml:space="preserve">：与清华大学、同济大学等建立联合实验室，推动前沿技术研究</w:t>
      </w:r>
      <w:r>
        <w:t xml:space="preserve"> </w:t>
      </w:r>
      <w:r>
        <w:t xml:space="preserve">-</w:t>
      </w:r>
      <w:r>
        <w:t xml:space="preserve"> </w:t>
      </w:r>
      <w:r>
        <w:rPr>
          <w:bCs/>
          <w:b/>
        </w:rPr>
        <w:t xml:space="preserve">行业标准制定</w:t>
      </w:r>
      <w:r>
        <w:t xml:space="preserve">：积极参与DIC技术相关国家标准的制定，提升行业话语权</w:t>
      </w:r>
      <w:r>
        <w:t xml:space="preserve"> </w:t>
      </w:r>
      <w:r>
        <w:t xml:space="preserve">-</w:t>
      </w:r>
      <w:r>
        <w:t xml:space="preserve"> </w:t>
      </w:r>
      <w:r>
        <w:rPr>
          <w:bCs/>
          <w:b/>
        </w:rPr>
        <w:t xml:space="preserve">产业联盟建设</w:t>
      </w:r>
      <w:r>
        <w:t xml:space="preserve">：发起成立”视觉测量产业创新联盟”，整合产业链资源</w:t>
      </w:r>
    </w:p>
    <w:bookmarkEnd w:id="96"/>
    <w:bookmarkEnd w:id="97"/>
    <w:bookmarkStart w:id="101"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8" w:name="第一阶段基础建设期2026年"/>
    <w:p>
      <w:pPr>
        <w:pStyle w:val="4"/>
      </w:pPr>
      <w:r>
        <w:t xml:space="preserve">5.6.1 第一阶段：基础建设期（2026年）</w:t>
      </w:r>
    </w:p>
    <w:p>
      <w:pPr>
        <w:numPr>
          <w:ilvl w:val="0"/>
          <w:numId w:val="1003"/>
        </w:numPr>
        <w:pStyle w:val="Compact"/>
      </w:pPr>
      <w:r>
        <w:rPr>
          <w:bCs/>
          <w:b/>
        </w:rPr>
        <w:t xml:space="preserve">Q1-Q2</w:t>
      </w:r>
      <w:r>
        <w:t xml:space="preserve">：组织架构调整、研发资源重新配置</w:t>
      </w:r>
    </w:p>
    <w:p>
      <w:pPr>
        <w:numPr>
          <w:ilvl w:val="0"/>
          <w:numId w:val="1003"/>
        </w:numPr>
        <w:pStyle w:val="Compact"/>
      </w:pPr>
      <w:r>
        <w:rPr>
          <w:bCs/>
          <w:b/>
        </w:rPr>
        <w:t xml:space="preserve">Q2-Q3</w:t>
      </w:r>
      <w:r>
        <w:t xml:space="preserve">：捆绑销售合作签约、地区合作伙伴发展</w:t>
      </w:r>
    </w:p>
    <w:p>
      <w:pPr>
        <w:numPr>
          <w:ilvl w:val="0"/>
          <w:numId w:val="1003"/>
        </w:numPr>
        <w:pStyle w:val="Compact"/>
      </w:pPr>
      <w:r>
        <w:rPr>
          <w:bCs/>
          <w:b/>
        </w:rPr>
        <w:t xml:space="preserve">Q3-Q4</w:t>
      </w:r>
      <w:r>
        <w:t xml:space="preserve">：供应链优化、数字化平台建设</w:t>
      </w:r>
    </w:p>
    <w:bookmarkEnd w:id="98"/>
    <w:bookmarkStart w:id="99" w:name="第二阶段全面推进期2027年"/>
    <w:p>
      <w:pPr>
        <w:pStyle w:val="4"/>
      </w:pPr>
      <w:r>
        <w:t xml:space="preserve">5.6.2 第二阶段：全面推进期（2027年）</w:t>
      </w:r>
    </w:p>
    <w:p>
      <w:pPr>
        <w:numPr>
          <w:ilvl w:val="0"/>
          <w:numId w:val="1004"/>
        </w:numPr>
        <w:pStyle w:val="Compact"/>
      </w:pPr>
      <w:r>
        <w:rPr>
          <w:bCs/>
          <w:b/>
        </w:rPr>
        <w:t xml:space="preserve">Q1-Q2</w:t>
      </w:r>
      <w:r>
        <w:t xml:space="preserve">：新产品研发突破、垂直领域市场拓展</w:t>
      </w:r>
    </w:p>
    <w:p>
      <w:pPr>
        <w:numPr>
          <w:ilvl w:val="0"/>
          <w:numId w:val="1004"/>
        </w:numPr>
        <w:pStyle w:val="Compact"/>
      </w:pPr>
      <w:r>
        <w:rPr>
          <w:bCs/>
          <w:b/>
        </w:rPr>
        <w:t xml:space="preserve">Q3-Q4</w:t>
      </w:r>
      <w:r>
        <w:t xml:space="preserve">：合作伙伴体系成熟、回款机制优化见效</w:t>
      </w:r>
    </w:p>
    <w:bookmarkEnd w:id="99"/>
    <w:bookmarkStart w:id="100" w:name="第三阶段成果巩固期2028年"/>
    <w:p>
      <w:pPr>
        <w:pStyle w:val="4"/>
      </w:pPr>
      <w:r>
        <w:t xml:space="preserve">5.6.3 第三阶段：成果巩固期（2028年）</w:t>
      </w:r>
    </w:p>
    <w:p>
      <w:pPr>
        <w:numPr>
          <w:ilvl w:val="0"/>
          <w:numId w:val="1005"/>
        </w:numPr>
        <w:pStyle w:val="Compact"/>
      </w:pPr>
      <w:r>
        <w:t xml:space="preserve">三条产品线均衡发展</w:t>
      </w:r>
    </w:p>
    <w:p>
      <w:pPr>
        <w:numPr>
          <w:ilvl w:val="0"/>
          <w:numId w:val="1005"/>
        </w:numPr>
        <w:pStyle w:val="Compact"/>
      </w:pPr>
      <w:r>
        <w:t xml:space="preserve">资金周转率显著提升</w:t>
      </w:r>
    </w:p>
    <w:p>
      <w:pPr>
        <w:numPr>
          <w:ilvl w:val="0"/>
          <w:numId w:val="1005"/>
        </w:numPr>
        <w:pStyle w:val="Compact"/>
      </w:pPr>
      <w:r>
        <w:t xml:space="preserve">行业领导地位巩固</w:t>
      </w:r>
    </w:p>
    <w:bookmarkEnd w:id="100"/>
    <w:bookmarkEnd w:id="101"/>
    <w:bookmarkStart w:id="104" w:name="预期成效与风险评估"/>
    <w:p>
      <w:pPr>
        <w:pStyle w:val="3"/>
      </w:pPr>
      <w:r>
        <w:t xml:space="preserve">5.7 预期成效与风险评估</w:t>
      </w:r>
    </w:p>
    <w:bookmarkStart w:id="102" w:name="预期成效"/>
    <w:p>
      <w:pPr>
        <w:pStyle w:val="4"/>
      </w:pPr>
      <w:r>
        <w:t xml:space="preserve">5.7.1 预期成效</w:t>
      </w:r>
    </w:p>
    <w:p>
      <w:pPr>
        <w:numPr>
          <w:ilvl w:val="0"/>
          <w:numId w:val="1006"/>
        </w:numPr>
        <w:pStyle w:val="Compact"/>
      </w:pPr>
      <w:r>
        <w:rPr>
          <w:bCs/>
          <w:b/>
        </w:rPr>
        <w:t xml:space="preserve">财务指标改善</w:t>
      </w:r>
      <w:r>
        <w:t xml:space="preserve">：整体毛利率从55%提升至65%，资金周转率从1.5次/年提升至3.0次/年</w:t>
      </w:r>
    </w:p>
    <w:p>
      <w:pPr>
        <w:numPr>
          <w:ilvl w:val="0"/>
          <w:numId w:val="1006"/>
        </w:numPr>
        <w:pStyle w:val="Compact"/>
      </w:pPr>
      <w:r>
        <w:rPr>
          <w:bCs/>
          <w:b/>
        </w:rPr>
        <w:t xml:space="preserve">市场地位巩固</w:t>
      </w:r>
      <w:r>
        <w:t xml:space="preserve">：视频引伸计/应变仪国内市场占有率从30%提升至45%</w:t>
      </w:r>
    </w:p>
    <w:p>
      <w:pPr>
        <w:numPr>
          <w:ilvl w:val="0"/>
          <w:numId w:val="1006"/>
        </w:numPr>
        <w:pStyle w:val="Compact"/>
      </w:pPr>
      <w:r>
        <w:rPr>
          <w:bCs/>
          <w:b/>
        </w:rPr>
        <w:t xml:space="preserve">产品结构优化</w:t>
      </w:r>
      <w:r>
        <w:t xml:space="preserve">：标准化产品收入占比从60%提升至80%</w:t>
      </w:r>
    </w:p>
    <w:p>
      <w:pPr>
        <w:numPr>
          <w:ilvl w:val="0"/>
          <w:numId w:val="1006"/>
        </w:numPr>
        <w:pStyle w:val="Compact"/>
      </w:pPr>
      <w:r>
        <w:rPr>
          <w:bCs/>
          <w:b/>
        </w:rPr>
        <w:t xml:space="preserve">组织效率提升</w:t>
      </w:r>
      <w:r>
        <w:t xml:space="preserve">：人均产值从100万元/年提升至150万元/年</w:t>
      </w:r>
    </w:p>
    <w:bookmarkEnd w:id="102"/>
    <w:bookmarkStart w:id="103" w:name="风险与应对"/>
    <w:p>
      <w:pPr>
        <w:pStyle w:val="4"/>
      </w:pPr>
      <w:r>
        <w:t xml:space="preserve">5.7.2 风险与应对</w:t>
      </w:r>
    </w:p>
    <w:p>
      <w:pPr>
        <w:numPr>
          <w:ilvl w:val="0"/>
          <w:numId w:val="1007"/>
        </w:numPr>
        <w:pStyle w:val="Compact"/>
      </w:pPr>
      <w:r>
        <w:rPr>
          <w:bCs/>
          <w:b/>
        </w:rPr>
        <w:t xml:space="preserve">合作伙伴管理风险</w:t>
      </w:r>
      <w:r>
        <w:t xml:space="preserve">：建立严格的合作伙伴筛选和退出机制</w:t>
      </w:r>
    </w:p>
    <w:p>
      <w:pPr>
        <w:numPr>
          <w:ilvl w:val="0"/>
          <w:numId w:val="1007"/>
        </w:numPr>
        <w:pStyle w:val="Compact"/>
      </w:pPr>
      <w:r>
        <w:rPr>
          <w:bCs/>
          <w:b/>
        </w:rPr>
        <w:t xml:space="preserve">技术研发不确定性</w:t>
      </w:r>
      <w:r>
        <w:t xml:space="preserve">：保持适度的研发投入冗余，分散技术路线风险</w:t>
      </w:r>
    </w:p>
    <w:p>
      <w:pPr>
        <w:numPr>
          <w:ilvl w:val="0"/>
          <w:numId w:val="1007"/>
        </w:numPr>
        <w:pStyle w:val="Compact"/>
      </w:pPr>
      <w:r>
        <w:rPr>
          <w:bCs/>
          <w:b/>
        </w:rPr>
        <w:t xml:space="preserve">市场竞争加剧</w:t>
      </w:r>
      <w:r>
        <w:t xml:space="preserve">：持续技术创新，构建专利护城河</w:t>
      </w:r>
    </w:p>
    <w:p>
      <w:pPr>
        <w:numPr>
          <w:ilvl w:val="0"/>
          <w:numId w:val="1007"/>
        </w:numPr>
        <w:pStyle w:val="Compact"/>
      </w:pPr>
      <w:r>
        <w:rPr>
          <w:bCs/>
          <w:b/>
        </w:rPr>
        <w:t xml:space="preserve">供应链波动风险</w:t>
      </w:r>
      <w:r>
        <w:t xml:space="preserve">：建立多源供应体系，保持供应链弹性</w:t>
      </w:r>
    </w:p>
    <w:p>
      <w:r>
        <w:pict>
          <v:rect style="width:0;height:1.5pt" o:hralign="center" o:hrstd="t" o:hr="t"/>
        </w:pict>
      </w:r>
    </w:p>
    <w:p>
      <w:pPr>
        <w:pStyle w:val="FirstParagraph"/>
      </w:pPr>
      <w:r>
        <w:rPr>
          <w:bCs/>
          <w:b/>
        </w:rPr>
        <w:t xml:space="preserve">本章小结</w:t>
      </w:r>
      <w:r>
        <w:t xml:space="preserve">：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103"/>
    <w:bookmarkEnd w:id="104"/>
    <w:bookmarkEnd w:id="105"/>
    <w:bookmarkStart w:id="110" w:name="第六章-hsm战略转型的成效评估"/>
    <w:p>
      <w:pPr>
        <w:pStyle w:val="2"/>
      </w:pPr>
      <w:r>
        <w:t xml:space="preserve">第六章 HSM战略转型的成效评估</w:t>
      </w:r>
    </w:p>
    <w:bookmarkStart w:id="106"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106"/>
    <w:bookmarkStart w:id="107"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107"/>
    <w:bookmarkStart w:id="108"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108"/>
    <w:bookmarkStart w:id="109"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109"/>
    <w:bookmarkEnd w:id="110"/>
    <w:bookmarkStart w:id="127" w:name="第七章-结论与建议"/>
    <w:p>
      <w:pPr>
        <w:pStyle w:val="2"/>
      </w:pPr>
      <w:r>
        <w:t xml:space="preserve">第七章 结论与建议</w:t>
      </w:r>
    </w:p>
    <w:bookmarkStart w:id="111"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111"/>
    <w:bookmarkStart w:id="115" w:name="管理启示"/>
    <w:p>
      <w:pPr>
        <w:pStyle w:val="3"/>
      </w:pPr>
      <w:r>
        <w:t xml:space="preserve">7.2 管理启示</w:t>
      </w:r>
    </w:p>
    <w:bookmarkStart w:id="112"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8"/>
        </w:numPr>
        <w:pStyle w:val="Compact"/>
      </w:pPr>
      <w:r>
        <w:rPr>
          <w:bCs/>
          <w:b/>
        </w:rPr>
        <w:t xml:space="preserve">持续投入研发创新</w:t>
      </w:r>
      <w:r>
        <w:t xml:space="preserve">：</w:t>
      </w:r>
    </w:p>
    <w:p>
      <w:pPr>
        <w:numPr>
          <w:ilvl w:val="1"/>
          <w:numId w:val="1009"/>
        </w:numPr>
        <w:pStyle w:val="Compact"/>
      </w:pPr>
      <w:r>
        <w:t xml:space="preserve">保持稳定的研发投入比例，确保技术创新的持续性</w:t>
      </w:r>
    </w:p>
    <w:p>
      <w:pPr>
        <w:numPr>
          <w:ilvl w:val="1"/>
          <w:numId w:val="1009"/>
        </w:numPr>
        <w:pStyle w:val="Compact"/>
      </w:pPr>
      <w:r>
        <w:t xml:space="preserve">建立多层次的研发体系，兼顾短期应用和长期储备</w:t>
      </w:r>
    </w:p>
    <w:p>
      <w:pPr>
        <w:numPr>
          <w:ilvl w:val="1"/>
          <w:numId w:val="1009"/>
        </w:numPr>
        <w:pStyle w:val="Compact"/>
      </w:pPr>
      <w:r>
        <w:t xml:space="preserve">完善研发激励机制，激发创新活力</w:t>
      </w:r>
    </w:p>
    <w:p>
      <w:pPr>
        <w:numPr>
          <w:ilvl w:val="0"/>
          <w:numId w:val="1008"/>
        </w:numPr>
        <w:pStyle w:val="Compact"/>
      </w:pPr>
      <w:r>
        <w:rPr>
          <w:bCs/>
          <w:b/>
        </w:rPr>
        <w:t xml:space="preserve">前瞻性技术布局</w:t>
      </w:r>
      <w:r>
        <w:t xml:space="preserve">：</w:t>
      </w:r>
    </w:p>
    <w:p>
      <w:pPr>
        <w:numPr>
          <w:ilvl w:val="1"/>
          <w:numId w:val="1010"/>
        </w:numPr>
        <w:pStyle w:val="Compact"/>
      </w:pPr>
      <w:r>
        <w:t xml:space="preserve">关注前沿技术发展趋势，提前布局未来技术</w:t>
      </w:r>
    </w:p>
    <w:p>
      <w:pPr>
        <w:numPr>
          <w:ilvl w:val="1"/>
          <w:numId w:val="1010"/>
        </w:numPr>
        <w:pStyle w:val="Compact"/>
      </w:pPr>
      <w:r>
        <w:t xml:space="preserve">建立技术情报收集和分析机制，把握技术发展方向</w:t>
      </w:r>
    </w:p>
    <w:p>
      <w:pPr>
        <w:numPr>
          <w:ilvl w:val="1"/>
          <w:numId w:val="1010"/>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11"/>
        </w:numPr>
        <w:pStyle w:val="Compact"/>
      </w:pPr>
      <w:r>
        <w:rPr>
          <w:bCs/>
          <w:b/>
        </w:rPr>
        <w:t xml:space="preserve">标准化与定制化平衡</w:t>
      </w:r>
      <w:r>
        <w:t xml:space="preserve">：</w:t>
      </w:r>
    </w:p>
    <w:p>
      <w:pPr>
        <w:numPr>
          <w:ilvl w:val="1"/>
          <w:numId w:val="1012"/>
        </w:numPr>
        <w:pStyle w:val="Compact"/>
      </w:pPr>
      <w:r>
        <w:t xml:space="preserve">推进产品标准化，降低成本和提高效率</w:t>
      </w:r>
    </w:p>
    <w:p>
      <w:pPr>
        <w:numPr>
          <w:ilvl w:val="1"/>
          <w:numId w:val="1012"/>
        </w:numPr>
        <w:pStyle w:val="Compact"/>
      </w:pPr>
      <w:r>
        <w:t xml:space="preserve">保留必要的定制化能力，满足特殊客户需求</w:t>
      </w:r>
    </w:p>
    <w:p>
      <w:pPr>
        <w:numPr>
          <w:ilvl w:val="1"/>
          <w:numId w:val="1012"/>
        </w:numPr>
        <w:pStyle w:val="Compact"/>
      </w:pPr>
      <w:r>
        <w:t xml:space="preserve">建立模块化的产品架构，平衡标准化和灵活性</w:t>
      </w:r>
    </w:p>
    <w:p>
      <w:pPr>
        <w:numPr>
          <w:ilvl w:val="0"/>
          <w:numId w:val="1011"/>
        </w:numPr>
        <w:pStyle w:val="Compact"/>
      </w:pPr>
      <w:r>
        <w:rPr>
          <w:bCs/>
          <w:b/>
        </w:rPr>
        <w:t xml:space="preserve">客户关系深度经营</w:t>
      </w:r>
      <w:r>
        <w:t xml:space="preserve">：</w:t>
      </w:r>
    </w:p>
    <w:p>
      <w:pPr>
        <w:numPr>
          <w:ilvl w:val="1"/>
          <w:numId w:val="1013"/>
        </w:numPr>
        <w:pStyle w:val="Compact"/>
      </w:pPr>
      <w:r>
        <w:t xml:space="preserve">建立长期的客户关系，提高客户粘性</w:t>
      </w:r>
    </w:p>
    <w:p>
      <w:pPr>
        <w:numPr>
          <w:ilvl w:val="1"/>
          <w:numId w:val="1013"/>
        </w:numPr>
        <w:pStyle w:val="Compact"/>
      </w:pPr>
      <w:r>
        <w:t xml:space="preserve">深入参与客户的业务流程，成为战略合作伙伴</w:t>
      </w:r>
    </w:p>
    <w:p>
      <w:pPr>
        <w:numPr>
          <w:ilvl w:val="1"/>
          <w:numId w:val="1013"/>
        </w:numPr>
        <w:pStyle w:val="Compact"/>
      </w:pPr>
      <w:r>
        <w:t xml:space="preserve">提供全生命周期的服务，创造持续价值</w:t>
      </w:r>
    </w:p>
    <w:bookmarkEnd w:id="112"/>
    <w:bookmarkStart w:id="113"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14"/>
        </w:numPr>
        <w:pStyle w:val="Compact"/>
      </w:pPr>
      <w:r>
        <w:rPr>
          <w:bCs/>
          <w:b/>
        </w:rPr>
        <w:t xml:space="preserve">人才培养体系</w:t>
      </w:r>
      <w:r>
        <w:t xml:space="preserve">：</w:t>
      </w:r>
    </w:p>
    <w:p>
      <w:pPr>
        <w:numPr>
          <w:ilvl w:val="1"/>
          <w:numId w:val="1015"/>
        </w:numPr>
        <w:pStyle w:val="Compact"/>
      </w:pPr>
      <w:r>
        <w:t xml:space="preserve">建立系统化的人才培养计划，覆盖各个层级</w:t>
      </w:r>
    </w:p>
    <w:p>
      <w:pPr>
        <w:numPr>
          <w:ilvl w:val="1"/>
          <w:numId w:val="1015"/>
        </w:numPr>
        <w:pStyle w:val="Compact"/>
      </w:pPr>
      <w:r>
        <w:t xml:space="preserve">实施”导师制”，加速新人成长和能力提升</w:t>
      </w:r>
    </w:p>
    <w:p>
      <w:pPr>
        <w:numPr>
          <w:ilvl w:val="1"/>
          <w:numId w:val="1015"/>
        </w:numPr>
        <w:pStyle w:val="Compact"/>
      </w:pPr>
      <w:r>
        <w:t xml:space="preserve">鼓励轮岗和交叉培训，培养复合型人才</w:t>
      </w:r>
    </w:p>
    <w:p>
      <w:pPr>
        <w:numPr>
          <w:ilvl w:val="0"/>
          <w:numId w:val="1014"/>
        </w:numPr>
        <w:pStyle w:val="Compact"/>
      </w:pPr>
      <w:r>
        <w:rPr>
          <w:bCs/>
          <w:b/>
        </w:rPr>
        <w:t xml:space="preserve">激励约束机制</w:t>
      </w:r>
      <w:r>
        <w:t xml:space="preserve">：</w:t>
      </w:r>
    </w:p>
    <w:p>
      <w:pPr>
        <w:numPr>
          <w:ilvl w:val="1"/>
          <w:numId w:val="1016"/>
        </w:numPr>
        <w:pStyle w:val="Compact"/>
      </w:pPr>
      <w:r>
        <w:t xml:space="preserve">建立与业绩挂钩的激励机制，激发工作积极性</w:t>
      </w:r>
    </w:p>
    <w:p>
      <w:pPr>
        <w:numPr>
          <w:ilvl w:val="1"/>
          <w:numId w:val="1016"/>
        </w:numPr>
        <w:pStyle w:val="Compact"/>
      </w:pPr>
      <w:r>
        <w:t xml:space="preserve">实施股权激励，让核心员工分享企业发展成果</w:t>
      </w:r>
    </w:p>
    <w:p>
      <w:pPr>
        <w:numPr>
          <w:ilvl w:val="1"/>
          <w:numId w:val="1016"/>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7"/>
        </w:numPr>
        <w:pStyle w:val="Compact"/>
      </w:pPr>
      <w:r>
        <w:rPr>
          <w:bCs/>
          <w:b/>
        </w:rPr>
        <w:t xml:space="preserve">矩阵式管理</w:t>
      </w:r>
      <w:r>
        <w:t xml:space="preserve">：</w:t>
      </w:r>
    </w:p>
    <w:p>
      <w:pPr>
        <w:numPr>
          <w:ilvl w:val="1"/>
          <w:numId w:val="1018"/>
        </w:numPr>
        <w:pStyle w:val="Compact"/>
      </w:pPr>
      <w:r>
        <w:t xml:space="preserve">实施项目制管理，实现资源的高效配置</w:t>
      </w:r>
    </w:p>
    <w:p>
      <w:pPr>
        <w:numPr>
          <w:ilvl w:val="1"/>
          <w:numId w:val="1018"/>
        </w:numPr>
        <w:pStyle w:val="Compact"/>
      </w:pPr>
      <w:r>
        <w:t xml:space="preserve">建立双重汇报关系，兼顾职能和项目需求</w:t>
      </w:r>
    </w:p>
    <w:p>
      <w:pPr>
        <w:numPr>
          <w:ilvl w:val="1"/>
          <w:numId w:val="1018"/>
        </w:numPr>
        <w:pStyle w:val="Compact"/>
      </w:pPr>
      <w:r>
        <w:t xml:space="preserve">完善沟通协调机制，确保信息畅通</w:t>
      </w:r>
    </w:p>
    <w:p>
      <w:pPr>
        <w:numPr>
          <w:ilvl w:val="0"/>
          <w:numId w:val="1017"/>
        </w:numPr>
        <w:pStyle w:val="Compact"/>
      </w:pPr>
      <w:r>
        <w:rPr>
          <w:bCs/>
          <w:b/>
        </w:rPr>
        <w:t xml:space="preserve">学习型组织建设</w:t>
      </w:r>
      <w:r>
        <w:t xml:space="preserve">：</w:t>
      </w:r>
    </w:p>
    <w:p>
      <w:pPr>
        <w:numPr>
          <w:ilvl w:val="1"/>
          <w:numId w:val="1019"/>
        </w:numPr>
        <w:pStyle w:val="Compact"/>
      </w:pPr>
      <w:r>
        <w:t xml:space="preserve">倡导持续学习，建立学习文化和机制</w:t>
      </w:r>
    </w:p>
    <w:p>
      <w:pPr>
        <w:numPr>
          <w:ilvl w:val="1"/>
          <w:numId w:val="1019"/>
        </w:numPr>
        <w:pStyle w:val="Compact"/>
      </w:pPr>
      <w:r>
        <w:t xml:space="preserve">建立知识管理系统，促进经验分享和传承</w:t>
      </w:r>
    </w:p>
    <w:p>
      <w:pPr>
        <w:numPr>
          <w:ilvl w:val="1"/>
          <w:numId w:val="1019"/>
        </w:numPr>
        <w:pStyle w:val="Compact"/>
      </w:pPr>
      <w:r>
        <w:t xml:space="preserve">开展复盘活动，从成功和失败中学习</w:t>
      </w:r>
    </w:p>
    <w:bookmarkEnd w:id="113"/>
    <w:bookmarkStart w:id="114"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20"/>
        </w:numPr>
        <w:pStyle w:val="Compact"/>
      </w:pPr>
      <w:r>
        <w:rPr>
          <w:bCs/>
          <w:b/>
        </w:rPr>
        <w:t xml:space="preserve">培养学习文化</w:t>
      </w:r>
      <w:r>
        <w:t xml:space="preserve">：</w:t>
      </w:r>
    </w:p>
    <w:p>
      <w:pPr>
        <w:numPr>
          <w:ilvl w:val="1"/>
          <w:numId w:val="1021"/>
        </w:numPr>
        <w:pStyle w:val="Compact"/>
      </w:pPr>
      <w:r>
        <w:t xml:space="preserve">倡导终身学习，建立持续学习的组织习惯</w:t>
      </w:r>
    </w:p>
    <w:p>
      <w:pPr>
        <w:numPr>
          <w:ilvl w:val="1"/>
          <w:numId w:val="1021"/>
        </w:numPr>
        <w:pStyle w:val="Compact"/>
      </w:pPr>
      <w:r>
        <w:t xml:space="preserve">提供学习资源和平台，支持员工能力提升</w:t>
      </w:r>
    </w:p>
    <w:p>
      <w:pPr>
        <w:numPr>
          <w:ilvl w:val="1"/>
          <w:numId w:val="1021"/>
        </w:numPr>
        <w:pStyle w:val="Compact"/>
      </w:pPr>
      <w:r>
        <w:t xml:space="preserve">开展知识分享活动，促进经验交流</w:t>
      </w:r>
    </w:p>
    <w:p>
      <w:pPr>
        <w:numPr>
          <w:ilvl w:val="0"/>
          <w:numId w:val="1020"/>
        </w:numPr>
        <w:pStyle w:val="Compact"/>
      </w:pPr>
      <w:r>
        <w:rPr>
          <w:bCs/>
          <w:b/>
        </w:rPr>
        <w:t xml:space="preserve">强化协作文化</w:t>
      </w:r>
      <w:r>
        <w:t xml:space="preserve">：</w:t>
      </w:r>
    </w:p>
    <w:p>
      <w:pPr>
        <w:numPr>
          <w:ilvl w:val="1"/>
          <w:numId w:val="1022"/>
        </w:numPr>
        <w:pStyle w:val="Compact"/>
      </w:pPr>
      <w:r>
        <w:t xml:space="preserve">倡导团队合作，建立互信互助的工作关系</w:t>
      </w:r>
    </w:p>
    <w:p>
      <w:pPr>
        <w:numPr>
          <w:ilvl w:val="1"/>
          <w:numId w:val="1022"/>
        </w:numPr>
        <w:pStyle w:val="Compact"/>
      </w:pPr>
      <w:r>
        <w:t xml:space="preserve">建立跨部门协作机制，促进资源整合</w:t>
      </w:r>
    </w:p>
    <w:p>
      <w:pPr>
        <w:numPr>
          <w:ilvl w:val="1"/>
          <w:numId w:val="1022"/>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23"/>
        </w:numPr>
        <w:pStyle w:val="Compact"/>
      </w:pPr>
      <w:r>
        <w:rPr>
          <w:bCs/>
          <w:b/>
        </w:rPr>
        <w:t xml:space="preserve">变革能力提升</w:t>
      </w:r>
      <w:r>
        <w:t xml:space="preserve">：</w:t>
      </w:r>
    </w:p>
    <w:p>
      <w:pPr>
        <w:numPr>
          <w:ilvl w:val="1"/>
          <w:numId w:val="1024"/>
        </w:numPr>
        <w:pStyle w:val="Compact"/>
      </w:pPr>
      <w:r>
        <w:t xml:space="preserve">培训员工的变革适应能力，增强心理弹性</w:t>
      </w:r>
    </w:p>
    <w:p>
      <w:pPr>
        <w:numPr>
          <w:ilvl w:val="1"/>
          <w:numId w:val="1024"/>
        </w:numPr>
        <w:pStyle w:val="Compact"/>
      </w:pPr>
      <w:r>
        <w:t xml:space="preserve">建立变革支持体系，提供必要的帮助和指导</w:t>
      </w:r>
    </w:p>
    <w:p>
      <w:pPr>
        <w:numPr>
          <w:ilvl w:val="1"/>
          <w:numId w:val="1024"/>
        </w:numPr>
        <w:pStyle w:val="Compact"/>
      </w:pPr>
      <w:r>
        <w:t xml:space="preserve">分享变革成功经验，增强变革信心</w:t>
      </w:r>
    </w:p>
    <w:bookmarkEnd w:id="114"/>
    <w:bookmarkEnd w:id="115"/>
    <w:bookmarkStart w:id="119" w:name="政策建议"/>
    <w:p>
      <w:pPr>
        <w:pStyle w:val="3"/>
      </w:pPr>
      <w:r>
        <w:t xml:space="preserve">7.3 政策建议</w:t>
      </w:r>
    </w:p>
    <w:bookmarkStart w:id="116"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25"/>
        </w:numPr>
        <w:pStyle w:val="Compact"/>
      </w:pPr>
      <w:r>
        <w:rPr>
          <w:bCs/>
          <w:b/>
        </w:rPr>
        <w:t xml:space="preserve">创新资金支持</w:t>
      </w:r>
      <w:r>
        <w:t xml:space="preserve">：</w:t>
      </w:r>
    </w:p>
    <w:p>
      <w:pPr>
        <w:numPr>
          <w:ilvl w:val="1"/>
          <w:numId w:val="1026"/>
        </w:numPr>
        <w:pStyle w:val="Compact"/>
      </w:pPr>
      <w:r>
        <w:t xml:space="preserve">设立硬科技企业发展基金，提供长期资金支持</w:t>
      </w:r>
    </w:p>
    <w:p>
      <w:pPr>
        <w:numPr>
          <w:ilvl w:val="1"/>
          <w:numId w:val="1026"/>
        </w:numPr>
        <w:pStyle w:val="Compact"/>
      </w:pPr>
      <w:r>
        <w:t xml:space="preserve">完善风险投资引导机制，吸引社会资本参与</w:t>
      </w:r>
    </w:p>
    <w:p>
      <w:pPr>
        <w:numPr>
          <w:ilvl w:val="1"/>
          <w:numId w:val="1026"/>
        </w:numPr>
        <w:pStyle w:val="Compact"/>
      </w:pPr>
      <w:r>
        <w:t xml:space="preserve">建立知识产权质押融资体系，解决融资难题</w:t>
      </w:r>
    </w:p>
    <w:p>
      <w:pPr>
        <w:numPr>
          <w:ilvl w:val="0"/>
          <w:numId w:val="1025"/>
        </w:numPr>
        <w:pStyle w:val="Compact"/>
      </w:pPr>
      <w:r>
        <w:rPr>
          <w:bCs/>
          <w:b/>
        </w:rPr>
        <w:t xml:space="preserve">人才政策优化</w:t>
      </w:r>
      <w:r>
        <w:t xml:space="preserve">：</w:t>
      </w:r>
    </w:p>
    <w:p>
      <w:pPr>
        <w:numPr>
          <w:ilvl w:val="1"/>
          <w:numId w:val="1027"/>
        </w:numPr>
        <w:pStyle w:val="Compact"/>
      </w:pPr>
      <w:r>
        <w:t xml:space="preserve">制定高端人才引进政策，提供住房、子女教育等配套服务</w:t>
      </w:r>
    </w:p>
    <w:p>
      <w:pPr>
        <w:numPr>
          <w:ilvl w:val="1"/>
          <w:numId w:val="1027"/>
        </w:numPr>
        <w:pStyle w:val="Compact"/>
      </w:pPr>
      <w:r>
        <w:t xml:space="preserve">建立人才评价和激励机制，吸引和留住优秀人才</w:t>
      </w:r>
    </w:p>
    <w:p>
      <w:pPr>
        <w:numPr>
          <w:ilvl w:val="1"/>
          <w:numId w:val="1027"/>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8"/>
        </w:numPr>
        <w:pStyle w:val="Compact"/>
      </w:pPr>
      <w:r>
        <w:rPr>
          <w:bCs/>
          <w:b/>
        </w:rPr>
        <w:t xml:space="preserve">产业集群发展</w:t>
      </w:r>
      <w:r>
        <w:t xml:space="preserve">：</w:t>
      </w:r>
    </w:p>
    <w:p>
      <w:pPr>
        <w:numPr>
          <w:ilvl w:val="1"/>
          <w:numId w:val="1029"/>
        </w:numPr>
        <w:pStyle w:val="Compact"/>
      </w:pPr>
      <w:r>
        <w:t xml:space="preserve">规划建设硬科技产业集群，形成规模效应</w:t>
      </w:r>
    </w:p>
    <w:p>
      <w:pPr>
        <w:numPr>
          <w:ilvl w:val="1"/>
          <w:numId w:val="1029"/>
        </w:numPr>
        <w:pStyle w:val="Compact"/>
      </w:pPr>
      <w:r>
        <w:t xml:space="preserve">完善产业链配套，降低企业运营成本</w:t>
      </w:r>
    </w:p>
    <w:p>
      <w:pPr>
        <w:numPr>
          <w:ilvl w:val="1"/>
          <w:numId w:val="1029"/>
        </w:numPr>
        <w:pStyle w:val="Compact"/>
      </w:pPr>
      <w:r>
        <w:t xml:space="preserve">建立产业服务平台，提供全方位服务支持</w:t>
      </w:r>
    </w:p>
    <w:p>
      <w:pPr>
        <w:numPr>
          <w:ilvl w:val="0"/>
          <w:numId w:val="1028"/>
        </w:numPr>
        <w:pStyle w:val="Compact"/>
      </w:pPr>
      <w:r>
        <w:rPr>
          <w:bCs/>
          <w:b/>
        </w:rPr>
        <w:t xml:space="preserve">国际交流合作</w:t>
      </w:r>
      <w:r>
        <w:t xml:space="preserve">：</w:t>
      </w:r>
    </w:p>
    <w:p>
      <w:pPr>
        <w:numPr>
          <w:ilvl w:val="1"/>
          <w:numId w:val="1030"/>
        </w:numPr>
        <w:pStyle w:val="Compact"/>
      </w:pPr>
      <w:r>
        <w:t xml:space="preserve">支持企业参与国际技术交流与合作</w:t>
      </w:r>
    </w:p>
    <w:p>
      <w:pPr>
        <w:numPr>
          <w:ilvl w:val="1"/>
          <w:numId w:val="1030"/>
        </w:numPr>
        <w:pStyle w:val="Compact"/>
      </w:pPr>
      <w:r>
        <w:t xml:space="preserve">组织企业参加国际展会和学术会议</w:t>
      </w:r>
    </w:p>
    <w:p>
      <w:pPr>
        <w:numPr>
          <w:ilvl w:val="1"/>
          <w:numId w:val="1030"/>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31"/>
        </w:numPr>
        <w:pStyle w:val="Compact"/>
      </w:pPr>
      <w:r>
        <w:rPr>
          <w:bCs/>
          <w:b/>
        </w:rPr>
        <w:t xml:space="preserve">服务体系构建</w:t>
      </w:r>
      <w:r>
        <w:t xml:space="preserve">：</w:t>
      </w:r>
    </w:p>
    <w:p>
      <w:pPr>
        <w:numPr>
          <w:ilvl w:val="1"/>
          <w:numId w:val="1032"/>
        </w:numPr>
        <w:pStyle w:val="Compact"/>
      </w:pPr>
      <w:r>
        <w:t xml:space="preserve">建立中小企业服务体系，提供专业服务支持</w:t>
      </w:r>
    </w:p>
    <w:p>
      <w:pPr>
        <w:numPr>
          <w:ilvl w:val="1"/>
          <w:numId w:val="1032"/>
        </w:numPr>
        <w:pStyle w:val="Compact"/>
      </w:pPr>
      <w:r>
        <w:t xml:space="preserve">发展科技服务业，为企业提供技术、管理、法律等服务</w:t>
      </w:r>
    </w:p>
    <w:p>
      <w:pPr>
        <w:numPr>
          <w:ilvl w:val="1"/>
          <w:numId w:val="1032"/>
        </w:numPr>
        <w:pStyle w:val="Compact"/>
      </w:pPr>
      <w:r>
        <w:t xml:space="preserve">建立企业培训体系，提升企业管理水平</w:t>
      </w:r>
    </w:p>
    <w:bookmarkEnd w:id="116"/>
    <w:bookmarkStart w:id="117"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33"/>
        </w:numPr>
        <w:pStyle w:val="Compact"/>
      </w:pPr>
      <w:r>
        <w:rPr>
          <w:bCs/>
          <w:b/>
        </w:rPr>
        <w:t xml:space="preserve">服务标准规范</w:t>
      </w:r>
      <w:r>
        <w:t xml:space="preserve">：</w:t>
      </w:r>
    </w:p>
    <w:p>
      <w:pPr>
        <w:numPr>
          <w:ilvl w:val="1"/>
          <w:numId w:val="1034"/>
        </w:numPr>
        <w:pStyle w:val="Compact"/>
      </w:pPr>
      <w:r>
        <w:t xml:space="preserve">制定行业服务标准和规范，提升服务质量</w:t>
      </w:r>
    </w:p>
    <w:p>
      <w:pPr>
        <w:numPr>
          <w:ilvl w:val="1"/>
          <w:numId w:val="1034"/>
        </w:numPr>
        <w:pStyle w:val="Compact"/>
      </w:pPr>
      <w:r>
        <w:t xml:space="preserve">建立客户满意度评价体系，促进服务改进</w:t>
      </w:r>
    </w:p>
    <w:p>
      <w:pPr>
        <w:numPr>
          <w:ilvl w:val="1"/>
          <w:numId w:val="1034"/>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35"/>
        </w:numPr>
        <w:pStyle w:val="Compact"/>
      </w:pPr>
      <w:r>
        <w:rPr>
          <w:bCs/>
          <w:b/>
        </w:rPr>
        <w:t xml:space="preserve">技术平台共享</w:t>
      </w:r>
      <w:r>
        <w:t xml:space="preserve">：</w:t>
      </w:r>
    </w:p>
    <w:p>
      <w:pPr>
        <w:numPr>
          <w:ilvl w:val="1"/>
          <w:numId w:val="1036"/>
        </w:numPr>
        <w:pStyle w:val="Compact"/>
      </w:pPr>
      <w:r>
        <w:t xml:space="preserve">建立行业技术共享平台，降低技术门槛</w:t>
      </w:r>
    </w:p>
    <w:p>
      <w:pPr>
        <w:numPr>
          <w:ilvl w:val="1"/>
          <w:numId w:val="1036"/>
        </w:numPr>
        <w:pStyle w:val="Compact"/>
      </w:pPr>
      <w:r>
        <w:t xml:space="preserve">推动开放实验室建设，提供技术服务</w:t>
      </w:r>
    </w:p>
    <w:p>
      <w:pPr>
        <w:numPr>
          <w:ilvl w:val="1"/>
          <w:numId w:val="1036"/>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7"/>
        </w:numPr>
        <w:pStyle w:val="Compact"/>
      </w:pPr>
      <w:r>
        <w:rPr>
          <w:bCs/>
          <w:b/>
        </w:rPr>
        <w:t xml:space="preserve">人才交流平台</w:t>
      </w:r>
      <w:r>
        <w:t xml:space="preserve">：</w:t>
      </w:r>
    </w:p>
    <w:p>
      <w:pPr>
        <w:numPr>
          <w:ilvl w:val="1"/>
          <w:numId w:val="1038"/>
        </w:numPr>
        <w:pStyle w:val="Compact"/>
      </w:pPr>
      <w:r>
        <w:t xml:space="preserve">建立行业人才交流平台，促进人才流动</w:t>
      </w:r>
    </w:p>
    <w:p>
      <w:pPr>
        <w:numPr>
          <w:ilvl w:val="1"/>
          <w:numId w:val="1038"/>
        </w:numPr>
        <w:pStyle w:val="Compact"/>
      </w:pPr>
      <w:r>
        <w:t xml:space="preserve">组织行业学术交流活动，提升专业水平</w:t>
      </w:r>
    </w:p>
    <w:p>
      <w:pPr>
        <w:numPr>
          <w:ilvl w:val="1"/>
          <w:numId w:val="1038"/>
        </w:numPr>
        <w:pStyle w:val="Compact"/>
      </w:pPr>
      <w:r>
        <w:t xml:space="preserve">建立专家库，提供专业咨询服务</w:t>
      </w:r>
    </w:p>
    <w:bookmarkEnd w:id="117"/>
    <w:bookmarkStart w:id="118"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9"/>
        </w:numPr>
        <w:pStyle w:val="Compact"/>
      </w:pPr>
      <w:r>
        <w:rPr>
          <w:bCs/>
          <w:b/>
        </w:rPr>
        <w:t xml:space="preserve">科学规划路径</w:t>
      </w:r>
      <w:r>
        <w:t xml:space="preserve">：</w:t>
      </w:r>
    </w:p>
    <w:p>
      <w:pPr>
        <w:numPr>
          <w:ilvl w:val="1"/>
          <w:numId w:val="1040"/>
        </w:numPr>
        <w:pStyle w:val="Compact"/>
      </w:pPr>
      <w:r>
        <w:t xml:space="preserve">制定清晰的转型目标和时间表</w:t>
      </w:r>
    </w:p>
    <w:p>
      <w:pPr>
        <w:numPr>
          <w:ilvl w:val="1"/>
          <w:numId w:val="1040"/>
        </w:numPr>
        <w:pStyle w:val="Compact"/>
      </w:pPr>
      <w:r>
        <w:t xml:space="preserve">选择适合企业特点的转型路径</w:t>
      </w:r>
    </w:p>
    <w:p>
      <w:pPr>
        <w:numPr>
          <w:ilvl w:val="1"/>
          <w:numId w:val="1040"/>
        </w:numPr>
        <w:pStyle w:val="Compact"/>
      </w:pPr>
      <w:r>
        <w:t xml:space="preserve">建立转型进度监控和调整机制</w:t>
      </w:r>
    </w:p>
    <w:p>
      <w:pPr>
        <w:numPr>
          <w:ilvl w:val="0"/>
          <w:numId w:val="1039"/>
        </w:numPr>
        <w:pStyle w:val="Compact"/>
      </w:pPr>
      <w:r>
        <w:rPr>
          <w:bCs/>
          <w:b/>
        </w:rPr>
        <w:t xml:space="preserve">资源配置优化</w:t>
      </w:r>
      <w:r>
        <w:t xml:space="preserve">：</w:t>
      </w:r>
    </w:p>
    <w:p>
      <w:pPr>
        <w:numPr>
          <w:ilvl w:val="1"/>
          <w:numId w:val="1041"/>
        </w:numPr>
        <w:pStyle w:val="Compact"/>
      </w:pPr>
      <w:r>
        <w:t xml:space="preserve">合理配置转型所需的各类资源</w:t>
      </w:r>
    </w:p>
    <w:p>
      <w:pPr>
        <w:numPr>
          <w:ilvl w:val="1"/>
          <w:numId w:val="1041"/>
        </w:numPr>
        <w:pStyle w:val="Compact"/>
      </w:pPr>
      <w:r>
        <w:t xml:space="preserve">建立资源动态调整机制</w:t>
      </w:r>
    </w:p>
    <w:p>
      <w:pPr>
        <w:numPr>
          <w:ilvl w:val="1"/>
          <w:numId w:val="1041"/>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42"/>
        </w:numPr>
        <w:pStyle w:val="Compact"/>
      </w:pPr>
      <w:r>
        <w:rPr>
          <w:bCs/>
          <w:b/>
        </w:rPr>
        <w:t xml:space="preserve">风险应对策略</w:t>
      </w:r>
      <w:r>
        <w:t xml:space="preserve">：</w:t>
      </w:r>
    </w:p>
    <w:p>
      <w:pPr>
        <w:numPr>
          <w:ilvl w:val="1"/>
          <w:numId w:val="1043"/>
        </w:numPr>
        <w:pStyle w:val="Compact"/>
      </w:pPr>
      <w:r>
        <w:t xml:space="preserve">制定针对性的风险应对预案</w:t>
      </w:r>
    </w:p>
    <w:p>
      <w:pPr>
        <w:numPr>
          <w:ilvl w:val="1"/>
          <w:numId w:val="1043"/>
        </w:numPr>
        <w:pStyle w:val="Compact"/>
      </w:pPr>
      <w:r>
        <w:t xml:space="preserve">建立风险分担和转移机制</w:t>
      </w:r>
    </w:p>
    <w:p>
      <w:pPr>
        <w:numPr>
          <w:ilvl w:val="1"/>
          <w:numId w:val="1043"/>
        </w:numPr>
        <w:pStyle w:val="Compact"/>
      </w:pPr>
      <w:r>
        <w:t xml:space="preserve">完善应急管理制度</w:t>
      </w:r>
    </w:p>
    <w:p>
      <w:pPr>
        <w:numPr>
          <w:ilvl w:val="0"/>
          <w:numId w:val="1042"/>
        </w:numPr>
        <w:pStyle w:val="Compact"/>
      </w:pPr>
      <w:r>
        <w:rPr>
          <w:bCs/>
          <w:b/>
        </w:rPr>
        <w:t xml:space="preserve">持续监控改进</w:t>
      </w:r>
      <w:r>
        <w:t xml:space="preserve">：</w:t>
      </w:r>
    </w:p>
    <w:p>
      <w:pPr>
        <w:numPr>
          <w:ilvl w:val="1"/>
          <w:numId w:val="1044"/>
        </w:numPr>
        <w:pStyle w:val="Compact"/>
      </w:pPr>
      <w:r>
        <w:t xml:space="preserve">建立转型效果的评估机制</w:t>
      </w:r>
    </w:p>
    <w:p>
      <w:pPr>
        <w:numPr>
          <w:ilvl w:val="1"/>
          <w:numId w:val="1044"/>
        </w:numPr>
        <w:pStyle w:val="Compact"/>
      </w:pPr>
      <w:r>
        <w:t xml:space="preserve">定期进行战略检讨和调整</w:t>
      </w:r>
    </w:p>
    <w:p>
      <w:pPr>
        <w:numPr>
          <w:ilvl w:val="1"/>
          <w:numId w:val="1044"/>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45"/>
        </w:numPr>
        <w:pStyle w:val="Compact"/>
      </w:pPr>
      <w:r>
        <w:rPr>
          <w:bCs/>
          <w:b/>
        </w:rPr>
        <w:t xml:space="preserve">管理创新能力</w:t>
      </w:r>
      <w:r>
        <w:t xml:space="preserve">：</w:t>
      </w:r>
    </w:p>
    <w:p>
      <w:pPr>
        <w:numPr>
          <w:ilvl w:val="1"/>
          <w:numId w:val="1046"/>
        </w:numPr>
        <w:pStyle w:val="Compact"/>
      </w:pPr>
      <w:r>
        <w:t xml:space="preserve">推进管理现代化，提升管理效率</w:t>
      </w:r>
    </w:p>
    <w:p>
      <w:pPr>
        <w:numPr>
          <w:ilvl w:val="1"/>
          <w:numId w:val="1046"/>
        </w:numPr>
        <w:pStyle w:val="Compact"/>
      </w:pPr>
      <w:r>
        <w:t xml:space="preserve">建立学习型组织，增强组织能力</w:t>
      </w:r>
    </w:p>
    <w:p>
      <w:pPr>
        <w:numPr>
          <w:ilvl w:val="1"/>
          <w:numId w:val="1046"/>
        </w:numPr>
        <w:pStyle w:val="Compact"/>
      </w:pPr>
      <w:r>
        <w:t xml:space="preserve">完善治理结构，提升决策质量</w:t>
      </w:r>
    </w:p>
    <w:p>
      <w:pPr>
        <w:numPr>
          <w:ilvl w:val="0"/>
          <w:numId w:val="1045"/>
        </w:numPr>
        <w:pStyle w:val="Compact"/>
      </w:pPr>
      <w:r>
        <w:rPr>
          <w:bCs/>
          <w:b/>
        </w:rPr>
        <w:t xml:space="preserve">商业模式创新</w:t>
      </w:r>
      <w:r>
        <w:t xml:space="preserve">：</w:t>
      </w:r>
    </w:p>
    <w:p>
      <w:pPr>
        <w:numPr>
          <w:ilvl w:val="1"/>
          <w:numId w:val="1047"/>
        </w:numPr>
        <w:pStyle w:val="Compact"/>
      </w:pPr>
      <w:r>
        <w:t xml:space="preserve">探索新的商业模式，创造更大价值</w:t>
      </w:r>
    </w:p>
    <w:p>
      <w:pPr>
        <w:numPr>
          <w:ilvl w:val="1"/>
          <w:numId w:val="1047"/>
        </w:numPr>
        <w:pStyle w:val="Compact"/>
      </w:pPr>
      <w:r>
        <w:t xml:space="preserve">加强数字化转型，提升运营效率</w:t>
      </w:r>
    </w:p>
    <w:p>
      <w:pPr>
        <w:numPr>
          <w:ilvl w:val="1"/>
          <w:numId w:val="1047"/>
        </w:numPr>
        <w:pStyle w:val="Compact"/>
      </w:pPr>
      <w:r>
        <w:t xml:space="preserve">构建生态系统，实现共赢发展</w:t>
      </w:r>
    </w:p>
    <w:bookmarkEnd w:id="118"/>
    <w:bookmarkEnd w:id="119"/>
    <w:bookmarkStart w:id="123" w:name="研究局限与展望"/>
    <w:p>
      <w:pPr>
        <w:pStyle w:val="3"/>
      </w:pPr>
      <w:r>
        <w:t xml:space="preserve">7.4 研究局限与展望</w:t>
      </w:r>
    </w:p>
    <w:bookmarkStart w:id="120"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8"/>
        </w:numPr>
        <w:pStyle w:val="Compact"/>
      </w:pPr>
      <w:r>
        <w:rPr>
          <w:bCs/>
          <w:b/>
        </w:rPr>
        <w:t xml:space="preserve">数据获取限制</w:t>
      </w:r>
      <w:r>
        <w:t xml:space="preserve">：</w:t>
      </w:r>
    </w:p>
    <w:p>
      <w:pPr>
        <w:numPr>
          <w:ilvl w:val="1"/>
          <w:numId w:val="1049"/>
        </w:numPr>
        <w:pStyle w:val="Compact"/>
      </w:pPr>
      <w:r>
        <w:t xml:space="preserve">部分企业内部数据难以获取，影响分析深度</w:t>
      </w:r>
    </w:p>
    <w:p>
      <w:pPr>
        <w:numPr>
          <w:ilvl w:val="1"/>
          <w:numId w:val="1049"/>
        </w:numPr>
        <w:pStyle w:val="Compact"/>
      </w:pPr>
      <w:r>
        <w:t xml:space="preserve">财务数据的时效性限制了对最新状况的分析</w:t>
      </w:r>
    </w:p>
    <w:p>
      <w:pPr>
        <w:numPr>
          <w:ilvl w:val="1"/>
          <w:numId w:val="1049"/>
        </w:numPr>
        <w:pStyle w:val="Compact"/>
      </w:pPr>
      <w:r>
        <w:t xml:space="preserve">竞争对手数据的缺乏限制了对比分析的全面性</w:t>
      </w:r>
    </w:p>
    <w:p>
      <w:pPr>
        <w:numPr>
          <w:ilvl w:val="0"/>
          <w:numId w:val="1048"/>
        </w:numPr>
        <w:pStyle w:val="Compact"/>
      </w:pPr>
      <w:r>
        <w:rPr>
          <w:bCs/>
          <w:b/>
        </w:rPr>
        <w:t xml:space="preserve">研究时间跨度</w:t>
      </w:r>
      <w:r>
        <w:t xml:space="preserve">：</w:t>
      </w:r>
    </w:p>
    <w:p>
      <w:pPr>
        <w:numPr>
          <w:ilvl w:val="1"/>
          <w:numId w:val="1050"/>
        </w:numPr>
        <w:pStyle w:val="Compact"/>
      </w:pPr>
      <w:r>
        <w:t xml:space="preserve">研究时间跨度相对较短，难以评估长期效果</w:t>
      </w:r>
    </w:p>
    <w:p>
      <w:pPr>
        <w:numPr>
          <w:ilvl w:val="1"/>
          <w:numId w:val="1050"/>
        </w:numPr>
        <w:pStyle w:val="Compact"/>
      </w:pPr>
      <w:r>
        <w:t xml:space="preserve">转型效果的完全显现需要更长时间的观察</w:t>
      </w:r>
    </w:p>
    <w:p>
      <w:pPr>
        <w:numPr>
          <w:ilvl w:val="1"/>
          <w:numId w:val="1050"/>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51"/>
        </w:numPr>
        <w:pStyle w:val="Compact"/>
      </w:pPr>
      <w:r>
        <w:rPr>
          <w:bCs/>
          <w:b/>
        </w:rPr>
        <w:t xml:space="preserve">评价体系完善</w:t>
      </w:r>
      <w:r>
        <w:t xml:space="preserve">：</w:t>
      </w:r>
    </w:p>
    <w:p>
      <w:pPr>
        <w:numPr>
          <w:ilvl w:val="1"/>
          <w:numId w:val="1052"/>
        </w:numPr>
        <w:pStyle w:val="Compact"/>
      </w:pPr>
      <w:r>
        <w:t xml:space="preserve">评价指标的选择和权重设置存在主观性</w:t>
      </w:r>
    </w:p>
    <w:p>
      <w:pPr>
        <w:numPr>
          <w:ilvl w:val="1"/>
          <w:numId w:val="1052"/>
        </w:numPr>
        <w:pStyle w:val="Compact"/>
      </w:pPr>
      <w:r>
        <w:t xml:space="preserve">评价标准的普适性需要进一步验证</w:t>
      </w:r>
    </w:p>
    <w:p>
      <w:pPr>
        <w:numPr>
          <w:ilvl w:val="1"/>
          <w:numId w:val="1052"/>
        </w:numPr>
        <w:pStyle w:val="Compact"/>
      </w:pPr>
      <w:r>
        <w:t xml:space="preserve">动态评价机制的构建需要进一步完善</w:t>
      </w:r>
    </w:p>
    <w:bookmarkEnd w:id="120"/>
    <w:bookmarkStart w:id="121"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53"/>
        </w:numPr>
        <w:pStyle w:val="Compact"/>
      </w:pPr>
      <w:r>
        <w:rPr>
          <w:bCs/>
          <w:b/>
        </w:rPr>
        <w:t xml:space="preserve">规模差异研究</w:t>
      </w:r>
      <w:r>
        <w:t xml:space="preserve">：</w:t>
      </w:r>
    </w:p>
    <w:p>
      <w:pPr>
        <w:numPr>
          <w:ilvl w:val="1"/>
          <w:numId w:val="1054"/>
        </w:numPr>
        <w:pStyle w:val="Compact"/>
      </w:pPr>
      <w:r>
        <w:t xml:space="preserve">研究不同规模企业的转型路径和效果</w:t>
      </w:r>
    </w:p>
    <w:p>
      <w:pPr>
        <w:numPr>
          <w:ilvl w:val="1"/>
          <w:numId w:val="1054"/>
        </w:numPr>
        <w:pStyle w:val="Compact"/>
      </w:pPr>
      <w:r>
        <w:t xml:space="preserve">分析资源约束对中小企业转型的影响</w:t>
      </w:r>
    </w:p>
    <w:p>
      <w:pPr>
        <w:numPr>
          <w:ilvl w:val="1"/>
          <w:numId w:val="1054"/>
        </w:numPr>
        <w:pStyle w:val="Compact"/>
      </w:pPr>
      <w:r>
        <w:t xml:space="preserve">探讨适合不同规模企业的转型策略</w:t>
      </w:r>
    </w:p>
    <w:p>
      <w:pPr>
        <w:numPr>
          <w:ilvl w:val="0"/>
          <w:numId w:val="1053"/>
        </w:numPr>
        <w:pStyle w:val="Compact"/>
      </w:pPr>
      <w:r>
        <w:rPr>
          <w:bCs/>
          <w:b/>
        </w:rPr>
        <w:t xml:space="preserve">国际比较研究</w:t>
      </w:r>
      <w:r>
        <w:t xml:space="preserve">：</w:t>
      </w:r>
    </w:p>
    <w:p>
      <w:pPr>
        <w:numPr>
          <w:ilvl w:val="1"/>
          <w:numId w:val="1055"/>
        </w:numPr>
        <w:pStyle w:val="Compact"/>
      </w:pPr>
      <w:r>
        <w:t xml:space="preserve">对比国内外科技型企业转型经验</w:t>
      </w:r>
    </w:p>
    <w:p>
      <w:pPr>
        <w:numPr>
          <w:ilvl w:val="1"/>
          <w:numId w:val="1055"/>
        </w:numPr>
        <w:pStyle w:val="Compact"/>
      </w:pPr>
      <w:r>
        <w:t xml:space="preserve">分析制度环境对企业转型的影响</w:t>
      </w:r>
    </w:p>
    <w:p>
      <w:pPr>
        <w:numPr>
          <w:ilvl w:val="1"/>
          <w:numId w:val="1055"/>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56"/>
        </w:numPr>
        <w:pStyle w:val="Compact"/>
      </w:pPr>
      <w:r>
        <w:rPr>
          <w:bCs/>
          <w:b/>
        </w:rPr>
        <w:t xml:space="preserve">动态调整机制</w:t>
      </w:r>
      <w:r>
        <w:t xml:space="preserve">：</w:t>
      </w:r>
    </w:p>
    <w:p>
      <w:pPr>
        <w:numPr>
          <w:ilvl w:val="1"/>
          <w:numId w:val="1057"/>
        </w:numPr>
        <w:pStyle w:val="Compact"/>
      </w:pPr>
      <w:r>
        <w:t xml:space="preserve">研究企业转型过程中的动态调整策略</w:t>
      </w:r>
    </w:p>
    <w:p>
      <w:pPr>
        <w:numPr>
          <w:ilvl w:val="1"/>
          <w:numId w:val="1057"/>
        </w:numPr>
        <w:pStyle w:val="Compact"/>
      </w:pPr>
      <w:r>
        <w:t xml:space="preserve">分析外部环境变化对转型的影响</w:t>
      </w:r>
    </w:p>
    <w:p>
      <w:pPr>
        <w:numPr>
          <w:ilvl w:val="1"/>
          <w:numId w:val="1057"/>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8"/>
        </w:numPr>
        <w:pStyle w:val="Compact"/>
      </w:pPr>
      <w:r>
        <w:rPr>
          <w:bCs/>
          <w:b/>
        </w:rPr>
        <w:t xml:space="preserve">评价体系优化</w:t>
      </w:r>
      <w:r>
        <w:t xml:space="preserve">：</w:t>
      </w:r>
    </w:p>
    <w:p>
      <w:pPr>
        <w:numPr>
          <w:ilvl w:val="1"/>
          <w:numId w:val="1059"/>
        </w:numPr>
        <w:pStyle w:val="Compact"/>
      </w:pPr>
      <w:r>
        <w:t xml:space="preserve">完善转型成效的评价指标体系</w:t>
      </w:r>
    </w:p>
    <w:p>
      <w:pPr>
        <w:numPr>
          <w:ilvl w:val="1"/>
          <w:numId w:val="1059"/>
        </w:numPr>
        <w:pStyle w:val="Compact"/>
      </w:pPr>
      <w:r>
        <w:t xml:space="preserve">开发科学的评价方法和工具</w:t>
      </w:r>
    </w:p>
    <w:p>
      <w:pPr>
        <w:numPr>
          <w:ilvl w:val="1"/>
          <w:numId w:val="1059"/>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60"/>
        </w:numPr>
        <w:pStyle w:val="Compact"/>
      </w:pPr>
      <w:r>
        <w:rPr>
          <w:bCs/>
          <w:b/>
        </w:rPr>
        <w:t xml:space="preserve">实验研究</w:t>
      </w:r>
      <w:r>
        <w:t xml:space="preserve">：</w:t>
      </w:r>
    </w:p>
    <w:p>
      <w:pPr>
        <w:numPr>
          <w:ilvl w:val="1"/>
          <w:numId w:val="1061"/>
        </w:numPr>
        <w:pStyle w:val="Compact"/>
      </w:pPr>
      <w:r>
        <w:t xml:space="preserve">开展企业转型的实验研究</w:t>
      </w:r>
    </w:p>
    <w:p>
      <w:pPr>
        <w:numPr>
          <w:ilvl w:val="1"/>
          <w:numId w:val="1061"/>
        </w:numPr>
        <w:pStyle w:val="Compact"/>
      </w:pPr>
      <w:r>
        <w:t xml:space="preserve">验证理论假设和策略效果</w:t>
      </w:r>
    </w:p>
    <w:p>
      <w:pPr>
        <w:numPr>
          <w:ilvl w:val="1"/>
          <w:numId w:val="1061"/>
        </w:numPr>
        <w:pStyle w:val="Compact"/>
      </w:pPr>
      <w:r>
        <w:t xml:space="preserve">为实践提供科学依据</w:t>
      </w:r>
    </w:p>
    <w:bookmarkEnd w:id="121"/>
    <w:bookmarkStart w:id="122"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62"/>
        </w:numPr>
        <w:pStyle w:val="Compact"/>
      </w:pPr>
      <w:r>
        <w:rPr>
          <w:bCs/>
          <w:b/>
        </w:rPr>
        <w:t xml:space="preserve">转型实施指导</w:t>
      </w:r>
      <w:r>
        <w:t xml:space="preserve">：</w:t>
      </w:r>
    </w:p>
    <w:p>
      <w:pPr>
        <w:numPr>
          <w:ilvl w:val="1"/>
          <w:numId w:val="1063"/>
        </w:numPr>
        <w:pStyle w:val="Compact"/>
      </w:pPr>
      <w:r>
        <w:t xml:space="preserve">为企业转型提供全程指导和支持</w:t>
      </w:r>
    </w:p>
    <w:p>
      <w:pPr>
        <w:numPr>
          <w:ilvl w:val="1"/>
          <w:numId w:val="1063"/>
        </w:numPr>
        <w:pStyle w:val="Compact"/>
      </w:pPr>
      <w:r>
        <w:t xml:space="preserve">协助企业解决转型过程中的具体问题</w:t>
      </w:r>
    </w:p>
    <w:p>
      <w:pPr>
        <w:numPr>
          <w:ilvl w:val="1"/>
          <w:numId w:val="1063"/>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64"/>
        </w:numPr>
        <w:pStyle w:val="Compact"/>
      </w:pPr>
      <w:r>
        <w:rPr>
          <w:bCs/>
          <w:b/>
        </w:rPr>
        <w:t xml:space="preserve">产业发展规划</w:t>
      </w:r>
      <w:r>
        <w:t xml:space="preserve">：</w:t>
      </w:r>
    </w:p>
    <w:p>
      <w:pPr>
        <w:numPr>
          <w:ilvl w:val="1"/>
          <w:numId w:val="1065"/>
        </w:numPr>
        <w:pStyle w:val="Compact"/>
      </w:pPr>
      <w:r>
        <w:t xml:space="preserve">为产业规划提供理论依据和实践经验</w:t>
      </w:r>
    </w:p>
    <w:p>
      <w:pPr>
        <w:numPr>
          <w:ilvl w:val="1"/>
          <w:numId w:val="1065"/>
        </w:numPr>
        <w:pStyle w:val="Compact"/>
      </w:pPr>
      <w:r>
        <w:t xml:space="preserve">制定产业发展目标和路径</w:t>
      </w:r>
    </w:p>
    <w:p>
      <w:pPr>
        <w:numPr>
          <w:ilvl w:val="1"/>
          <w:numId w:val="1065"/>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66"/>
        </w:numPr>
        <w:pStyle w:val="Compact"/>
      </w:pPr>
      <w:r>
        <w:rPr>
          <w:bCs/>
          <w:b/>
        </w:rPr>
        <w:t xml:space="preserve">案例教学资源</w:t>
      </w:r>
      <w:r>
        <w:t xml:space="preserve">：</w:t>
      </w:r>
    </w:p>
    <w:p>
      <w:pPr>
        <w:numPr>
          <w:ilvl w:val="1"/>
          <w:numId w:val="1067"/>
        </w:numPr>
        <w:pStyle w:val="Compact"/>
      </w:pPr>
      <w:r>
        <w:t xml:space="preserve">开发企业转型案例库</w:t>
      </w:r>
    </w:p>
    <w:p>
      <w:pPr>
        <w:numPr>
          <w:ilvl w:val="1"/>
          <w:numId w:val="1067"/>
        </w:numPr>
        <w:pStyle w:val="Compact"/>
      </w:pPr>
      <w:r>
        <w:t xml:space="preserve">为MBA教学提供实践案例</w:t>
      </w:r>
    </w:p>
    <w:p>
      <w:pPr>
        <w:numPr>
          <w:ilvl w:val="1"/>
          <w:numId w:val="1067"/>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8"/>
        </w:numPr>
        <w:pStyle w:val="Compact"/>
      </w:pPr>
      <w:r>
        <w:rPr>
          <w:bCs/>
          <w:b/>
        </w:rPr>
        <w:t xml:space="preserve">智能化决策支持</w:t>
      </w:r>
      <w:r>
        <w:t xml:space="preserve">：</w:t>
      </w:r>
    </w:p>
    <w:p>
      <w:pPr>
        <w:numPr>
          <w:ilvl w:val="1"/>
          <w:numId w:val="1069"/>
        </w:numPr>
        <w:pStyle w:val="Compact"/>
      </w:pPr>
      <w:r>
        <w:t xml:space="preserve">利用AI技术开发转型决策支持系统</w:t>
      </w:r>
    </w:p>
    <w:p>
      <w:pPr>
        <w:numPr>
          <w:ilvl w:val="1"/>
          <w:numId w:val="1069"/>
        </w:numPr>
        <w:pStyle w:val="Compact"/>
      </w:pPr>
      <w:r>
        <w:t xml:space="preserve">提供转型路径优化建议</w:t>
      </w:r>
    </w:p>
    <w:p>
      <w:pPr>
        <w:numPr>
          <w:ilvl w:val="1"/>
          <w:numId w:val="1069"/>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122"/>
    <w:bookmarkEnd w:id="123"/>
    <w:bookmarkStart w:id="124"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124"/>
    <w:bookmarkStart w:id="125"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125"/>
    <w:bookmarkStart w:id="126"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26"/>
    <w:bookmarkEnd w:id="127"/>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1"/>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1"/>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1"/>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1"/>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1"/>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savePreviewPicture/>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2026-02-11T06:54:10Z</dcterms:created>
  <dcterms:modified xsi:type="dcterms:W3CDTF">2026-02-11T06:54:10Z</dcterms:modified>
</cp:coreProperties>
</file>

<file path=docProps/custom.xml><?xml version="1.0" encoding="utf-8"?>
<Properties xmlns="http://schemas.openxmlformats.org/officeDocument/2006/custom-properties" xmlns:vt="http://schemas.openxmlformats.org/officeDocument/2006/docPropsVTypes"/>
</file>