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25" w:name="目录"/>
    <w:p>
      <w:pPr>
        <w:pStyle w:val="2"/>
      </w:pPr>
      <w:r>
        <w:t xml:space="preserve">目录</w:t>
      </w:r>
    </w:p>
    <w:p>
      <w:pPr>
        <w:pStyle w:val="FirstParagraph"/>
      </w:pPr>
      <w:hyperlink w:anchor="第一章-绪论">
        <w:r>
          <w:rPr>
            <w:rStyle w:val="18"/>
          </w:rPr>
          <w:t xml:space="preserve">第一章 绪论</w:t>
        </w:r>
      </w:hyperlink>
      <w:r>
        <w:br/>
      </w:r>
      <w:hyperlink w:anchor="X8937dabc5ce3e80c7ed9121b0956503b5e6a27c">
        <w:r>
          <w:rPr>
            <w:rStyle w:val="18"/>
          </w:rPr>
          <w:t xml:space="preserve">1.1 研究背景</w:t>
        </w:r>
      </w:hyperlink>
      <w:r>
        <w:br/>
      </w:r>
      <w:hyperlink w:anchor="Xac6e889beb8980f85744bdfdd539502a3a3c463">
        <w:r>
          <w:rPr>
            <w:rStyle w:val="18"/>
          </w:rPr>
          <w:t xml:space="preserve">1.2 研究意义</w:t>
        </w:r>
      </w:hyperlink>
      <w:r>
        <w:br/>
      </w:r>
      <w:hyperlink w:anchor="X3c3f6f5f1eb4dbcfb6d8332c8f67cff38fe6b62">
        <w:r>
          <w:rPr>
            <w:rStyle w:val="18"/>
          </w:rPr>
          <w:t xml:space="preserve">1.3 研究内容与方法</w:t>
        </w:r>
      </w:hyperlink>
      <w:r>
        <w:br/>
      </w:r>
      <w:hyperlink w:anchor="X42be0e34395e43e9ce6fceb4e0fd078de1453d0">
        <w:r>
          <w:rPr>
            <w:rStyle w:val="18"/>
          </w:rPr>
          <w:t xml:space="preserve">1.4 论文结构安排</w:t>
        </w:r>
      </w:hyperlink>
    </w:p>
    <w:p>
      <w:pPr>
        <w:pStyle w:val="BodyText"/>
      </w:pPr>
      <w:hyperlink w:anchor="第二章-理论基础与文献综述">
        <w:r>
          <w:rPr>
            <w:rStyle w:val="18"/>
          </w:rPr>
          <w:t xml:space="preserve">第二章 理论基础与文献综述</w:t>
        </w:r>
      </w:hyperlink>
      <w:r>
        <w:br/>
      </w:r>
      <w:hyperlink w:anchor="X39004fd6e979ce8eb55e93efabd486e6de7b00d">
        <w:r>
          <w:rPr>
            <w:rStyle w:val="18"/>
          </w:rPr>
          <w:t xml:space="preserve">2.1 企业战略转型理论</w:t>
        </w:r>
      </w:hyperlink>
      <w:r>
        <w:br/>
      </w:r>
      <w:hyperlink w:anchor="X28f94017042edd437d59b7342183440a9baee00">
        <w:r>
          <w:rPr>
            <w:rStyle w:val="18"/>
          </w:rPr>
          <w:t xml:space="preserve">2.2 视觉力学传感器行业概述</w:t>
        </w:r>
      </w:hyperlink>
      <w:r>
        <w:br/>
      </w:r>
      <w:hyperlink w:anchor="X88b949a6394ba473ed68065a21a05ea09757410">
        <w:r>
          <w:rPr>
            <w:rStyle w:val="18"/>
          </w:rPr>
          <w:t xml:space="preserve">2.3 相关研究进展</w:t>
        </w:r>
      </w:hyperlink>
    </w:p>
    <w:p>
      <w:pPr>
        <w:pStyle w:val="BodyText"/>
      </w:pPr>
      <w:hyperlink w:anchor="第三章-hsm公司外部环境分析">
        <w:r>
          <w:rPr>
            <w:rStyle w:val="18"/>
          </w:rPr>
          <w:t xml:space="preserve">第三章 HSM公司外部环境分析</w:t>
        </w:r>
      </w:hyperlink>
      <w:r>
        <w:br/>
      </w:r>
      <w:hyperlink w:anchor="X8114d9aa034409c3358bcb6f1a5a786b7610598">
        <w:r>
          <w:rPr>
            <w:rStyle w:val="18"/>
          </w:rPr>
          <w:t xml:space="preserve">3.1 宏观环境PEST分析</w:t>
        </w:r>
      </w:hyperlink>
      <w:r>
        <w:br/>
      </w:r>
      <w:hyperlink w:anchor="X04fb151a3e84f4a3286ea911eb1adcc56fc2faf">
        <w:r>
          <w:rPr>
            <w:rStyle w:val="18"/>
          </w:rPr>
          <w:t xml:space="preserve">3.2 行业环境波特五力模型分析</w:t>
        </w:r>
      </w:hyperlink>
      <w:r>
        <w:br/>
      </w:r>
      <w:hyperlink w:anchor="X8b44b19f1f69274e87040fb989efe432390b637">
        <w:r>
          <w:rPr>
            <w:rStyle w:val="18"/>
          </w:rPr>
          <w:t xml:space="preserve">3.3 主要竞争对手分析</w:t>
        </w:r>
      </w:hyperlink>
    </w:p>
    <w:p>
      <w:pPr>
        <w:pStyle w:val="BodyText"/>
      </w:pPr>
      <w:hyperlink w:anchor="第四章-hsm战略转型的动因分析">
        <w:r>
          <w:rPr>
            <w:rStyle w:val="18"/>
          </w:rPr>
          <w:t xml:space="preserve">第四章 HSM战略转型的动因分析</w:t>
        </w:r>
      </w:hyperlink>
      <w:r>
        <w:br/>
      </w:r>
      <w:hyperlink w:anchor="X2eb72bb5b3cafda9c928386b9db2c75b81c60a0">
        <w:r>
          <w:rPr>
            <w:rStyle w:val="18"/>
          </w:rPr>
          <w:t xml:space="preserve">4.1 外部动因分析</w:t>
        </w:r>
      </w:hyperlink>
      <w:r>
        <w:br/>
      </w:r>
      <w:hyperlink w:anchor="Xd2fab62ae2ddc62fb58d3da7a34e6063662fbb4">
        <w:r>
          <w:rPr>
            <w:rStyle w:val="18"/>
          </w:rPr>
          <w:t xml:space="preserve">4.2 内部动因分析</w:t>
        </w:r>
      </w:hyperlink>
    </w:p>
    <w:p>
      <w:pPr>
        <w:pStyle w:val="BodyText"/>
      </w:pPr>
      <w:hyperlink w:anchor="第五章-hsm战略转型的实施路径">
        <w:r>
          <w:rPr>
            <w:rStyle w:val="18"/>
          </w:rPr>
          <w:t xml:space="preserve">第五章 HSM战略转型的实施路径</w:t>
        </w:r>
      </w:hyperlink>
      <w:r>
        <w:br/>
      </w:r>
      <w:hyperlink w:anchor="X9d4f70ea959f2c30571d74c9653405912fd5617">
        <w:r>
          <w:rPr>
            <w:rStyle w:val="18"/>
          </w:rPr>
          <w:t xml:space="preserve">5.1 技术战略实施路径</w:t>
        </w:r>
      </w:hyperlink>
      <w:r>
        <w:br/>
      </w:r>
      <w:hyperlink w:anchor="Xa81d6fe2055d5ed923b8685cabe8cc28435b41b">
        <w:r>
          <w:rPr>
            <w:rStyle w:val="18"/>
          </w:rPr>
          <w:t xml:space="preserve">5.2 市场战略实施路径</w:t>
        </w:r>
      </w:hyperlink>
      <w:r>
        <w:br/>
      </w:r>
      <w:hyperlink w:anchor="X8f66271ad9a96ad73b017ce97856bd74ec34e5d">
        <w:r>
          <w:rPr>
            <w:rStyle w:val="18"/>
          </w:rPr>
          <w:t xml:space="preserve">5.3 组织战略实施路径</w:t>
        </w:r>
      </w:hyperlink>
      <w:r>
        <w:br/>
      </w:r>
      <w:hyperlink w:anchor="Xf8d71a1ed6f755653b452aa186e455e0c835e26">
        <w:r>
          <w:rPr>
            <w:rStyle w:val="18"/>
          </w:rPr>
          <w:t xml:space="preserve">5.4 数字化转型实施路径</w:t>
        </w:r>
      </w:hyperlink>
      <w:r>
        <w:br/>
      </w:r>
      <w:hyperlink w:anchor="X78956153439019f8e74505812b7f19f4c47f47e">
        <w:r>
          <w:rPr>
            <w:rStyle w:val="18"/>
          </w:rPr>
          <w:t xml:space="preserve">5.5 生态合作实施路径</w:t>
        </w:r>
      </w:hyperlink>
    </w:p>
    <w:p>
      <w:pPr>
        <w:pStyle w:val="BodyText"/>
      </w:pPr>
      <w:hyperlink w:anchor="第六章-市场分析与商业模式优化">
        <w:r>
          <w:rPr>
            <w:rStyle w:val="18"/>
          </w:rPr>
          <w:t xml:space="preserve">第六章 市场分析与商业模式优化</w:t>
        </w:r>
      </w:hyperlink>
      <w:r>
        <w:br/>
      </w:r>
      <w:hyperlink w:anchor="Xd2cb4397e83f013b335674fd9e2c2440b48e78f">
        <w:r>
          <w:rPr>
            <w:rStyle w:val="18"/>
          </w:rPr>
          <w:t xml:space="preserve">6.1 国内基础设施安全监测市场概况</w:t>
        </w:r>
      </w:hyperlink>
      <w:r>
        <w:br/>
      </w:r>
      <w:hyperlink w:anchor="X1c75d96f30ff9dc24d8feee85476c9764267549">
        <w:r>
          <w:rPr>
            <w:rStyle w:val="18"/>
          </w:rPr>
          <w:t xml:space="preserve">6.2 方案厂家体量与竞争格局</w:t>
        </w:r>
      </w:hyperlink>
      <w:r>
        <w:br/>
      </w:r>
      <w:hyperlink w:anchor="X0fbd1c13d8a0e51eeb4883235d9fdd8e7694eee">
        <w:r>
          <w:rPr>
            <w:rStyle w:val="18"/>
          </w:rPr>
          <w:t xml:space="preserve">6.3 视频跟踪仪应用规模分析</w:t>
        </w:r>
      </w:hyperlink>
      <w:r>
        <w:br/>
      </w:r>
      <w:hyperlink w:anchor="X0bf736bce20c350f94a2bf78cdbef202e7bd1d0">
        <w:r>
          <w:rPr>
            <w:rStyle w:val="18"/>
          </w:rPr>
          <w:t xml:space="preserve">6.4 商业模式优化：成本优势与产品优势分析</w:t>
        </w:r>
      </w:hyperlink>
      <w:r>
        <w:br/>
      </w:r>
      <w:hyperlink w:anchor="X98085a6ef6cd3804b959d27ccd73d031e313750">
        <w:r>
          <w:rPr>
            <w:rStyle w:val="18"/>
          </w:rPr>
          <w:t xml:space="preserve">6.5 长期战略合作伙伴关系构建</w:t>
        </w:r>
      </w:hyperlink>
      <w:r>
        <w:br/>
      </w:r>
      <w:hyperlink w:anchor="Xca46add09e8f1cb9d0a2e9629eacc322286a69c">
        <w:r>
          <w:rPr>
            <w:rStyle w:val="18"/>
          </w:rPr>
          <w:t xml:space="preserve">6.6 市场拓展策略与实施路径</w:t>
        </w:r>
      </w:hyperlink>
      <w:r>
        <w:br/>
      </w:r>
      <w:hyperlink w:anchor="X3763b0db5a5b2d3e94506efb275bd2b82f5dfdc">
        <w:r>
          <w:rPr>
            <w:rStyle w:val="18"/>
          </w:rPr>
          <w:t xml:space="preserve">6.7 风险分析与应对措施</w:t>
        </w:r>
      </w:hyperlink>
    </w:p>
    <w:p>
      <w:pPr>
        <w:pStyle w:val="BodyText"/>
      </w:pPr>
      <w:hyperlink w:anchor="第七章-结论与建议">
        <w:r>
          <w:rPr>
            <w:rStyle w:val="18"/>
          </w:rPr>
          <w:t xml:space="preserve">第七章 结论与建议</w:t>
        </w:r>
      </w:hyperlink>
      <w:r>
        <w:br/>
      </w:r>
      <w:hyperlink w:anchor="X608df832ced67d3b404e0da4f84f37b482c5a22">
        <w:r>
          <w:rPr>
            <w:rStyle w:val="18"/>
          </w:rPr>
          <w:t xml:space="preserve">7.1 研究结论</w:t>
        </w:r>
      </w:hyperlink>
      <w:r>
        <w:br/>
      </w:r>
      <w:hyperlink w:anchor="X86a824a1049164ad5d82592883da91bfb10cdc9">
        <w:r>
          <w:rPr>
            <w:rStyle w:val="18"/>
          </w:rPr>
          <w:t xml:space="preserve">7.2 管理启示</w:t>
        </w:r>
      </w:hyperlink>
      <w:r>
        <w:br/>
      </w:r>
      <w:hyperlink w:anchor="Xb6ef7d88237900bc4e07264a50fb665e4f3e535">
        <w:r>
          <w:rPr>
            <w:rStyle w:val="18"/>
          </w:rPr>
          <w:t xml:space="preserve">7.3 研究不足与展望</w:t>
        </w:r>
      </w:hyperlink>
    </w:p>
    <w:p>
      <w:pPr>
        <w:pStyle w:val="BodyText"/>
      </w:pPr>
      <w:hyperlink w:anchor="参考文献">
        <w:r>
          <w:rPr>
            <w:rStyle w:val="18"/>
          </w:rPr>
          <w:t xml:space="preserve">参考文献</w:t>
        </w:r>
      </w:hyperlink>
      <w:r>
        <w:br/>
      </w:r>
      <w:hyperlink w:anchor="附录a-主要数据表格">
        <w:r>
          <w:rPr>
            <w:rStyle w:val="18"/>
          </w:rPr>
          <w:t xml:space="preserve">附录A 主要数据表格</w:t>
        </w:r>
      </w:hyperlink>
      <w:r>
        <w:br/>
      </w:r>
      <w:hyperlink w:anchor="致谢">
        <w:r>
          <w:rPr>
            <w:rStyle w:val="18"/>
          </w:rPr>
          <w:t xml:space="preserve">致谢</w:t>
        </w:r>
      </w:hyperlink>
    </w:p>
    <w:bookmarkEnd w:id="25"/>
    <w:bookmarkStart w:id="30" w:name="第一章-绪论"/>
    <w:p>
      <w:pPr>
        <w:pStyle w:val="2"/>
      </w:pPr>
      <w:r>
        <w:t xml:space="preserve">第一章 绪论</w:t>
      </w:r>
    </w:p>
    <w:bookmarkStart w:id="26"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6"/>
    <w:bookmarkStart w:id="27"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7"/>
    <w:bookmarkStart w:id="28"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8"/>
    <w:bookmarkStart w:id="29"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市场分析与商业模式优化</w:t>
      </w:r>
      <w:r>
        <w:t xml:space="preserve">：深入分析基础设施安全监测市场规模、竞争格局，评估视频跟踪仪应用前景，提出基于成本优势和产品优势的商业模式优化策略。</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p>
    <w:bookmarkEnd w:id="29"/>
    <w:bookmarkEnd w:id="30"/>
    <w:bookmarkStart w:id="34" w:name="第二章-理论基础与文献综述"/>
    <w:p>
      <w:pPr>
        <w:pStyle w:val="2"/>
      </w:pPr>
      <w:r>
        <w:t xml:space="preserve">第二章 理论基础与文献综述</w:t>
      </w:r>
    </w:p>
    <w:bookmarkStart w:id="31"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31"/>
    <w:bookmarkStart w:id="32"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2"/>
    <w:bookmarkStart w:id="33"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p>
    <w:bookmarkEnd w:id="33"/>
    <w:bookmarkEnd w:id="34"/>
    <w:bookmarkStart w:id="57" w:name="第三章-hsm公司外部环境分析"/>
    <w:p>
      <w:pPr>
        <w:pStyle w:val="2"/>
      </w:pPr>
      <w:r>
        <w:t xml:space="preserve">第三章 HSM公司外部环境分析</w:t>
      </w:r>
    </w:p>
    <w:bookmarkStart w:id="40"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5" w:name="政治环境"/>
    <w:p>
      <w:pPr>
        <w:pStyle w:val="4"/>
      </w:pPr>
      <w:r>
        <w:t xml:space="preserve">3.1.1 政治环境</w:t>
      </w:r>
    </w:p>
    <w:p>
      <w:pPr>
        <w:pStyle w:val="FirstParagraph"/>
      </w:pPr>
      <w:r>
        <w:rPr>
          <w:bCs/>
          <w:b/>
        </w:rPr>
        <w:t xml:space="preserve">政策支持体系完善</w:t>
      </w:r>
      <w:r>
        <w:t xml:space="preserve">。国家层面高度重视传感器产业发展，国务院《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rPr>
          <w:bCs/>
          <w:b/>
        </w:rPr>
        <w:t xml:space="preserve">国产替代战略推动</w:t>
      </w:r>
      <w:r>
        <w:t xml:space="preserve">。在中美科技竞争常态化的背景下，国产替代上升为国家战略。各级政府出台优先采购国产设备的政策，支持自主创新技术产品。交通运输部《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rPr>
          <w:bCs/>
          <w:b/>
        </w:rPr>
        <w:t xml:space="preserve">标准化体系建设加速</w:t>
      </w:r>
      <w:r>
        <w:t xml:space="preserve">。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rPr>
          <w:bCs/>
          <w:b/>
        </w:rPr>
        <w:t xml:space="preserve">对HSM的具体影响</w:t>
      </w:r>
      <w:r>
        <w:t xml:space="preserve">：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5"/>
    <w:bookmarkStart w:id="36" w:name="经济环境"/>
    <w:p>
      <w:pPr>
        <w:pStyle w:val="4"/>
      </w:pPr>
      <w:r>
        <w:t xml:space="preserve">3.1.2 经济环境</w:t>
      </w:r>
    </w:p>
    <w:p>
      <w:pPr>
        <w:pStyle w:val="FirstParagraph"/>
      </w:pPr>
      <w:r>
        <w:rPr>
          <w:bCs/>
          <w:b/>
        </w:rPr>
        <w:t xml:space="preserve">行业增长与资本环境</w:t>
      </w:r>
      <w:r>
        <w:t xml:space="preserve">。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rPr>
          <w:bCs/>
          <w:b/>
        </w:rPr>
        <w:t xml:space="preserve">下游需求韧性分析</w:t>
      </w:r>
      <w:r>
        <w:t xml:space="preserve">。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rPr>
          <w:bCs/>
          <w:b/>
        </w:rPr>
        <w:t xml:space="preserve">资本关注度提升</w:t>
      </w:r>
      <w:r>
        <w:t xml:space="preserve">。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rPr>
          <w:bCs/>
          <w:b/>
        </w:rPr>
        <w:t xml:space="preserve">对HSM的具体影响</w:t>
      </w:r>
      <w:r>
        <w:t xml:space="preserve">：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6"/>
    <w:bookmarkStart w:id="37" w:name="社会环境"/>
    <w:p>
      <w:pPr>
        <w:pStyle w:val="4"/>
      </w:pPr>
      <w:r>
        <w:t xml:space="preserve">3.1.3 社会环境</w:t>
      </w:r>
    </w:p>
    <w:p>
      <w:pPr>
        <w:pStyle w:val="FirstParagraph"/>
      </w:pPr>
      <w:r>
        <w:rPr>
          <w:bCs/>
          <w:b/>
        </w:rPr>
        <w:t xml:space="preserve">技术认知与接受度提升</w:t>
      </w:r>
      <w:r>
        <w:t xml:space="preserve">。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rPr>
          <w:bCs/>
          <w:b/>
        </w:rPr>
        <w:t xml:space="preserve">人才供给状况改善</w:t>
      </w:r>
      <w:r>
        <w:t xml:space="preserve">。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rPr>
          <w:bCs/>
          <w:b/>
        </w:rPr>
        <w:t xml:space="preserve">安全与合规意识增强</w:t>
      </w:r>
      <w:r>
        <w:t xml:space="preserve">。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rPr>
          <w:bCs/>
          <w:b/>
        </w:rPr>
        <w:t xml:space="preserve">对HSM的具体影响</w:t>
      </w:r>
      <w:r>
        <w:t xml:space="preserve">：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7"/>
    <w:bookmarkStart w:id="38" w:name="技术环境"/>
    <w:p>
      <w:pPr>
        <w:pStyle w:val="4"/>
      </w:pPr>
      <w:r>
        <w:t xml:space="preserve">3.1.4 技术环境</w:t>
      </w:r>
    </w:p>
    <w:p>
      <w:pPr>
        <w:pStyle w:val="FirstParagraph"/>
      </w:pPr>
      <w:r>
        <w:rPr>
          <w:bCs/>
          <w:b/>
        </w:rPr>
        <w:t xml:space="preserve">技术融合趋势明显</w:t>
      </w:r>
      <w:r>
        <w:t xml:space="preserve">。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rPr>
          <w:bCs/>
          <w:b/>
        </w:rPr>
        <w:t xml:space="preserve">技术迭代加速</w:t>
      </w:r>
      <w:r>
        <w:t xml:space="preserve">。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rPr>
          <w:bCs/>
          <w:b/>
        </w:rPr>
        <w:t xml:space="preserve">标准化与模块化发展</w:t>
      </w:r>
      <w:r>
        <w:t xml:space="preserve">。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rPr>
          <w:bCs/>
          <w:b/>
        </w:rPr>
        <w:t xml:space="preserve">对HSM的具体影响</w:t>
      </w:r>
      <w:r>
        <w:t xml:space="preserve">：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8"/>
    <w:bookmarkStart w:id="39" w:name="小结"/>
    <w:p>
      <w:pPr>
        <w:pStyle w:val="4"/>
      </w:pPr>
      <w:r>
        <w:t xml:space="preserve">3.1.5 小结</w:t>
      </w:r>
    </w:p>
    <w:p>
      <w:pPr>
        <w:pStyle w:val="FirstParagraph"/>
      </w:pPr>
      <w:r>
        <w:t xml:space="preserve">HSM面临的外部宏观环境呈现</w:t>
      </w:r>
      <w:r>
        <w:rPr>
          <w:bCs/>
          <w:b/>
        </w:rPr>
        <w:t xml:space="preserve">机遇大于挑战</w:t>
      </w:r>
      <w:r>
        <w:t xml:space="preserve">的格局。政策支持、市场需求增长、社会认知提升、技术融合创新等多重利好因素叠加，为视觉力学传感器行业创造了良好的发展环境。具体而言：</w:t>
      </w:r>
    </w:p>
    <w:p>
      <w:pPr>
        <w:pStyle w:val="BodyText"/>
      </w:pPr>
      <w:r>
        <w:rPr>
          <w:bCs/>
          <w:b/>
        </w:rPr>
        <w:t xml:space="preserve">机遇方面</w:t>
      </w:r>
      <w:r>
        <w:t xml:space="preserve">：（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rPr>
          <w:bCs/>
          <w:b/>
        </w:rPr>
        <w:t xml:space="preserve">挑战方面</w:t>
      </w:r>
      <w:r>
        <w:t xml:space="preserve">：（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rPr>
          <w:bCs/>
          <w:b/>
        </w:rPr>
        <w:t xml:space="preserve">对HSM的战略启示</w:t>
      </w:r>
      <w:r>
        <w:t xml:space="preserve">：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p>
      <w:r>
        <w:pict>
          <v:rect style="width:0;height:1.5pt" o:hralign="center" o:hrstd="t" o:hr="t"/>
        </w:pict>
      </w:r>
    </w:p>
    <w:bookmarkEnd w:id="39"/>
    <w:bookmarkEnd w:id="40"/>
    <w:bookmarkStart w:id="43" w:name="视觉力学传感器行业总体环境分析"/>
    <w:p>
      <w:pPr>
        <w:pStyle w:val="3"/>
      </w:pPr>
      <w:r>
        <w:t xml:space="preserve">3.2 视觉力学传感器行业总体环境分析</w:t>
      </w:r>
    </w:p>
    <w:bookmarkStart w:id="41"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rPr>
          <w:bCs/>
          <w:b/>
        </w:rPr>
        <w:t xml:space="preserve">表3-1 全球与中国DIC视觉传感器市场规模及增速对比表（2024-2031年）</w:t>
      </w:r>
    </w:p>
    <w:tbl>
      <w:tblPr>
        <w:tblStyle w:val="Table"/>
        <w:tblW w:type="pct" w:w="5000"/>
        <w:tblLook w:firstRow="1" w:lastRow="0" w:firstColumn="0" w:lastColumn="0" w:noHBand="0" w:noVBand="0" w:val="0020"/>
      </w:tblPr>
      <w:tblGrid>
        <w:gridCol w:w="500"/>
        <w:gridCol w:w="1750"/>
        <w:gridCol w:w="1167"/>
        <w:gridCol w:w="1750"/>
        <w:gridCol w:w="1167"/>
        <w:gridCol w:w="1584"/>
      </w:tblGrid>
      <w:tr>
        <w:trPr>
          <w:tblHeader w:val="true"/>
        </w:trP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rPr>
          <w:iCs/>
          <w:i/>
        </w:rPr>
        <w:t xml:space="preserve">数据来源：综合QYResearch《2026-2032全球及中国隔离器芯片行业研究报告》、百谏方略（DIResearch）隔离器芯片市场调研数据测算</w:t>
      </w:r>
    </w:p>
    <w:p>
      <w:pPr>
        <w:pStyle w:val="BodyText"/>
      </w:pPr>
      <w:r>
        <w:rPr>
          <w:bCs/>
          <w:b/>
        </w:rPr>
        <w:t xml:space="preserve">市场特征分析</w:t>
      </w:r>
      <w:r>
        <w:t xml:space="preserve">：</w:t>
      </w:r>
      <w:r>
        <w:t xml:space="preserve"> </w:t>
      </w:r>
      <w:r>
        <w:t xml:space="preserve">-</w:t>
      </w:r>
      <w:r>
        <w:t xml:space="preserve"> </w:t>
      </w:r>
      <w:r>
        <w:rPr>
          <w:bCs/>
          <w:b/>
        </w:rPr>
        <w:t xml:space="preserve">全球市场</w:t>
      </w:r>
      <w:r>
        <w:t xml:space="preserve">：呈现稳健增长态势，年复合增长率8.5%。北美市场技术研发领先，高端应用需求旺盛；欧洲市场工业基础雄厚，质量检测要求严格；亚太市场制造业集中，市场规模增长最快。</w:t>
      </w:r>
      <w:r>
        <w:t xml:space="preserve"> </w:t>
      </w:r>
      <w:r>
        <w:t xml:space="preserve">-</w:t>
      </w:r>
      <w:r>
        <w:t xml:space="preserve"> </w:t>
      </w:r>
      <w:r>
        <w:rPr>
          <w:bCs/>
          <w:b/>
        </w:rPr>
        <w:t xml:space="preserve">中国市场</w:t>
      </w:r>
      <w:r>
        <w:t xml:space="preserve">：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rPr>
          <w:bCs/>
          <w:b/>
        </w:rPr>
        <w:t xml:space="preserve">市场驱动因素</w:t>
      </w:r>
      <w:r>
        <w:t xml:space="preserve">：（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41"/>
    <w:bookmarkStart w:id="42"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rPr>
          <w:bCs/>
          <w:b/>
        </w:rPr>
        <w:t xml:space="preserve">表3-2 视觉力学传感器主要企业概览对比表</w:t>
      </w:r>
    </w:p>
    <w:tbl>
      <w:tblPr>
        <w:tblStyle w:val="Table"/>
        <w:tblW w:type="pct" w:w="5000"/>
        <w:tblLook w:firstRow="1" w:lastRow="0" w:firstColumn="0" w:lastColumn="0" w:noHBand="0" w:noVBand="0" w:val="0020"/>
      </w:tblPr>
      <w:tblGrid>
        <w:gridCol w:w="1131"/>
        <w:gridCol w:w="678"/>
        <w:gridCol w:w="1584"/>
        <w:gridCol w:w="1131"/>
        <w:gridCol w:w="1131"/>
        <w:gridCol w:w="1131"/>
        <w:gridCol w:w="1131"/>
      </w:tblGrid>
      <w:tr>
        <w:trPr>
          <w:tblHeader w:val="true"/>
        </w:trP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rPr>
                <w:bCs/>
                <w:b/>
              </w:rP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 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rPr>
                <w:bCs/>
                <w:b/>
              </w:rP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rPr>
                <w:bCs/>
                <w:b/>
              </w:rP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rPr>
          <w:bCs/>
          <w:b/>
        </w:rPr>
        <w:t xml:space="preserve">竞争梯队分析</w:t>
      </w:r>
      <w:r>
        <w:t xml:space="preserve">：</w:t>
      </w:r>
      <w:r>
        <w:t xml:space="preserve"> </w:t>
      </w:r>
      <w:r>
        <w:t xml:space="preserve">-</w:t>
      </w:r>
      <w:r>
        <w:t xml:space="preserve"> </w:t>
      </w:r>
      <w:r>
        <w:rPr>
          <w:bCs/>
          <w:b/>
        </w:rPr>
        <w:t xml:space="preserve">第一梯队</w:t>
      </w:r>
      <w:r>
        <w:t xml:space="preserve">：国际巨头（GOM、Correlated Solutions等），技术领先但价格昂贵，主要占据高端科研和工业市场。</w:t>
      </w:r>
      <w:r>
        <w:t xml:space="preserve"> </w:t>
      </w:r>
      <w:r>
        <w:t xml:space="preserve">-</w:t>
      </w:r>
      <w:r>
        <w:t xml:space="preserve"> </w:t>
      </w:r>
      <w:r>
        <w:rPr>
          <w:bCs/>
          <w:b/>
        </w:rPr>
        <w:t xml:space="preserve">第二梯队</w:t>
      </w:r>
      <w:r>
        <w:t xml:space="preserve">：国内领先企业（HSM、亿维股份、基康仪器等），技术接近国际水平，性价比高，在细分领域各有优势。</w:t>
      </w:r>
      <w:r>
        <w:t xml:space="preserve"> </w:t>
      </w:r>
      <w:r>
        <w:t xml:space="preserve">-</w:t>
      </w:r>
      <w:r>
        <w:t xml:space="preserve"> </w:t>
      </w:r>
      <w:r>
        <w:rPr>
          <w:bCs/>
          <w:b/>
        </w:rPr>
        <w:t xml:space="preserve">第三梯队</w:t>
      </w:r>
      <w:r>
        <w:t xml:space="preserve">：其他国内企业，技术相对落后，以价格竞争为主，市场份额分散。</w:t>
      </w:r>
    </w:p>
    <w:p>
      <w:pPr>
        <w:pStyle w:val="BodyText"/>
      </w:pPr>
      <w:r>
        <w:rPr>
          <w:bCs/>
          <w:b/>
        </w:rPr>
        <w:t xml:space="preserve">对HSM的竞争启示</w:t>
      </w:r>
      <w:r>
        <w:t xml:space="preserve">：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p>
      <w:r>
        <w:pict>
          <v:rect style="width:0;height:1.5pt" o:hralign="center" o:hrstd="t" o:hr="t"/>
        </w:pict>
      </w:r>
    </w:p>
    <w:bookmarkEnd w:id="42"/>
    <w:bookmarkEnd w:id="43"/>
    <w:bookmarkStart w:id="50"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4" w:name="现有企业竞争程度"/>
    <w:p>
      <w:pPr>
        <w:pStyle w:val="4"/>
      </w:pPr>
      <w:r>
        <w:t xml:space="preserve">3.3.1 现有企业竞争程度</w:t>
      </w:r>
    </w:p>
    <w:p>
      <w:pPr>
        <w:pStyle w:val="FirstParagraph"/>
      </w:pPr>
      <w:r>
        <w:rPr>
          <w:bCs/>
          <w:b/>
        </w:rP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rPr>
          <w:bCs/>
          <w:b/>
        </w:rPr>
        <w:t xml:space="preserve">竞争特点分析</w:t>
      </w:r>
      <w:r>
        <w:t xml:space="preserve">：</w:t>
      </w:r>
      <w:r>
        <w:t xml:space="preserve"> </w:t>
      </w:r>
      <w:r>
        <w:t xml:space="preserve">-</w:t>
      </w:r>
      <w:r>
        <w:t xml:space="preserve"> </w:t>
      </w:r>
      <w:r>
        <w:rPr>
          <w:bCs/>
          <w:b/>
        </w:rPr>
        <w:t xml:space="preserve">国际巨头垄断高端市场</w:t>
      </w:r>
      <w:r>
        <w:t xml:space="preserve">：德国GOM、美国Correlated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r>
        <w:t xml:space="preserve"> </w:t>
      </w:r>
      <w:r>
        <w:t xml:space="preserve">-</w:t>
      </w:r>
      <w:r>
        <w:t xml:space="preserve"> </w:t>
      </w:r>
      <w:r>
        <w:rPr>
          <w:bCs/>
          <w:b/>
        </w:rPr>
        <w:t xml:space="preserve">国内企业价格竞争激烈</w:t>
      </w:r>
      <w:r>
        <w:t xml:space="preserve">：在中低端市场，国内企业数量众多，产品同质化严重，价格竞争成为主要竞争手段。产品价格从几万元到几十万元不等，价格战导致行业整体利润率下降。部分企业为争夺市场份额，甚至以低于成本价销售，扰乱了市场秩序。</w:t>
      </w:r>
      <w:r>
        <w:t xml:space="preserve"> </w:t>
      </w:r>
      <w:r>
        <w:t xml:space="preserve">-</w:t>
      </w:r>
      <w:r>
        <w:t xml:space="preserve"> </w:t>
      </w:r>
      <w:r>
        <w:rPr>
          <w:bCs/>
          <w:b/>
        </w:rPr>
        <w:t xml:space="preserve">差异化竞争逐步显现</w:t>
      </w:r>
      <w:r>
        <w:t xml:space="preserve">：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r>
        <w:t xml:space="preserve"> </w:t>
      </w:r>
      <w:r>
        <w:t xml:space="preserve">-</w:t>
      </w:r>
      <w:r>
        <w:t xml:space="preserve"> </w:t>
      </w:r>
      <w:r>
        <w:rPr>
          <w:bCs/>
          <w:b/>
        </w:rPr>
        <w:t xml:space="preserve">竞争领域向新兴市场延伸</w:t>
      </w:r>
      <w:r>
        <w:t xml:space="preserve">：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rPr>
          <w:bCs/>
          <w:b/>
        </w:rPr>
        <w:t xml:space="preserve">对HSM的战略影响</w:t>
      </w:r>
      <w:r>
        <w:t xml:space="preserve">：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4"/>
    <w:bookmarkStart w:id="45" w:name="潜在进入者威胁"/>
    <w:p>
      <w:pPr>
        <w:pStyle w:val="4"/>
      </w:pPr>
      <w:r>
        <w:t xml:space="preserve">3.3.2 潜在进入者威胁</w:t>
      </w:r>
    </w:p>
    <w:p>
      <w:pPr>
        <w:pStyle w:val="FirstParagraph"/>
      </w:pPr>
      <w:r>
        <w:rPr>
          <w:bCs/>
          <w:b/>
        </w:rPr>
        <w:t xml:space="preserve">威胁强度评分：2.0分（较低威胁）</w:t>
      </w:r>
    </w:p>
    <w:p>
      <w:pPr>
        <w:pStyle w:val="BodyText"/>
      </w:pPr>
      <w:r>
        <w:t xml:space="preserve">视觉力学传感器行业存在较高的进入壁垒，潜在进入者威胁相对较低。</w:t>
      </w:r>
    </w:p>
    <w:p>
      <w:pPr>
        <w:pStyle w:val="BodyText"/>
      </w:pPr>
      <w:r>
        <w:rPr>
          <w:bCs/>
          <w:b/>
        </w:rPr>
        <w:t xml:space="preserve">进入壁垒分析</w:t>
      </w:r>
      <w:r>
        <w:t xml:space="preserve">：</w:t>
      </w:r>
      <w:r>
        <w:t xml:space="preserve"> </w:t>
      </w:r>
      <w:r>
        <w:t xml:space="preserve">-</w:t>
      </w:r>
      <w:r>
        <w:t xml:space="preserve"> </w:t>
      </w:r>
      <w:r>
        <w:rPr>
          <w:bCs/>
          <w:b/>
        </w:rPr>
        <w:t xml:space="preserve">技术壁垒较高</w:t>
      </w:r>
      <w:r>
        <w:t xml:space="preserve">：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r>
        <w:t xml:space="preserve"> </w:t>
      </w:r>
      <w:r>
        <w:t xml:space="preserve">-</w:t>
      </w:r>
      <w:r>
        <w:t xml:space="preserve"> </w:t>
      </w:r>
      <w:r>
        <w:rPr>
          <w:bCs/>
          <w:b/>
        </w:rPr>
        <w:t xml:space="preserve">资金壁垒显著</w:t>
      </w:r>
      <w:r>
        <w:t xml:space="preserve">：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r>
        <w:t xml:space="preserve"> </w:t>
      </w:r>
      <w:r>
        <w:t xml:space="preserve">-</w:t>
      </w:r>
      <w:r>
        <w:t xml:space="preserve"> </w:t>
      </w:r>
      <w:r>
        <w:rPr>
          <w:bCs/>
          <w:b/>
        </w:rPr>
        <w:t xml:space="preserve">品牌和渠道壁垒</w:t>
      </w:r>
      <w:r>
        <w:t xml:space="preserve">：客户对测量设备的可靠性和准确性要求极高，倾向于选择有成功案例和良好口碑的品牌。建立品牌影响力和销售渠道需要时间积累和资源投入。现有企业通过多年的市场耕耘，建立了稳定的客户关系和渠道网络。</w:t>
      </w:r>
      <w:r>
        <w:t xml:space="preserve"> </w:t>
      </w:r>
      <w:r>
        <w:t xml:space="preserve">-</w:t>
      </w:r>
      <w:r>
        <w:t xml:space="preserve"> </w:t>
      </w:r>
      <w:r>
        <w:rPr>
          <w:bCs/>
          <w:b/>
        </w:rPr>
        <w:t xml:space="preserve">规模经济效应</w:t>
      </w:r>
      <w:r>
        <w:t xml:space="preserve">：随着生产规模的扩大，单位产品成本显著下降。现有企业通过批量生产和供应链优化建立了成本优势，新进入者难以在短期内实现规模经济。</w:t>
      </w:r>
    </w:p>
    <w:p>
      <w:pPr>
        <w:pStyle w:val="BodyText"/>
      </w:pPr>
      <w:r>
        <w:rPr>
          <w:bCs/>
          <w:b/>
        </w:rPr>
        <w:t xml:space="preserve">潜在进入者类型</w:t>
      </w:r>
      <w:r>
        <w:t xml:space="preserve">：（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rPr>
          <w:bCs/>
          <w:b/>
        </w:rPr>
        <w:t xml:space="preserve">对HSM的战略影响</w:t>
      </w:r>
      <w:r>
        <w:t xml:space="preserve">：虽然潜在进入者威胁较低，但HSM仍需保持警惕。（1）加强专利布局，构建技术护城河；（2）加快市场拓展，建立品牌忠诚度；（3）优化成本结构，建立规模优势；（4）关注技术趋势，防范技术颠覆风险。</w:t>
      </w:r>
    </w:p>
    <w:bookmarkEnd w:id="45"/>
    <w:bookmarkStart w:id="46" w:name="替代品威胁"/>
    <w:p>
      <w:pPr>
        <w:pStyle w:val="4"/>
      </w:pPr>
      <w:r>
        <w:t xml:space="preserve">3.3.3 替代品威胁</w:t>
      </w:r>
    </w:p>
    <w:p>
      <w:pPr>
        <w:pStyle w:val="FirstParagraph"/>
      </w:pPr>
      <w:r>
        <w:rPr>
          <w:bCs/>
          <w:b/>
        </w:rP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rPr>
          <w:bCs/>
          <w:b/>
        </w:rPr>
        <w:t xml:space="preserve">替代技术分析</w:t>
      </w:r>
      <w:r>
        <w:t xml:space="preserve">：</w:t>
      </w:r>
      <w:r>
        <w:t xml:space="preserve"> </w:t>
      </w:r>
      <w:r>
        <w:t xml:space="preserve">-</w:t>
      </w:r>
      <w:r>
        <w:t xml:space="preserve"> </w:t>
      </w:r>
      <w:r>
        <w:rPr>
          <w:bCs/>
          <w:b/>
        </w:rPr>
        <w:t xml:space="preserve">传统接触式测量方法</w:t>
      </w:r>
      <w:r>
        <w:t xml:space="preserve">：应变片、位移计、引伸计等传统接触式测量方法技术成熟、价格低廉，但存在安装复杂、测量点有限、难以实现全场测量等局限性。在需要全场、非接触、高精度测量的场景，传统方法无法替代DIC技术。</w:t>
      </w:r>
      <w:r>
        <w:t xml:space="preserve"> </w:t>
      </w:r>
      <w:r>
        <w:t xml:space="preserve">-</w:t>
      </w:r>
      <w:r>
        <w:t xml:space="preserve"> </w:t>
      </w:r>
      <w:r>
        <w:rPr>
          <w:bCs/>
          <w:b/>
        </w:rPr>
        <w:t xml:space="preserve">其他非接触测量技术</w:t>
      </w:r>
      <w:r>
        <w:t xml:space="preserve">：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r>
        <w:t xml:space="preserve"> </w:t>
      </w:r>
      <w:r>
        <w:t xml:space="preserve">-</w:t>
      </w:r>
      <w:r>
        <w:t xml:space="preserve"> </w:t>
      </w:r>
      <w:r>
        <w:rPr>
          <w:bCs/>
          <w:b/>
        </w:rPr>
        <w:t xml:space="preserve">新兴传感技术</w:t>
      </w:r>
      <w:r>
        <w:t xml:space="preserve">：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rPr>
          <w:bCs/>
          <w:b/>
        </w:rPr>
        <w:t xml:space="preserve">技术替代趋势</w:t>
      </w:r>
      <w:r>
        <w:t xml:space="preserve">：技术替代呈现渐进式特点。（1）在传统应用领域，DIC技术逐步替代部分接触式测量方法；（2）在新兴应用领域，DIC技术与其他传感技术融合应用；（3）随着技术进步和成本下降，DIC技术的应用范围持续扩大。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rPr>
          <w:bCs/>
          <w:b/>
        </w:rPr>
        <w:t xml:space="preserve">对HSM的战略影响</w:t>
      </w:r>
      <w:r>
        <w:t xml:space="preserve">：替代品威胁较低为HSM提供了良好的发展环境。（1）突出DIC技术的综合优势，加强市场教育；（2）推动技术融合，开发多传感器集成系统；（3）持续降低成本，拓展应用场景；（4）关注技术发展趋势，防范技术颠覆。</w:t>
      </w:r>
    </w:p>
    <w:bookmarkEnd w:id="46"/>
    <w:bookmarkStart w:id="47" w:name="供应商议价能力"/>
    <w:p>
      <w:pPr>
        <w:pStyle w:val="4"/>
      </w:pPr>
      <w:r>
        <w:t xml:space="preserve">3.3.4 供应商议价能力</w:t>
      </w:r>
    </w:p>
    <w:p>
      <w:pPr>
        <w:pStyle w:val="FirstParagraph"/>
      </w:pPr>
      <w:r>
        <w:rPr>
          <w:bCs/>
          <w:b/>
        </w:rP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rPr>
          <w:bCs/>
          <w:b/>
        </w:rPr>
        <w:t xml:space="preserve">供应链结构分析</w:t>
      </w:r>
      <w:r>
        <w:t xml:space="preserve">：</w:t>
      </w:r>
      <w:r>
        <w:t xml:space="preserve"> </w:t>
      </w:r>
      <w:r>
        <w:t xml:space="preserve">-</w:t>
      </w:r>
      <w:r>
        <w:t xml:space="preserve"> </w:t>
      </w:r>
      <w:r>
        <w:rPr>
          <w:bCs/>
          <w:b/>
        </w:rPr>
        <w:t xml:space="preserve">核心部件供应商</w:t>
      </w:r>
      <w:r>
        <w:t xml:space="preserve">：（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r>
        <w:t xml:space="preserve"> </w:t>
      </w:r>
      <w:r>
        <w:t xml:space="preserve">-</w:t>
      </w:r>
      <w:r>
        <w:t xml:space="preserve"> </w:t>
      </w:r>
      <w:r>
        <w:rPr>
          <w:bCs/>
          <w:b/>
        </w:rPr>
        <w:t xml:space="preserve">供应商分布特征</w:t>
      </w:r>
      <w:r>
        <w:t xml:space="preserve">：（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r>
        <w:t xml:space="preserve"> </w:t>
      </w:r>
      <w:r>
        <w:t xml:space="preserve">-</w:t>
      </w:r>
      <w:r>
        <w:t xml:space="preserve"> </w:t>
      </w:r>
      <w:r>
        <w:rPr>
          <w:bCs/>
          <w:b/>
        </w:rPr>
        <w:t xml:space="preserve">供应商集中度</w:t>
      </w:r>
      <w:r>
        <w:t xml:space="preserve">：核心部件供应商集中度较高，特别是高端图像传感器和计算芯片市场被少数几家国际巨头垄断。结构件、线缆、外壳等非核心部件供应商分散，竞争激烈。</w:t>
      </w:r>
    </w:p>
    <w:p>
      <w:pPr>
        <w:pStyle w:val="BodyText"/>
      </w:pPr>
      <w:r>
        <w:rPr>
          <w:bCs/>
          <w:b/>
        </w:rPr>
        <w:t xml:space="preserve">议价能力影响因素</w:t>
      </w:r>
      <w:r>
        <w:t xml:space="preserve">：（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rPr>
          <w:bCs/>
          <w:b/>
        </w:rPr>
        <w:t xml:space="preserve">对HSM的战略影响</w:t>
      </w:r>
      <w:r>
        <w:t xml:space="preserve">：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7"/>
    <w:bookmarkStart w:id="48" w:name="客户议价能力"/>
    <w:p>
      <w:pPr>
        <w:pStyle w:val="4"/>
      </w:pPr>
      <w:r>
        <w:t xml:space="preserve">3.3.5 客户议价能力</w:t>
      </w:r>
    </w:p>
    <w:p>
      <w:pPr>
        <w:pStyle w:val="FirstParagraph"/>
      </w:pPr>
      <w:r>
        <w:rPr>
          <w:bCs/>
          <w:b/>
        </w:rP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rPr>
          <w:bCs/>
          <w:b/>
        </w:rPr>
        <w:t xml:space="preserve">客户结构分析</w:t>
      </w:r>
      <w:r>
        <w:t xml:space="preserve">：</w:t>
      </w:r>
      <w:r>
        <w:t xml:space="preserve"> </w:t>
      </w:r>
      <w:r>
        <w:t xml:space="preserve">-</w:t>
      </w:r>
      <w:r>
        <w:t xml:space="preserve"> </w:t>
      </w:r>
      <w:r>
        <w:rPr>
          <w:bCs/>
          <w:b/>
        </w:rPr>
        <w:t xml:space="preserve">大型客户</w:t>
      </w:r>
      <w:r>
        <w:t xml:space="preserve">：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r>
        <w:t xml:space="preserve"> </w:t>
      </w:r>
      <w:r>
        <w:t xml:space="preserve">-</w:t>
      </w:r>
      <w:r>
        <w:t xml:space="preserve"> </w:t>
      </w:r>
      <w:r>
        <w:rPr>
          <w:bCs/>
          <w:b/>
        </w:rPr>
        <w:t xml:space="preserve">中小客户</w:t>
      </w:r>
      <w:r>
        <w:t xml:space="preserve">：中小企业、科研院所、检测机构等采购规模小，对价格敏感度高，对技术服务要求相对较低。这些客户通常直接采购，议价能力较弱，账期短。但客户数量多，市场分散，需要建立高效的销售和服务体系。</w:t>
      </w:r>
      <w:r>
        <w:t xml:space="preserve"> </w:t>
      </w:r>
      <w:r>
        <w:t xml:space="preserve">-</w:t>
      </w:r>
      <w:r>
        <w:t xml:space="preserve"> </w:t>
      </w:r>
      <w:r>
        <w:rPr>
          <w:bCs/>
          <w:b/>
        </w:rPr>
        <w:t xml:space="preserve">客户需求特征</w:t>
      </w:r>
      <w:r>
        <w:t xml:space="preserve">：（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rPr>
          <w:bCs/>
          <w:b/>
        </w:rPr>
        <w:t xml:space="preserve">议价能力影响因素</w:t>
      </w:r>
      <w:r>
        <w:t xml:space="preserve">：（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rPr>
          <w:bCs/>
          <w:b/>
        </w:rPr>
        <w:t xml:space="preserve">对HSM的战略影响</w:t>
      </w:r>
      <w:r>
        <w:t xml:space="preserve">：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8"/>
    <w:bookmarkStart w:id="49" w:name="小结-1"/>
    <w:p>
      <w:pPr>
        <w:pStyle w:val="4"/>
      </w:pPr>
      <w:r>
        <w:t xml:space="preserve">3.3.6 小结</w:t>
      </w:r>
    </w:p>
    <w:p>
      <w:pPr>
        <w:pStyle w:val="FirstParagraph"/>
      </w:pPr>
      <w:r>
        <w:rPr>
          <w:bCs/>
          <w:b/>
        </w:rPr>
        <w:t xml:space="preserve">表3-3 视觉力学传感器行业波特五力模型总结表</w:t>
      </w:r>
    </w:p>
    <w:tbl>
      <w:tblPr>
        <w:tblStyle w:val="Table"/>
        <w:tblW w:type="pct" w:w="5000"/>
        <w:tblLook w:firstRow="1" w:lastRow="0" w:firstColumn="0" w:lastColumn="0" w:noHBand="0" w:noVBand="0" w:val="0020"/>
      </w:tblPr>
      <w:tblGrid>
        <w:gridCol w:w="1414"/>
        <w:gridCol w:w="2545"/>
        <w:gridCol w:w="1414"/>
        <w:gridCol w:w="2545"/>
      </w:tblGrid>
      <w:tr>
        <w:trPr>
          <w:tblHeader w:val="true"/>
        </w:trP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rPr>
          <w:bCs/>
          <w:b/>
        </w:rPr>
        <w:t xml:space="preserve">行业竞争格局总体判断</w:t>
      </w:r>
      <w:r>
        <w:t xml:space="preserve">：视觉力学传感器行业竞争激烈，但存在结构性机会。（1）</w:t>
      </w:r>
      <w:r>
        <w:rPr>
          <w:bCs/>
          <w:b/>
        </w:rPr>
        <w:t xml:space="preserve">高端市场</w:t>
      </w:r>
      <w:r>
        <w:t xml:space="preserve">：国际巨头占据主导，竞争焦点是技术性能和品牌影响力；（2）</w:t>
      </w:r>
      <w:r>
        <w:rPr>
          <w:bCs/>
          <w:b/>
        </w:rPr>
        <w:t xml:space="preserve">中端市场</w:t>
      </w:r>
      <w:r>
        <w:t xml:space="preserve">：国内领先企业竞争激烈，竞争焦点是性价比和行业解决方案；（3）</w:t>
      </w:r>
      <w:r>
        <w:rPr>
          <w:bCs/>
          <w:b/>
        </w:rPr>
        <w:t xml:space="preserve">低端市场</w:t>
      </w:r>
      <w:r>
        <w:t xml:space="preserve">：价格竞争激烈，利润率低，存在整合机会。</w:t>
      </w:r>
    </w:p>
    <w:p>
      <w:pPr>
        <w:pStyle w:val="BodyText"/>
      </w:pPr>
      <w:r>
        <w:rPr>
          <w:bCs/>
          <w:b/>
        </w:rPr>
        <w:t xml:space="preserve">对HSM的战略启示</w:t>
      </w:r>
      <w:r>
        <w:t xml:space="preserve">：基于五力分析，HSM应采取以下竞争策略：（1）</w:t>
      </w:r>
      <w:r>
        <w:rPr>
          <w:bCs/>
          <w:b/>
        </w:rPr>
        <w:t xml:space="preserve">差异化战略</w:t>
      </w:r>
      <w:r>
        <w:t xml:space="preserve">：以第三代DIC技术为核心，开发智能化、平台化产品，避免同质化竞争；（2）</w:t>
      </w:r>
      <w:r>
        <w:rPr>
          <w:bCs/>
          <w:b/>
        </w:rPr>
        <w:t xml:space="preserve">聚焦战略</w:t>
      </w:r>
      <w:r>
        <w:t xml:space="preserve">：深耕重点行业和重点客户，建立行业标杆案例，形成局部竞争优势；（3）</w:t>
      </w:r>
      <w:r>
        <w:rPr>
          <w:bCs/>
          <w:b/>
        </w:rPr>
        <w:t xml:space="preserve">成本领先战略</w:t>
      </w:r>
      <w:r>
        <w:t xml:space="preserve">：通过标准化设计和规模化生产降低生产成本，建立成本优势；（4）</w:t>
      </w:r>
      <w:r>
        <w:rPr>
          <w:bCs/>
          <w:b/>
        </w:rPr>
        <w:t xml:space="preserve">合作战略</w:t>
      </w:r>
      <w:r>
        <w:t xml:space="preserve">：与供应商、客户、科研院所建立战略合作关系，构建产业生态系统。</w:t>
      </w:r>
    </w:p>
    <w:p>
      <w:r>
        <w:pict>
          <v:rect style="width:0;height:1.5pt" o:hralign="center" o:hrstd="t" o:hr="t"/>
        </w:pict>
      </w:r>
    </w:p>
    <w:bookmarkEnd w:id="49"/>
    <w:bookmarkEnd w:id="50"/>
    <w:bookmarkStart w:id="55"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51" w:name="桥梁健康监测市场分析"/>
    <w:p>
      <w:pPr>
        <w:pStyle w:val="4"/>
      </w:pPr>
      <w:r>
        <w:t xml:space="preserve">3.4.1 桥梁健康监测市场分析</w:t>
      </w:r>
    </w:p>
    <w:p>
      <w:pPr>
        <w:pStyle w:val="FirstParagraph"/>
      </w:pPr>
      <w:r>
        <w:rPr>
          <w:bCs/>
          <w:b/>
        </w:rPr>
        <w:t xml:space="preserve">市场规模与增长趋势</w:t>
      </w:r>
      <w:r>
        <w:t xml:space="preserve">。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rPr>
          <w:bCs/>
          <w:b/>
        </w:rPr>
        <w:t xml:space="preserve">技术方案与应用特点</w:t>
      </w:r>
      <w:r>
        <w:t xml:space="preserve">。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rPr>
          <w:bCs/>
          <w:b/>
        </w:rPr>
        <w:t xml:space="preserve">主要厂商竞争格局</w:t>
      </w:r>
      <w:r>
        <w:t xml:space="preserve">。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rPr>
          <w:bCs/>
          <w:b/>
        </w:rPr>
        <w:t xml:space="preserve">政策支持与市场机遇</w:t>
      </w:r>
      <w:r>
        <w:t xml:space="preserve">。交通运输部《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51"/>
    <w:bookmarkStart w:id="52" w:name="隧道收敛监测市场分析"/>
    <w:p>
      <w:pPr>
        <w:pStyle w:val="4"/>
      </w:pPr>
      <w:r>
        <w:t xml:space="preserve">3.4.2 隧道收敛监测市场分析</w:t>
      </w:r>
    </w:p>
    <w:p>
      <w:pPr>
        <w:pStyle w:val="FirstParagraph"/>
      </w:pPr>
      <w:r>
        <w:rPr>
          <w:bCs/>
          <w:b/>
        </w:rPr>
        <w:t xml:space="preserve">市场规模与区域分布</w:t>
      </w:r>
      <w:r>
        <w:t xml:space="preserve">。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rPr>
          <w:bCs/>
          <w:b/>
        </w:rPr>
        <w:t xml:space="preserve">技术挑战与解决方案</w:t>
      </w:r>
      <w:r>
        <w:t xml:space="preserve">。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rPr>
          <w:bCs/>
          <w:b/>
        </w:rPr>
        <w:t xml:space="preserve">应用案例与发展趋势</w:t>
      </w:r>
      <w:r>
        <w:t xml:space="preserve">。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52"/>
    <w:bookmarkStart w:id="53" w:name="边坡位移监测市场分析"/>
    <w:p>
      <w:pPr>
        <w:pStyle w:val="4"/>
      </w:pPr>
      <w:r>
        <w:t xml:space="preserve">3.4.3 边坡位移监测市场分析</w:t>
      </w:r>
    </w:p>
    <w:p>
      <w:pPr>
        <w:pStyle w:val="FirstParagraph"/>
      </w:pPr>
      <w:r>
        <w:rPr>
          <w:bCs/>
          <w:b/>
        </w:rPr>
        <w:t xml:space="preserve">市场规模与需求特征</w:t>
      </w:r>
      <w:r>
        <w:t xml:space="preserve">。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rPr>
          <w:bCs/>
          <w:b/>
        </w:rPr>
        <w:t xml:space="preserve">技术方案与系统集成</w:t>
      </w:r>
      <w:r>
        <w:t xml:space="preserve">。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rPr>
          <w:bCs/>
          <w:b/>
        </w:rPr>
        <w:t xml:space="preserve">应用领域与市场机遇</w:t>
      </w:r>
      <w:r>
        <w:t xml:space="preserve">。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3"/>
    <w:bookmarkStart w:id="54" w:name="国家政策环境分析"/>
    <w:p>
      <w:pPr>
        <w:pStyle w:val="4"/>
      </w:pPr>
      <w:r>
        <w:t xml:space="preserve">3.4.4 国家政策环境分析</w:t>
      </w:r>
    </w:p>
    <w:p>
      <w:pPr>
        <w:pStyle w:val="FirstParagraph"/>
      </w:pPr>
      <w:r>
        <w:rPr>
          <w:bCs/>
          <w:b/>
        </w:rPr>
        <w:t xml:space="preserve">政策体系不断完善</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rPr>
          <w:bCs/>
          <w:b/>
        </w:rPr>
        <w:t xml:space="preserve">行业政策密集出台</w:t>
      </w:r>
      <w:r>
        <w:t xml:space="preserve">。《</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rPr>
          <w:bCs/>
          <w:b/>
        </w:rPr>
        <w:t xml:space="preserve">标准体系建设加速</w:t>
      </w:r>
      <w:r>
        <w:t xml:space="preserve">。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rPr>
          <w:bCs/>
          <w:b/>
        </w:rPr>
        <w:t xml:space="preserve">政策影响评估</w:t>
      </w:r>
      <w:r>
        <w:t xml:space="preserve">：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p>
      <w:r>
        <w:pict>
          <v:rect style="width:0;height:1.5pt" o:hralign="center" o:hrstd="t" o:hr="t"/>
        </w:pict>
      </w:r>
    </w:p>
    <w:bookmarkEnd w:id="54"/>
    <w:bookmarkEnd w:id="55"/>
    <w:bookmarkStart w:id="56"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rPr>
          <w:bCs/>
          <w:b/>
        </w:rPr>
        <w:t xml:space="preserve">宏观环境机遇大于挑战</w:t>
      </w:r>
      <w:r>
        <w:t xml:space="preserve">。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rPr>
          <w:bCs/>
          <w:b/>
        </w:rPr>
        <w:t xml:space="preserve">行业竞争呈现结构性特征</w:t>
      </w:r>
      <w:r>
        <w:t xml:space="preserve">。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rPr>
          <w:bCs/>
          <w:b/>
        </w:rPr>
        <w:t xml:space="preserve">视觉安全监测成为重要增长点</w:t>
      </w:r>
      <w:r>
        <w:t xml:space="preserve">。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rPr>
          <w:bCs/>
          <w:b/>
        </w:rPr>
        <w:t xml:space="preserve">对HSM的战略启示</w:t>
      </w:r>
      <w:r>
        <w:t xml:space="preserve">：（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p>
    <w:bookmarkEnd w:id="56"/>
    <w:bookmarkEnd w:id="57"/>
    <w:bookmarkStart w:id="78" w:name="第四章-hsm战略转型的动因分析"/>
    <w:p>
      <w:pPr>
        <w:pStyle w:val="2"/>
      </w:pPr>
      <w:r>
        <w:t xml:space="preserve">第四章 HSM战略转型的动因分析</w:t>
      </w:r>
    </w:p>
    <w:bookmarkStart w:id="59" w:name="hsm基本情况"/>
    <w:p>
      <w:pPr>
        <w:pStyle w:val="3"/>
      </w:pPr>
      <w:r>
        <w:t xml:space="preserve">4.1 HSM基本情况</w:t>
      </w:r>
    </w:p>
    <w:p>
      <w:pPr>
        <w:pStyle w:val="FirstParagraph"/>
      </w:pPr>
      <w:r>
        <w:t xml:space="preserve">深圳市海塞姆科技有限公司（HSM）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bookmarkStart w:id="58" w:name="表4-1hsm三大产品线基本特征对比"/>
    <w:p>
      <w:pPr>
        <w:pStyle w:val="4"/>
      </w:pPr>
      <w:r>
        <w:t xml:space="preserve">表4-1：HSM三大产品线基本特征对比</w:t>
      </w:r>
    </w:p>
    <w:tbl>
      <w:tblPr>
        <w:tblStyle w:val="Table"/>
        <w:tblW w:type="pct" w:w="5000"/>
        <w:tblLook w:firstRow="1" w:lastRow="0" w:firstColumn="0" w:lastColumn="0" w:noHBand="0" w:noVBand="0" w:val="0020"/>
      </w:tblPr>
      <w:tblGrid>
        <w:gridCol w:w="990"/>
        <w:gridCol w:w="1237"/>
        <w:gridCol w:w="1237"/>
        <w:gridCol w:w="1732"/>
        <w:gridCol w:w="1237"/>
        <w:gridCol w:w="1485"/>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rPr>
                <w:bCs/>
                <w:b/>
              </w:rP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rPr>
          <w:bCs/>
          <w:b/>
        </w:rPr>
        <w:t xml:space="preserve">产品线发展特征</w:t>
      </w:r>
      <w:r>
        <w:t xml:space="preserve">：视频引伸计和视频应变仪已完成产品化转型，实现标准化批量生产；视频跟踪仪仍处于项目化发展阶段，每个项目需要深度定制设计和工程实施。</w:t>
      </w:r>
    </w:p>
    <w:bookmarkEnd w:id="58"/>
    <w:bookmarkEnd w:id="59"/>
    <w:bookmarkStart w:id="69" w:name="hsm内部资源和能力分析"/>
    <w:p>
      <w:pPr>
        <w:pStyle w:val="3"/>
      </w:pPr>
      <w:r>
        <w:t xml:space="preserve">4.2 HSM内部资源和能力分析</w:t>
      </w:r>
    </w:p>
    <w:bookmarkStart w:id="60" w:name="技术资源"/>
    <w:p>
      <w:pPr>
        <w:pStyle w:val="4"/>
      </w:pPr>
      <w:r>
        <w:t xml:space="preserve">4.2.1 技术资源</w:t>
      </w:r>
    </w:p>
    <w:p>
      <w:pPr>
        <w:pStyle w:val="FirstParagraph"/>
      </w:pPr>
      <w:r>
        <w:rPr>
          <w:bCs/>
          <w:b/>
        </w:rPr>
        <w:t xml:space="preserve">核心技术突破</w:t>
      </w:r>
      <w:r>
        <w:t xml:space="preserve">：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rPr>
          <w:bCs/>
          <w:b/>
        </w:rPr>
        <w:t xml:space="preserve">专利布局</w:t>
      </w:r>
      <w:r>
        <w:t xml:space="preserve">：公司在DIC视觉传感器领域累计申请专利数量居全国前列，构建了完善的技术保护体系。核心专利涵盖单目三维算法、硬件设计、系统集成等多个层面，形成了较高的技术壁垒。</w:t>
      </w:r>
    </w:p>
    <w:p>
      <w:pPr>
        <w:pStyle w:val="BodyText"/>
      </w:pPr>
      <w:r>
        <w:rPr>
          <w:bCs/>
          <w:b/>
        </w:rPr>
        <w:t xml:space="preserve">研发投入</w:t>
      </w:r>
      <w:r>
        <w:t xml:space="preserve">：作为硬科技企业，HSM研发投入占营业收入比例持续保持在20%以上，研发团队占员工总数的40%。公司建立了从算法研究、软件开发到硬件设计的全栈研发能力。</w:t>
      </w:r>
    </w:p>
    <w:bookmarkEnd w:id="60"/>
    <w:bookmarkStart w:id="64"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rPr>
          <w:bCs/>
          <w:b/>
        </w:rPr>
        <w:t xml:space="preserve">视频引伸计</w:t>
      </w:r>
      <w:r>
        <w:t xml:space="preserve">：作为现金牛产品，视频引伸计实现了完全标准化设计，月产能可达200-300台。产品采用模块化硬件和标准化软件，支持快速交付和批量生产。</w:t>
      </w:r>
    </w:p>
    <w:bookmarkStart w:id="61" w:name="表4-2视频引伸计生产链结构"/>
    <w:p>
      <w:pPr>
        <w:pStyle w:val="Heading4"/>
      </w:pPr>
      <w:r>
        <w:t xml:space="preserve">表4-2：视频引伸计生产链结构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rPr>
                <w:bCs/>
                <w:b/>
              </w:rP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rPr>
                <w:bCs/>
                <w:b/>
              </w:rP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rPr>
                <w:bCs/>
                <w:b/>
              </w:rP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rPr>
                <w:bCs/>
                <w:b/>
              </w:rP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rPr>
          <w:bCs/>
          <w:b/>
        </w:rPr>
        <w:t xml:space="preserve">视频应变仪</w:t>
      </w:r>
      <w:r>
        <w:t xml:space="preserve">：作为明星产品，视频应变仪采用模块化配置设计，平衡了标准化与定制化的需求。产品融合了AI算法和工业级硬件，为工业质量控制提供智能化解决方案。</w:t>
      </w:r>
    </w:p>
    <w:bookmarkEnd w:id="61"/>
    <w:bookmarkStart w:id="62" w:name="表4-3视频应变仪生产链结构"/>
    <w:p>
      <w:pPr>
        <w:pStyle w:val="Heading4"/>
      </w:pPr>
      <w:r>
        <w:t xml:space="preserve">表4-3：视频应变仪生产链结构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r>
        <w:tc>
          <w:tcPr/>
          <w:p>
            <w:pPr>
              <w:pStyle w:val="Compact"/>
              <w:jc w:val="left"/>
            </w:pPr>
            <w:r>
              <w:rPr>
                <w:bCs/>
                <w:b/>
              </w:rP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rPr>
                <w:bCs/>
                <w:b/>
              </w:rP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rPr>
                <w:bCs/>
                <w:b/>
              </w:rP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rPr>
                <w:bCs/>
                <w:b/>
              </w:rP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rPr>
          <w:bCs/>
          <w:b/>
        </w:rPr>
        <w:t xml:space="preserve">视频跟踪仪</w:t>
      </w:r>
      <w:r>
        <w:t xml:space="preserve">：作为问题产品，视频跟踪仪仍采用项目制运作模式，每个项目需要独立设计、开发和实施，资源复用率低，生产效率低下。</w:t>
      </w:r>
    </w:p>
    <w:bookmarkEnd w:id="62"/>
    <w:bookmarkStart w:id="63" w:name="表4-4视频跟踪仪生产链结构"/>
    <w:p>
      <w:pPr>
        <w:pStyle w:val="Heading4"/>
      </w:pPr>
      <w:r>
        <w:t xml:space="preserve">表4-4：视频跟踪仪生产链结构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rPr>
                <w:bCs/>
                <w:b/>
              </w:rP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rPr>
                <w:bCs/>
                <w:b/>
              </w:rP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rPr>
                <w:bCs/>
                <w:b/>
              </w:rP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rPr>
                <w:bCs/>
                <w:b/>
              </w:rP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63"/>
    <w:bookmarkEnd w:id="64"/>
    <w:bookmarkStart w:id="66"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bookmarkStart w:id="65" w:name="表4-5生产模式与市场表现关联矩阵"/>
    <w:p>
      <w:pPr>
        <w:pStyle w:val="Heading4"/>
      </w:pPr>
      <w:r>
        <w:t xml:space="preserve">表4-5：生产模式与市场表现关联矩阵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rPr>
                <w:bCs/>
                <w:b/>
              </w:rP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rPr>
                <w:bCs/>
                <w:b/>
              </w:rP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rPr>
                <w:bCs/>
                <w:b/>
              </w:rP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rPr>
          <w:bCs/>
          <w:b/>
        </w:rPr>
        <w:t xml:space="preserve">生产瓶颈分析</w:t>
      </w:r>
      <w:r>
        <w:t xml:space="preserve">：</w:t>
      </w:r>
      <w:r>
        <w:t xml:space="preserve"> </w:t>
      </w:r>
      <w:r>
        <w:t xml:space="preserve">1.</w:t>
      </w:r>
      <w:r>
        <w:t xml:space="preserve"> </w:t>
      </w:r>
      <w:r>
        <w:rPr>
          <w:bCs/>
          <w:b/>
        </w:rPr>
        <w:t xml:space="preserve">标准化产品</w:t>
      </w:r>
      <w:r>
        <w:t xml:space="preserve">：主要瓶颈在于产能限制和核心芯片供应稳定性，但整体供应链管理较为成熟。</w:t>
      </w:r>
      <w:r>
        <w:t xml:space="preserve"> </w:t>
      </w:r>
      <w:r>
        <w:t xml:space="preserve">2.</w:t>
      </w:r>
      <w:r>
        <w:t xml:space="preserve"> </w:t>
      </w:r>
      <w:r>
        <w:rPr>
          <w:bCs/>
          <w:b/>
        </w:rPr>
        <w:t xml:space="preserve">项目化产品</w:t>
      </w:r>
      <w:r>
        <w:t xml:space="preserve">：面临多重瓶颈：研发瓶颈（定制开发需求过多）、工程实施瓶颈（现场工作量大）、人才瓶颈（复合型项目人才稀缺）、资金瓶颈（项目垫资压力大）。</w:t>
      </w:r>
    </w:p>
    <w:bookmarkEnd w:id="65"/>
    <w:bookmarkEnd w:id="66"/>
    <w:bookmarkStart w:id="67"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rPr>
          <w:bCs/>
          <w:b/>
        </w:rPr>
        <w:t xml:space="preserve">高端科研客户</w:t>
      </w:r>
      <w:r>
        <w:t xml:space="preserve">：清华大学、北京航空航天大学、中科院等顶尖科研院所，对测量精度要求极高，是技术创新的重要推动力量。</w:t>
      </w:r>
    </w:p>
    <w:p>
      <w:pPr>
        <w:pStyle w:val="BodyText"/>
      </w:pPr>
      <w:r>
        <w:rPr>
          <w:bCs/>
          <w:b/>
        </w:rPr>
        <w:t xml:space="preserve">工业标杆客户</w:t>
      </w:r>
      <w:r>
        <w:t xml:space="preserve">：一汽集团、比亚迪、宁德时代、华为等制造业龙头企业，关注产品的稳定性、可靠性和生产效率提升，是规模化市场的重要支撑。</w:t>
      </w:r>
    </w:p>
    <w:p>
      <w:pPr>
        <w:pStyle w:val="BodyText"/>
      </w:pPr>
      <w:r>
        <w:rPr>
          <w:bCs/>
          <w:b/>
        </w:rPr>
        <w:t xml:space="preserve">政府项目客户</w:t>
      </w:r>
      <w:r>
        <w:t xml:space="preserve">：交通运输部门、市政工程单位、基础设施运营商等，需求以安全监测为主，项目规模大但周期长、回款慢。</w:t>
      </w:r>
    </w:p>
    <w:p>
      <w:pPr>
        <w:pStyle w:val="BodyText"/>
      </w:pPr>
      <w:r>
        <w:rPr>
          <w:bCs/>
          <w:b/>
        </w:rPr>
        <w:t xml:space="preserve">客户分布特征</w:t>
      </w:r>
      <w:r>
        <w:t xml:space="preserve">：标准化产品（视频引伸计、视频应变仪）客户以高校科研院所和制造企业为主，决策链相对清晰，回款及时；项目化产品（视频跟踪仪）客户以政府部门和大型国企为主，决策链复杂，回款周期长。</w:t>
      </w:r>
    </w:p>
    <w:bookmarkEnd w:id="67"/>
    <w:bookmarkStart w:id="68" w:name="人力资源"/>
    <w:p>
      <w:pPr>
        <w:pStyle w:val="4"/>
      </w:pPr>
      <w:r>
        <w:t xml:space="preserve">4.2.5 人力资源</w:t>
      </w:r>
    </w:p>
    <w:p>
      <w:pPr>
        <w:pStyle w:val="FirstParagraph"/>
      </w:pPr>
      <w:r>
        <w:t xml:space="preserve">截至2024年底，HSM员工总数120人，人才结构呈现以下特点：</w:t>
      </w:r>
    </w:p>
    <w:p>
      <w:pPr>
        <w:pStyle w:val="BodyText"/>
      </w:pPr>
      <w:r>
        <w:rPr>
          <w:bCs/>
          <w:b/>
        </w:rPr>
        <w:t xml:space="preserve">研发团队</w:t>
      </w:r>
      <w:r>
        <w:t xml:space="preserve">：占比40%，核心成员来自清华大学、北京航空航天大学等知名高校，具备扎实的理论基础和实践经验。团队形成了算法开发、硬件设计、软件工程、系统集成等专业分工。</w:t>
      </w:r>
    </w:p>
    <w:p>
      <w:pPr>
        <w:pStyle w:val="BodyText"/>
      </w:pPr>
      <w:r>
        <w:rPr>
          <w:bCs/>
          <w:b/>
        </w:rPr>
        <w:t xml:space="preserve">管理团队</w:t>
      </w:r>
      <w:r>
        <w:t xml:space="preserve">：创始人技术背景深厚，在DIC算法领域有10年以上研究经验。公司正在引进具有产业经验和资本运作背景的管理人才，完善管理体系。</w:t>
      </w:r>
    </w:p>
    <w:p>
      <w:pPr>
        <w:pStyle w:val="BodyText"/>
      </w:pPr>
      <w:r>
        <w:rPr>
          <w:bCs/>
          <w:b/>
        </w:rPr>
        <w:t xml:space="preserve">销售与服务团队</w:t>
      </w:r>
      <w:r>
        <w:t xml:space="preserve">：在全国主要城市设立办事处，建立了覆盖全国的销售网络。技术服务团队具备较强的现场调试和问题解决能力。</w:t>
      </w:r>
    </w:p>
    <w:p>
      <w:pPr>
        <w:pStyle w:val="BodyText"/>
      </w:pPr>
      <w:r>
        <w:rPr>
          <w:bCs/>
          <w:b/>
        </w:rPr>
        <w:t xml:space="preserve">人才挑战</w:t>
      </w:r>
      <w:r>
        <w:t xml:space="preserve">：视频跟踪仪业务需要大量具备方案设计、工程实施、项目管理能力的复合型人才，这类人才市场稀缺，培养周期长，是制约业务发展的关键瓶颈。</w:t>
      </w:r>
    </w:p>
    <w:bookmarkEnd w:id="68"/>
    <w:bookmarkEnd w:id="69"/>
    <w:bookmarkStart w:id="73" w:name="hsm竞争战略"/>
    <w:p>
      <w:pPr>
        <w:pStyle w:val="3"/>
      </w:pPr>
      <w:r>
        <w:t xml:space="preserve">4.3 HSM竞争战略</w:t>
      </w:r>
    </w:p>
    <w:bookmarkStart w:id="70"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rPr>
          <w:bCs/>
          <w:b/>
        </w:rPr>
        <w:t xml:space="preserve">短期目标（2026-2028年）</w:t>
      </w:r>
      <w:r>
        <w:t xml:space="preserve">：</w:t>
      </w:r>
      <w:r>
        <w:t xml:space="preserve"> </w:t>
      </w:r>
      <w:r>
        <w:t xml:space="preserve">1. 巩固标准化产品优势：视频引伸计和视频应变仪市场占有率提升至国内前三。</w:t>
      </w:r>
      <w:r>
        <w:t xml:space="preserve"> </w:t>
      </w:r>
      <w:r>
        <w:t xml:space="preserve">2. 优化项目制业务：将视频跟踪仪项目平均交付周期缩短30%，回款周期缩短至180天以内。</w:t>
      </w:r>
      <w:r>
        <w:t xml:space="preserve"> </w:t>
      </w:r>
      <w:r>
        <w:t xml:space="preserve">3. 技术持续创新：第三代DIC技术性能指标达到国际先进水平，新增专利50项以上。</w:t>
      </w:r>
      <w:r>
        <w:t xml:space="preserve"> </w:t>
      </w:r>
      <w:r>
        <w:t xml:space="preserve">4. 财务健康改善：标准化产品营收占比提升至70%以上，整体毛利率提升至60%以上。</w:t>
      </w:r>
    </w:p>
    <w:p>
      <w:pPr>
        <w:pStyle w:val="BodyText"/>
      </w:pPr>
      <w:r>
        <w:rPr>
          <w:bCs/>
          <w:b/>
        </w:rPr>
        <w:t xml:space="preserve">中期目标（2029-2032年）</w:t>
      </w:r>
      <w:r>
        <w:t xml:space="preserve">：</w:t>
      </w:r>
      <w:r>
        <w:t xml:space="preserve"> </w:t>
      </w:r>
      <w:r>
        <w:t xml:space="preserve">1. 完成视频跟踪仪产品化转型：开发标准化视频跟踪仪产品系列，项目制业务占比降至30%以下。</w:t>
      </w:r>
      <w:r>
        <w:t xml:space="preserve"> </w:t>
      </w:r>
      <w:r>
        <w:t xml:space="preserve">2. 拓展国际市场：海外市场营收占比达到20%，进入欧美主流市场。</w:t>
      </w:r>
      <w:r>
        <w:t xml:space="preserve"> </w:t>
      </w:r>
      <w:r>
        <w:t xml:space="preserve">3. 构建技术生态：建立DIC技术开发者平台，吸引第三方应用开发。</w:t>
      </w:r>
      <w:r>
        <w:t xml:space="preserve"> </w:t>
      </w:r>
      <w:r>
        <w:t xml:space="preserve">4. 资本运作规划：完成科创板上市准备，市值目标50亿元以上。</w:t>
      </w:r>
    </w:p>
    <w:p>
      <w:pPr>
        <w:pStyle w:val="BodyText"/>
      </w:pPr>
      <w:r>
        <w:rPr>
          <w:bCs/>
          <w:b/>
        </w:rPr>
        <w:t xml:space="preserve">长期目标（2033-2035年）</w:t>
      </w:r>
      <w:r>
        <w:t xml:space="preserve">：</w:t>
      </w:r>
      <w:r>
        <w:t xml:space="preserve"> </w:t>
      </w:r>
      <w:r>
        <w:t xml:space="preserve">1. 成为全球视觉力学传感器领导者：在全球DIC视觉传感器市场进入前三。</w:t>
      </w:r>
      <w:r>
        <w:t xml:space="preserve"> </w:t>
      </w:r>
      <w:r>
        <w:t xml:space="preserve">2. 构建智能感知平台：融合AI、IoT、云计算等技术，打造工业智能感知生态系统。</w:t>
      </w:r>
      <w:r>
        <w:t xml:space="preserve"> </w:t>
      </w:r>
      <w:r>
        <w:t xml:space="preserve">3. 产业生态布局：通过投资并购完善产业链，形成从传感器到解决方案的完整产业生态。</w:t>
      </w:r>
      <w:r>
        <w:t xml:space="preserve"> </w:t>
      </w:r>
      <w:r>
        <w:t xml:space="preserve">4. 可持续发展：实现碳中和运营，研发绿色低碳的智能感知技术。</w:t>
      </w:r>
    </w:p>
    <w:bookmarkEnd w:id="70"/>
    <w:bookmarkStart w:id="72"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bookmarkStart w:id="71" w:name="表4-6hsm基本价值链的竞争选择和实施路径"/>
    <w:p>
      <w:pPr>
        <w:pStyle w:val="Heading4"/>
      </w:pPr>
      <w:r>
        <w:t xml:space="preserve">表4-6：HSM基本价值链的竞争选择和实施路径</w:t>
      </w:r>
    </w:p>
    <w:tbl>
      <w:tblPr>
        <w:tblStyle w:val="Table"/>
        <w:tblW w:type="pct" w:w="5000"/>
        <w:tblLook w:firstRow="1" w:lastRow="0" w:firstColumn="0" w:lastColumn="0" w:noHBand="0" w:noVBand="0" w:val="0020"/>
      </w:tblPr>
      <w:tblGrid>
        <w:gridCol w:w="1900"/>
        <w:gridCol w:w="2217"/>
        <w:gridCol w:w="2217"/>
        <w:gridCol w:w="1584"/>
      </w:tblGrid>
      <w:tr>
        <w:trPr>
          <w:tblHeader w:val="true"/>
        </w:trP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rPr>
                <w:bCs/>
                <w:b/>
              </w:rP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w:t>
            </w:r>
            <w:r>
              <w:t xml:space="preserve">2. 融合AI技术，开发智能识别和预测分析功能</w:t>
            </w:r>
            <w:r>
              <w:t xml:space="preserve">3. 布局边缘计算和云平台架构，支持大规模部署</w:t>
            </w:r>
            <w:r>
              <w:t xml:space="preserve">4. 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rPr>
                <w:bCs/>
                <w:b/>
              </w:rPr>
              <w:t xml:space="preserve">生产运营</w:t>
            </w:r>
          </w:p>
        </w:tc>
        <w:tc>
          <w:tcPr/>
          <w:p>
            <w:pPr>
              <w:pStyle w:val="Compact"/>
              <w:jc w:val="left"/>
            </w:pPr>
            <w:r>
              <w:t xml:space="preserve">推动生产模式从项目制向产品化转型</w:t>
            </w:r>
          </w:p>
        </w:tc>
        <w:tc>
          <w:tcPr/>
          <w:p>
            <w:pPr>
              <w:pStyle w:val="Compact"/>
              <w:jc w:val="left"/>
            </w:pPr>
            <w:r>
              <w:t xml:space="preserve">1. 视频跟踪仪产品化改造：基于项目经验提炼共性需求，开发标准化产品版本</w:t>
            </w:r>
            <w:r>
              <w:t xml:space="preserve">2. 建立模块化生产体系：将定制功能模块化，提高资源复用率</w:t>
            </w:r>
            <w:r>
              <w:t xml:space="preserve">3. 优化供应链管理：建立适应不同产品线的差异化供应链体系</w:t>
            </w:r>
            <w:r>
              <w:t xml:space="preserve">4. 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rPr>
                <w:bCs/>
                <w:b/>
              </w:rPr>
              <w:t xml:space="preserve">市场营销</w:t>
            </w:r>
          </w:p>
        </w:tc>
        <w:tc>
          <w:tcPr/>
          <w:p>
            <w:pPr>
              <w:pStyle w:val="Compact"/>
              <w:jc w:val="left"/>
            </w:pPr>
            <w:r>
              <w:t xml:space="preserve">聚焦大客户toB市场，建立专业品牌形象</w:t>
            </w:r>
          </w:p>
        </w:tc>
        <w:tc>
          <w:tcPr/>
          <w:p>
            <w:pPr>
              <w:pStyle w:val="Compact"/>
              <w:jc w:val="left"/>
            </w:pPr>
            <w:r>
              <w:t xml:space="preserve">1. 实施客户分层策略：针对科研、工业、政府不同客户提供差异化产品和服务</w:t>
            </w:r>
            <w:r>
              <w:t xml:space="preserve">2. 加强标杆案例建设：在重点行业建立示范应用，形成口碑效应</w:t>
            </w:r>
            <w:r>
              <w:t xml:space="preserve">3. 构建专业服务体系：提供从方案设计到运营维护的全周期服务</w:t>
            </w:r>
            <w:r>
              <w:t xml:space="preserve">4. 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rPr>
                <w:bCs/>
                <w:b/>
              </w:rP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w:t>
            </w:r>
            <w:r>
              <w:t xml:space="preserve">2. 开发智能化运维平台：实现设备状态远程监控和预测性维护</w:t>
            </w:r>
            <w:r>
              <w:t xml:space="preserve">3. 提供定制化培训服务：针对不同客户需求提供差异化培训方案</w:t>
            </w:r>
            <w:r>
              <w:t xml:space="preserve">4. 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rPr>
                <w:bCs/>
                <w:b/>
              </w:rP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w:t>
            </w:r>
            <w:r>
              <w:t xml:space="preserve">2. 建立项目人才培养体系：通过实战项目培养复合型人才</w:t>
            </w:r>
            <w:r>
              <w:t xml:space="preserve">3. 优化激励机制：将项目成功与个人收益挂钩，激发团队积极性</w:t>
            </w:r>
            <w:r>
              <w:t xml:space="preserve">4. 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rPr>
                <w:bCs/>
                <w:b/>
              </w:rP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w:t>
            </w:r>
            <w:r>
              <w:t xml:space="preserve">2. 资金使用专项管理：确保研发投入和市场拓展的资金需求</w:t>
            </w:r>
            <w:r>
              <w:t xml:space="preserve">3. 财务风险防控：建立现金流预警机制，防范项目垫资风险</w:t>
            </w:r>
            <w:r>
              <w:t xml:space="preserve">4. 上市规划准备：按照科创板要求规范公司治理和财务管理</w:t>
            </w:r>
          </w:p>
        </w:tc>
        <w:tc>
          <w:tcPr/>
          <w:p>
            <w:pPr>
              <w:pStyle w:val="Compact"/>
              <w:jc w:val="left"/>
            </w:pPr>
            <w:r>
              <w:t xml:space="preserve">资金使用效率提升20%，为战略转型提供稳定资金支持</w:t>
            </w:r>
          </w:p>
        </w:tc>
      </w:tr>
    </w:tbl>
    <w:bookmarkEnd w:id="71"/>
    <w:bookmarkEnd w:id="72"/>
    <w:bookmarkEnd w:id="73"/>
    <w:bookmarkStart w:id="77" w:name="hsm面临的机遇和挑战"/>
    <w:p>
      <w:pPr>
        <w:pStyle w:val="3"/>
      </w:pPr>
      <w:r>
        <w:t xml:space="preserve">4.4 HSM面临的机遇和挑战</w:t>
      </w:r>
    </w:p>
    <w:bookmarkStart w:id="74" w:name="机遇"/>
    <w:p>
      <w:pPr>
        <w:pStyle w:val="4"/>
      </w:pPr>
      <w:r>
        <w:t xml:space="preserve">4.4.1 机遇</w:t>
      </w:r>
    </w:p>
    <w:p>
      <w:pPr>
        <w:pStyle w:val="FirstParagraph"/>
      </w:pPr>
      <w:r>
        <w:rPr>
          <w:bCs/>
          <w:b/>
        </w:rPr>
        <w:t xml:space="preserve">政策机遇</w:t>
      </w:r>
      <w:r>
        <w:t xml:space="preserve">：国家”中国制造2025”、</w:t>
      </w:r>
      <w:r>
        <w:t xml:space="preserve">“</w:t>
      </w:r>
      <w:r>
        <w:t xml:space="preserve">十四五</w:t>
      </w:r>
      <w:r>
        <w:t xml:space="preserve">”</w:t>
      </w:r>
      <w:r>
        <w:t xml:space="preserve">规划等战略将智能制造和国产替代作为重点方向，为视觉力学传感器企业提供了广阔的政策支持。特别是在中美科技竞争背景下，国产高端传感器的进口替代需求迫切，为HSM创造了重要的市场窗口期。</w:t>
      </w:r>
    </w:p>
    <w:p>
      <w:pPr>
        <w:pStyle w:val="BodyText"/>
      </w:pPr>
      <w:r>
        <w:rPr>
          <w:bCs/>
          <w:b/>
        </w:rPr>
        <w:t xml:space="preserve">市场机遇</w:t>
      </w:r>
      <w:r>
        <w:t xml:space="preserve">：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pPr>
        <w:pStyle w:val="BodyText"/>
      </w:pPr>
      <w:r>
        <w:rPr>
          <w:bCs/>
          <w:b/>
        </w:rPr>
        <w:t xml:space="preserve">技术机遇</w:t>
      </w:r>
      <w:r>
        <w:t xml:space="preserve">：人工智能、物联网、边缘计算等新一代信息技术与DIC技术的融合，为视觉力学传感器向智能化、平台化发展提供了技术路径。单目三维DIC技术的突破性进展，使HSM在技术路线上具备了差异化竞争优势。</w:t>
      </w:r>
    </w:p>
    <w:p>
      <w:pPr>
        <w:pStyle w:val="BodyText"/>
      </w:pPr>
      <w:r>
        <w:rPr>
          <w:bCs/>
          <w:b/>
        </w:rPr>
        <w:t xml:space="preserve">资本机遇</w:t>
      </w:r>
      <w:r>
        <w:t xml:space="preserve">：硬科技投资热度持续，资本市场对具备核心技术的传感器企业给予较高估值。科创板为科技型企业提供了良好的上市通道，为HSM的资本运作创造了有利条件。</w:t>
      </w:r>
    </w:p>
    <w:bookmarkEnd w:id="74"/>
    <w:bookmarkStart w:id="76" w:name="挑战"/>
    <w:p>
      <w:pPr>
        <w:pStyle w:val="4"/>
      </w:pPr>
      <w:r>
        <w:t xml:space="preserve">4.4.2 挑战</w:t>
      </w:r>
    </w:p>
    <w:p>
      <w:pPr>
        <w:pStyle w:val="FirstParagraph"/>
      </w:pPr>
      <w:r>
        <w:rPr>
          <w:bCs/>
          <w:b/>
        </w:rPr>
        <w:t xml:space="preserve">视频跟踪仪项目制困境</w:t>
      </w:r>
      <w:r>
        <w:t xml:space="preserve">：这是HSM面临的最核心挑战，具体表现为：</w:t>
      </w:r>
    </w:p>
    <w:bookmarkStart w:id="75" w:name="表4-7标准化产品与项目化产品关键指标对比"/>
    <w:p>
      <w:pPr>
        <w:pStyle w:val="Heading4"/>
      </w:pPr>
      <w:r>
        <w:t xml:space="preserve">表4-7：标准化产品与项目化产品关键指标对比</w:t>
      </w:r>
    </w:p>
    <w:tbl>
      <w:tblPr>
        <w:tblStyle w:val="Table"/>
        <w:tblW w:type="pct" w:w="5000"/>
        <w:tblLook w:firstRow="1" w:lastRow="0" w:firstColumn="0" w:lastColumn="0" w:noHBand="0" w:noVBand="0" w:val="0020"/>
      </w:tblPr>
      <w:tblGrid>
        <w:gridCol w:w="1015"/>
        <w:gridCol w:w="3249"/>
        <w:gridCol w:w="2640"/>
        <w:gridCol w:w="1015"/>
      </w:tblGrid>
      <w:tr>
        <w:trPr>
          <w:tblHeader w:val="true"/>
        </w:trPr>
        <w:tc>
          <w:tcPr/>
          <w:p>
            <w:pPr>
              <w:pStyle w:val="Compact"/>
              <w:jc w:val="left"/>
            </w:pPr>
            <w:r>
              <w:t xml:space="preserve">指标维度</w:t>
            </w:r>
          </w:p>
        </w:tc>
        <w:tc>
          <w:tcPr/>
          <w:p>
            <w:pPr>
              <w:pStyle w:val="Compact"/>
              <w:jc w:val="left"/>
            </w:pPr>
            <w:r>
              <w:t xml:space="preserve">标准化产品（视频引伸计/应变仪）</w:t>
            </w:r>
          </w:p>
        </w:tc>
        <w:tc>
          <w:tcPr/>
          <w:p>
            <w:pPr>
              <w:pStyle w:val="Compact"/>
              <w:jc w:val="left"/>
            </w:pPr>
            <w:r>
              <w:t xml:space="preserve">项目化产品（视频跟踪仪）</w:t>
            </w:r>
          </w:p>
        </w:tc>
        <w:tc>
          <w:tcPr/>
          <w:p>
            <w:pPr>
              <w:pStyle w:val="Compact"/>
              <w:jc w:val="left"/>
            </w:pPr>
            <w:r>
              <w:t xml:space="preserve">差距分析</w:t>
            </w:r>
          </w:p>
        </w:tc>
      </w:tr>
      <w:tr>
        <w:tc>
          <w:tcPr/>
          <w:p>
            <w:pPr>
              <w:pStyle w:val="Compact"/>
              <w:jc w:val="left"/>
            </w:pPr>
            <w:r>
              <w:rPr>
                <w:bCs/>
                <w:b/>
              </w:rPr>
              <w:t xml:space="preserve">毛利率</w:t>
            </w:r>
          </w:p>
        </w:tc>
        <w:tc>
          <w:tcPr/>
          <w:p>
            <w:pPr>
              <w:pStyle w:val="Compact"/>
              <w:jc w:val="left"/>
            </w:pPr>
            <w:r>
              <w:t xml:space="preserve">65-70%</w:t>
            </w:r>
          </w:p>
        </w:tc>
        <w:tc>
          <w:tcPr/>
          <w:p>
            <w:pPr>
              <w:pStyle w:val="Compact"/>
              <w:jc w:val="left"/>
            </w:pPr>
            <w:r>
              <w:t xml:space="preserve">45-55%</w:t>
            </w:r>
          </w:p>
        </w:tc>
        <w:tc>
          <w:tcPr/>
          <w:p>
            <w:pPr>
              <w:pStyle w:val="Compact"/>
              <w:jc w:val="left"/>
            </w:pPr>
            <w:r>
              <w:t xml:space="preserve">相差20-25个百分点</w:t>
            </w:r>
          </w:p>
        </w:tc>
      </w:tr>
      <w:tr>
        <w:tc>
          <w:tcPr/>
          <w:p>
            <w:pPr>
              <w:pStyle w:val="Compact"/>
              <w:jc w:val="left"/>
            </w:pPr>
            <w:r>
              <w:rPr>
                <w:bCs/>
                <w:b/>
              </w:rPr>
              <w:t xml:space="preserve">回款周期</w:t>
            </w:r>
          </w:p>
        </w:tc>
        <w:tc>
          <w:tcPr/>
          <w:p>
            <w:pPr>
              <w:pStyle w:val="Compact"/>
              <w:jc w:val="left"/>
            </w:pPr>
            <w:r>
              <w:t xml:space="preserve">90天</w:t>
            </w:r>
          </w:p>
        </w:tc>
        <w:tc>
          <w:tcPr/>
          <w:p>
            <w:pPr>
              <w:pStyle w:val="Compact"/>
              <w:jc w:val="left"/>
            </w:pPr>
            <w:r>
              <w:t xml:space="preserve">270天</w:t>
            </w:r>
          </w:p>
        </w:tc>
        <w:tc>
          <w:tcPr/>
          <w:p>
            <w:pPr>
              <w:pStyle w:val="Compact"/>
              <w:jc w:val="left"/>
            </w:pPr>
            <w:r>
              <w:t xml:space="preserve">相差180天</w:t>
            </w:r>
          </w:p>
        </w:tc>
      </w:tr>
      <w:tr>
        <w:tc>
          <w:tcPr/>
          <w:p>
            <w:pPr>
              <w:pStyle w:val="Compact"/>
              <w:jc w:val="left"/>
            </w:pPr>
            <w:r>
              <w:rPr>
                <w:bCs/>
                <w:b/>
              </w:rPr>
              <w:t xml:space="preserve">人均产值</w:t>
            </w:r>
          </w:p>
        </w:tc>
        <w:tc>
          <w:tcPr/>
          <w:p>
            <w:pPr>
              <w:pStyle w:val="Compact"/>
              <w:jc w:val="left"/>
            </w:pPr>
            <w:r>
              <w:t xml:space="preserve">150万元/年</w:t>
            </w:r>
          </w:p>
        </w:tc>
        <w:tc>
          <w:tcPr/>
          <w:p>
            <w:pPr>
              <w:pStyle w:val="Compact"/>
              <w:jc w:val="left"/>
            </w:pPr>
            <w:r>
              <w:t xml:space="preserve">60万元/年</w:t>
            </w:r>
          </w:p>
        </w:tc>
        <w:tc>
          <w:tcPr/>
          <w:p>
            <w:pPr>
              <w:pStyle w:val="Compact"/>
              <w:jc w:val="left"/>
            </w:pPr>
            <w:r>
              <w:t xml:space="preserve">相差90万元/年</w:t>
            </w:r>
          </w:p>
        </w:tc>
      </w:tr>
      <w:tr>
        <w:tc>
          <w:tcPr/>
          <w:p>
            <w:pPr>
              <w:pStyle w:val="Compact"/>
              <w:jc w:val="left"/>
            </w:pPr>
            <w:r>
              <w:rPr>
                <w:bCs/>
                <w:b/>
              </w:rPr>
              <w:t xml:space="preserve">客户满意度</w:t>
            </w:r>
          </w:p>
        </w:tc>
        <w:tc>
          <w:tcPr/>
          <w:p>
            <w:pPr>
              <w:pStyle w:val="Compact"/>
              <w:jc w:val="left"/>
            </w:pPr>
            <w:r>
              <w:t xml:space="preserve">92%</w:t>
            </w:r>
          </w:p>
        </w:tc>
        <w:tc>
          <w:tcPr/>
          <w:p>
            <w:pPr>
              <w:pStyle w:val="Compact"/>
              <w:jc w:val="left"/>
            </w:pPr>
            <w:r>
              <w:t xml:space="preserve">78%</w:t>
            </w:r>
          </w:p>
        </w:tc>
        <w:tc>
          <w:tcPr/>
          <w:p>
            <w:pPr>
              <w:pStyle w:val="Compact"/>
              <w:jc w:val="left"/>
            </w:pPr>
            <w:r>
              <w:t xml:space="preserve">相差14个百分点</w:t>
            </w:r>
          </w:p>
        </w:tc>
      </w:tr>
      <w:tr>
        <w:tc>
          <w:tcPr/>
          <w:p>
            <w:pPr>
              <w:pStyle w:val="Compact"/>
              <w:jc w:val="left"/>
            </w:pPr>
            <w:r>
              <w:rPr>
                <w:bCs/>
                <w:b/>
              </w:rPr>
              <w:t xml:space="preserve">资源复用率</w:t>
            </w:r>
          </w:p>
        </w:tc>
        <w:tc>
          <w:tcPr/>
          <w:p>
            <w:pPr>
              <w:pStyle w:val="Compact"/>
              <w:jc w:val="left"/>
            </w:pPr>
            <w:r>
              <w:t xml:space="preserve">80%以上</w:t>
            </w:r>
          </w:p>
        </w:tc>
        <w:tc>
          <w:tcPr/>
          <w:p>
            <w:pPr>
              <w:pStyle w:val="Compact"/>
              <w:jc w:val="left"/>
            </w:pPr>
            <w:r>
              <w:t xml:space="preserve">30%以下</w:t>
            </w:r>
          </w:p>
        </w:tc>
        <w:tc>
          <w:tcPr/>
          <w:p>
            <w:pPr>
              <w:pStyle w:val="Compact"/>
              <w:jc w:val="left"/>
            </w:pPr>
            <w:r>
              <w:t xml:space="preserve">相差50个百分点</w:t>
            </w:r>
          </w:p>
        </w:tc>
      </w:tr>
      <w:tr>
        <w:tc>
          <w:tcPr/>
          <w:p>
            <w:pPr>
              <w:pStyle w:val="Compact"/>
              <w:jc w:val="left"/>
            </w:pPr>
            <w:r>
              <w:rPr>
                <w:bCs/>
                <w:b/>
              </w:rPr>
              <w:t xml:space="preserve">交付周期</w:t>
            </w:r>
          </w:p>
        </w:tc>
        <w:tc>
          <w:tcPr/>
          <w:p>
            <w:pPr>
              <w:pStyle w:val="Compact"/>
              <w:jc w:val="left"/>
            </w:pPr>
            <w:r>
              <w:t xml:space="preserve">7-14天</w:t>
            </w:r>
          </w:p>
        </w:tc>
        <w:tc>
          <w:tcPr/>
          <w:p>
            <w:pPr>
              <w:pStyle w:val="Compact"/>
              <w:jc w:val="left"/>
            </w:pPr>
            <w:r>
              <w:t xml:space="preserve">3-12个月</w:t>
            </w:r>
          </w:p>
        </w:tc>
        <w:tc>
          <w:tcPr/>
          <w:p>
            <w:pPr>
              <w:pStyle w:val="Compact"/>
              <w:jc w:val="left"/>
            </w:pPr>
            <w:r>
              <w:t xml:space="preserve">相差10倍以上</w:t>
            </w:r>
          </w:p>
        </w:tc>
      </w:tr>
    </w:tbl>
    <w:p>
      <w:pPr>
        <w:pStyle w:val="BodyText"/>
      </w:pPr>
      <w:r>
        <w:rPr>
          <w:bCs/>
          <w:b/>
        </w:rPr>
        <w:t xml:space="preserve">具体挑战分析</w:t>
      </w:r>
      <w:r>
        <w:t xml:space="preserve">：</w:t>
      </w:r>
    </w:p>
    <w:p>
      <w:pPr>
        <w:numPr>
          <w:ilvl w:val="0"/>
          <w:numId w:val="1001"/>
        </w:numPr>
      </w:pPr>
      <w:r>
        <w:rPr>
          <w:bCs/>
          <w:b/>
        </w:rPr>
        <w:t xml:space="preserve">交付周期长</w:t>
      </w:r>
      <w:r>
        <w:t xml:space="preserve">：视频跟踪仪从方案设计到最终验收通常需要6-12个月，占用大量技术和管理资源，影响了其他产品线的研发和市场拓展。</w:t>
      </w:r>
    </w:p>
    <w:p>
      <w:pPr>
        <w:numPr>
          <w:ilvl w:val="0"/>
          <w:numId w:val="1001"/>
        </w:numPr>
      </w:pPr>
      <w:r>
        <w:rPr>
          <w:bCs/>
          <w:b/>
        </w:rPr>
        <w:t xml:space="preserve">回款速度慢</w:t>
      </w:r>
      <w:r>
        <w:t xml:space="preserve">：政府类项目回款周期普遍在9-12个月，2024年公司应收账款周转天数达到270天，远高于行业健康水平90天，造成严重的现金流压力。</w:t>
      </w:r>
    </w:p>
    <w:p>
      <w:pPr>
        <w:numPr>
          <w:ilvl w:val="0"/>
          <w:numId w:val="1001"/>
        </w:numPr>
      </w:pPr>
      <w:r>
        <w:rPr>
          <w:bCs/>
          <w:b/>
        </w:rPr>
        <w:t xml:space="preserve">产品力投入竞争力不足</w:t>
      </w:r>
      <w:r>
        <w:t xml:space="preserve">：</w:t>
      </w:r>
    </w:p>
    <w:p>
      <w:pPr>
        <w:numPr>
          <w:ilvl w:val="1"/>
          <w:numId w:val="1002"/>
        </w:numPr>
        <w:pStyle w:val="Compact"/>
      </w:pPr>
      <w:r>
        <w:rPr>
          <w:bCs/>
          <w:b/>
        </w:rPr>
        <w:t xml:space="preserve">资源分散</w:t>
      </w:r>
      <w:r>
        <w:t xml:space="preserve">：大量研发资源投入项目定制开发，难以集中力量进行标准化产品创新</w:t>
      </w:r>
    </w:p>
    <w:p>
      <w:pPr>
        <w:numPr>
          <w:ilvl w:val="1"/>
          <w:numId w:val="1002"/>
        </w:numPr>
        <w:pStyle w:val="Compact"/>
      </w:pPr>
      <w:r>
        <w:rPr>
          <w:bCs/>
          <w:b/>
        </w:rPr>
        <w:t xml:space="preserve">技术沉淀难</w:t>
      </w:r>
      <w:r>
        <w:t xml:space="preserve">：项目经验难以系统化积累和转化为可复用的产品模块</w:t>
      </w:r>
    </w:p>
    <w:p>
      <w:pPr>
        <w:numPr>
          <w:ilvl w:val="1"/>
          <w:numId w:val="1002"/>
        </w:numPr>
        <w:pStyle w:val="Compact"/>
      </w:pPr>
      <w:r>
        <w:rPr>
          <w:bCs/>
          <w:b/>
        </w:rPr>
        <w:t xml:space="preserve">人才压力</w:t>
      </w:r>
      <w:r>
        <w:t xml:space="preserve">：需要大量具备方案设计、工程实施、项目管理能力的复合型人才，这类人才市场稀缺</w:t>
      </w:r>
    </w:p>
    <w:p>
      <w:pPr>
        <w:numPr>
          <w:ilvl w:val="0"/>
          <w:numId w:val="1001"/>
        </w:numPr>
      </w:pPr>
      <w:r>
        <w:rPr>
          <w:bCs/>
          <w:b/>
        </w:rPr>
        <w:t xml:space="preserve">资源分配矛盾</w:t>
      </w:r>
      <w:r>
        <w:t xml:space="preserve">：项目制业务占用公司40%以上的优质资源（高端研发人才、管理精力、资金），但仅贡献30%的营收和20%的利润，资源使用效率低下。</w:t>
      </w:r>
    </w:p>
    <w:p>
      <w:pPr>
        <w:numPr>
          <w:ilvl w:val="0"/>
          <w:numId w:val="1001"/>
        </w:numPr>
      </w:pPr>
      <w:r>
        <w:rPr>
          <w:bCs/>
          <w:b/>
        </w:rPr>
        <w:t xml:space="preserve">竞争环境变化</w:t>
      </w:r>
      <w:r>
        <w:t xml:space="preserve">：国际巨头加大中国市场投入，国内新进入者增多，价格竞争加剧。在视频跟踪仪市场，HSM需要与国际巨头直接竞争，技术优势难以转化为价格优势。</w:t>
      </w:r>
    </w:p>
    <w:p>
      <w:pPr>
        <w:numPr>
          <w:ilvl w:val="0"/>
          <w:numId w:val="1001"/>
        </w:numPr>
      </w:pPr>
      <w:r>
        <w:rPr>
          <w:bCs/>
          <w:b/>
        </w:rPr>
        <w:t xml:space="preserve">组织能力瓶颈</w:t>
      </w:r>
      <w:r>
        <w:t xml:space="preserve">：创业团队向规模化企业转型过程中，管理体系、流程制度、人才培养等方面面临挑战。特别是项目管理能力、供应链管理能力、资本运作能力需要快速提升。</w:t>
      </w:r>
    </w:p>
    <w:p>
      <w:pPr>
        <w:pStyle w:val="FirstParagraph"/>
      </w:pPr>
      <w:r>
        <w:rPr>
          <w:bCs/>
          <w:b/>
        </w:rPr>
        <w:t xml:space="preserve">转型必要性</w:t>
      </w:r>
      <w:r>
        <w:t xml:space="preserve">：基于以上机遇和挑战分析，HSM必须加速战略转型，核心是将视频跟踪仪从项目制向产品化转型，优化资源配置，提升整体运营效率。这不仅是应对当前挑战的需要，更是把握市场机遇、实现可持续发展的必然选择。</w:t>
      </w:r>
    </w:p>
    <w:p>
      <w:r>
        <w:pict>
          <v:rect style="width:0;height:1.5pt" o:hralign="center" o:hrstd="t" o:hr="t"/>
        </w:pict>
      </w:r>
    </w:p>
    <w:p>
      <w:pPr>
        <w:pStyle w:val="FirstParagraph"/>
      </w:pPr>
      <w:r>
        <w:rPr>
          <w:bCs/>
          <w:b/>
        </w:rPr>
        <w:t xml:space="preserve">本章小结</w:t>
      </w:r>
      <w:r>
        <w:t xml:space="preserve">：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p>
    <w:bookmarkEnd w:id="75"/>
    <w:bookmarkEnd w:id="76"/>
    <w:bookmarkEnd w:id="77"/>
    <w:bookmarkEnd w:id="78"/>
    <w:bookmarkStart w:id="113" w:name="第五章-hsm战略转型的实施路径"/>
    <w:p>
      <w:pPr>
        <w:pStyle w:val="2"/>
      </w:pPr>
      <w:r>
        <w:t xml:space="preserve">第五章 HSM战略转型的实施路径</w:t>
      </w:r>
    </w:p>
    <w:p>
      <w:pPr>
        <w:pStyle w:val="FirstParagraph"/>
      </w:pPr>
      <w:r>
        <w:t xml:space="preserve">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83" w:name="技术战略产品线差异化研发与创新"/>
    <w:p>
      <w:pPr>
        <w:pStyle w:val="3"/>
      </w:pPr>
      <w:r>
        <w:t xml:space="preserve">5.1 技术战略：产品线差异化研发与创新</w:t>
      </w:r>
    </w:p>
    <w:p>
      <w:pPr>
        <w:pStyle w:val="FirstParagraph"/>
      </w:pPr>
      <w:r>
        <w:t xml:space="preserve">HSM的技术战略聚焦于三条产品线的差异化研发需求，通过资源优化配置实现技术创新的最大化价值转化。</w:t>
      </w:r>
    </w:p>
    <w:bookmarkStart w:id="80" w:name="视频引伸计与视频应变仪标准化生产与技术迭代"/>
    <w:p>
      <w:pPr>
        <w:pStyle w:val="4"/>
      </w:pPr>
      <w:r>
        <w:t xml:space="preserve">5.1.1 视频引伸计与视频应变仪：标准化生产与技术迭代</w:t>
      </w:r>
    </w:p>
    <w:p>
      <w:pPr>
        <w:pStyle w:val="FirstParagraph"/>
      </w:pPr>
      <w:r>
        <w:t xml:space="preserve">视频引伸计和视频应变仪作为HSM的成熟产品线，已实现高度标准化生产。技术战略的重点从原始创新转向持续优化：</w:t>
      </w:r>
      <w:r>
        <w:t xml:space="preserve"> </w:t>
      </w:r>
      <w:r>
        <w:t xml:space="preserve">-</w:t>
      </w:r>
      <w:r>
        <w:t xml:space="preserve"> </w:t>
      </w:r>
      <w:r>
        <w:rPr>
          <w:bCs/>
          <w:b/>
        </w:rPr>
        <w:t xml:space="preserve">算法精度提升</w:t>
      </w:r>
      <w:r>
        <w:t xml:space="preserve">：基于海量实验数据持续优化DIC算法，目标将测量精度从当前的0.01%提升至0.005%</w:t>
      </w:r>
      <w:r>
        <w:t xml:space="preserve"> </w:t>
      </w:r>
      <w:r>
        <w:t xml:space="preserve">-</w:t>
      </w:r>
      <w:r>
        <w:t xml:space="preserve"> </w:t>
      </w:r>
      <w:r>
        <w:rPr>
          <w:bCs/>
          <w:b/>
        </w:rPr>
        <w:t xml:space="preserve">硬件标准化设计</w:t>
      </w:r>
      <w:r>
        <w:t xml:space="preserve">：推动第四代硬件平台标准化，将核心组件从120个减少至80个，降低供应链复杂度</w:t>
      </w:r>
      <w:r>
        <w:t xml:space="preserve"> </w:t>
      </w:r>
      <w:r>
        <w:t xml:space="preserve">-</w:t>
      </w:r>
      <w:r>
        <w:t xml:space="preserve"> </w:t>
      </w:r>
      <w:r>
        <w:rPr>
          <w:bCs/>
          <w:b/>
        </w:rPr>
        <w:t xml:space="preserve">智能化升级</w:t>
      </w:r>
      <w:r>
        <w:t xml:space="preserve">：集成AI辅助分析功能，实现异常数据自动识别与预警</w:t>
      </w:r>
    </w:p>
    <w:bookmarkStart w:id="79" w:name="表5-1视频引伸计与视频应变仪技术迭代路线图"/>
    <w:p>
      <w:pPr>
        <w:pStyle w:val="Heading4"/>
      </w:pPr>
      <w:r>
        <w:t xml:space="preserve">表5-1：视频引伸计与视频应变仪技术迭代路线图</w:t>
      </w:r>
    </w:p>
    <w:tbl>
      <w:tblPr>
        <w:tblStyle w:val="Table"/>
        <w:tblW w:type="pct" w:w="5000"/>
        <w:tblLook w:firstRow="1" w:lastRow="0" w:firstColumn="0" w:lastColumn="0" w:noHBand="0" w:noVBand="0" w:val="0020"/>
      </w:tblPr>
      <w:tblGrid>
        <w:gridCol w:w="1466"/>
        <w:gridCol w:w="1466"/>
        <w:gridCol w:w="1760"/>
        <w:gridCol w:w="1760"/>
        <w:gridCol w:w="1466"/>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rPr>
                <w:bCs/>
                <w:b/>
              </w:rP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rPr>
                <w:bCs/>
                <w:b/>
              </w:rP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rPr>
                <w:bCs/>
                <w:b/>
              </w:rP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rPr>
                <w:bCs/>
                <w:b/>
              </w:rP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rPr>
                <w:bCs/>
                <w:b/>
              </w:rP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9"/>
    <w:bookmarkEnd w:id="80"/>
    <w:bookmarkStart w:id="81" w:name="视频跟踪仪垂直领域技术聚焦与新产品研发"/>
    <w:p>
      <w:pPr>
        <w:pStyle w:val="4"/>
      </w:pPr>
      <w:r>
        <w:t xml:space="preserve">5.1.2 视频跟踪仪：垂直领域技术聚焦与新产品研发</w:t>
      </w:r>
    </w:p>
    <w:p>
      <w:pPr>
        <w:pStyle w:val="FirstParagraph"/>
      </w:pPr>
      <w:r>
        <w:t xml:space="preserve">视频跟踪仪的技术战略从广泛定制转向垂直领域深度聚焦：</w:t>
      </w:r>
      <w:r>
        <w:t xml:space="preserve"> </w:t>
      </w:r>
      <w:r>
        <w:t xml:space="preserve">-</w:t>
      </w:r>
      <w:r>
        <w:t xml:space="preserve"> </w:t>
      </w:r>
      <w:r>
        <w:rPr>
          <w:bCs/>
          <w:b/>
        </w:rPr>
        <w:t xml:space="preserve">桥梁监测专项技术</w:t>
      </w:r>
      <w:r>
        <w:t xml:space="preserve">：开发大跨径桥梁动态变形监测算法，适应风荷载、温度变化等复杂环境</w:t>
      </w:r>
      <w:r>
        <w:t xml:space="preserve"> </w:t>
      </w:r>
      <w:r>
        <w:t xml:space="preserve">-</w:t>
      </w:r>
      <w:r>
        <w:t xml:space="preserve"> </w:t>
      </w:r>
      <w:r>
        <w:rPr>
          <w:bCs/>
          <w:b/>
        </w:rPr>
        <w:t xml:space="preserve">隧道收敛监测技术</w:t>
      </w:r>
      <w:r>
        <w:t xml:space="preserve">：针对隧道施工与运营期收敛变形监测需求，开发多相机同步测量系统</w:t>
      </w:r>
      <w:r>
        <w:t xml:space="preserve"> </w:t>
      </w:r>
      <w:r>
        <w:t xml:space="preserve">-</w:t>
      </w:r>
      <w:r>
        <w:t xml:space="preserve"> </w:t>
      </w:r>
      <w:r>
        <w:rPr>
          <w:bCs/>
          <w:b/>
        </w:rPr>
        <w:t xml:space="preserve">边坡稳定性监测</w:t>
      </w:r>
      <w:r>
        <w:t xml:space="preserve">：结合地质雷达数据，开发边坡表面位移与内部变形关联分析模型</w:t>
      </w:r>
      <w:r>
        <w:t xml:space="preserve"> </w:t>
      </w:r>
      <w:r>
        <w:t xml:space="preserve">-</w:t>
      </w:r>
      <w:r>
        <w:t xml:space="preserve"> </w:t>
      </w:r>
      <w:r>
        <w:rPr>
          <w:bCs/>
          <w:b/>
        </w:rPr>
        <w:t xml:space="preserve">新产品研发</w:t>
      </w:r>
      <w:r>
        <w:t xml:space="preserve">：启动柔性跟踪仪和并联跟踪仪的研发，前者适用于柔性结构监测，后者实现多点同步测量</w:t>
      </w:r>
    </w:p>
    <w:bookmarkEnd w:id="81"/>
    <w:bookmarkStart w:id="82" w:name="柔性跟踪仪与并联跟踪仪下一代产品布局"/>
    <w:p>
      <w:pPr>
        <w:pStyle w:val="4"/>
      </w:pPr>
      <w:r>
        <w:t xml:space="preserve">5.1.3 柔性跟踪仪与并联跟踪仪：下一代产品布局</w:t>
      </w:r>
    </w:p>
    <w:p>
      <w:pPr>
        <w:pStyle w:val="FirstParagraph"/>
      </w:pPr>
      <w:r>
        <w:t xml:space="preserve">为保持技术领先优势，HSM启动下一代产品研发：</w:t>
      </w:r>
      <w:r>
        <w:t xml:space="preserve"> </w:t>
      </w:r>
      <w:r>
        <w:t xml:space="preserve">-</w:t>
      </w:r>
      <w:r>
        <w:t xml:space="preserve"> </w:t>
      </w:r>
      <w:r>
        <w:rPr>
          <w:bCs/>
          <w:b/>
        </w:rPr>
        <w:t xml:space="preserve">柔性跟踪仪</w:t>
      </w:r>
      <w:r>
        <w:t xml:space="preserve">：采用柔性传感器阵列，适用于复合材料、生物组织等柔性结构的全场应变测量</w:t>
      </w:r>
      <w:r>
        <w:t xml:space="preserve"> </w:t>
      </w:r>
      <w:r>
        <w:t xml:space="preserve">-</w:t>
      </w:r>
      <w:r>
        <w:t xml:space="preserve"> </w:t>
      </w:r>
      <w:r>
        <w:rPr>
          <w:bCs/>
          <w:b/>
        </w:rPr>
        <w:t xml:space="preserve">并联跟踪仪</w:t>
      </w:r>
      <w:r>
        <w:t xml:space="preserve">：通过多相机并联架构，实现大型结构的多区域同步监测，测量范围扩大至传统产品的3-5倍</w:t>
      </w:r>
    </w:p>
    <w:bookmarkEnd w:id="82"/>
    <w:bookmarkEnd w:id="83"/>
    <w:bookmarkStart w:id="90" w:name="市场战略销售模式重构与市场聚焦"/>
    <w:p>
      <w:pPr>
        <w:pStyle w:val="3"/>
      </w:pPr>
      <w:r>
        <w:t xml:space="preserve">5.2 市场战略：销售模式重构与市场聚焦</w:t>
      </w:r>
    </w:p>
    <w:p>
      <w:pPr>
        <w:pStyle w:val="FirstParagraph"/>
      </w:pPr>
      <w:r>
        <w:t xml:space="preserve">HSM的市场战略以产品线特性为基础，构建差异化的销售模式和市场拓展路径。</w:t>
      </w:r>
    </w:p>
    <w:bookmarkStart w:id="85" w:name="视频引伸计与视频应变仪捆绑销售模式与渠道合作"/>
    <w:p>
      <w:pPr>
        <w:pStyle w:val="4"/>
      </w:pPr>
      <w:r>
        <w:t xml:space="preserve">5.2.1 视频引伸计与视频应变仪：捆绑销售模式与渠道合作</w:t>
      </w:r>
    </w:p>
    <w:p>
      <w:pPr>
        <w:pStyle w:val="FirstParagraph"/>
      </w:pPr>
      <w:r>
        <w:t xml:space="preserve">针对视频引伸计和视频应变仪的高标准化特性，HSM推行捆绑销售模式：</w:t>
      </w:r>
      <w:r>
        <w:t xml:space="preserve"> </w:t>
      </w:r>
      <w:r>
        <w:t xml:space="preserve">-</w:t>
      </w:r>
      <w:r>
        <w:t xml:space="preserve"> </w:t>
      </w:r>
      <w:r>
        <w:rPr>
          <w:bCs/>
          <w:b/>
        </w:rPr>
        <w:t xml:space="preserve">与试验机厂家战略合作</w:t>
      </w:r>
      <w:r>
        <w:t xml:space="preserve">：将HSM产品作为试验机标准配置，通过厂家渠道触达终端客户</w:t>
      </w:r>
      <w:r>
        <w:t xml:space="preserve"> </w:t>
      </w:r>
      <w:r>
        <w:t xml:space="preserve">-</w:t>
      </w:r>
      <w:r>
        <w:t xml:space="preserve"> </w:t>
      </w:r>
      <w:r>
        <w:rPr>
          <w:bCs/>
          <w:b/>
        </w:rPr>
        <w:t xml:space="preserve">渠道利润共享</w:t>
      </w:r>
      <w:r>
        <w:t xml:space="preserve">：建立阶梯式返点机制，激励合作伙伴推广HSM产品</w:t>
      </w:r>
      <w:r>
        <w:t xml:space="preserve"> </w:t>
      </w:r>
      <w:r>
        <w:t xml:space="preserve">-</w:t>
      </w:r>
      <w:r>
        <w:t xml:space="preserve"> </w:t>
      </w:r>
      <w:r>
        <w:rPr>
          <w:bCs/>
          <w:b/>
        </w:rPr>
        <w:t xml:space="preserve">联合品牌推广</w:t>
      </w:r>
      <w:r>
        <w:t xml:space="preserve">：与合作伙伴联合举办技术研讨会、行业展会，共同提升品牌影响力</w:t>
      </w:r>
    </w:p>
    <w:bookmarkStart w:id="84" w:name="表5-2视频引伸计应变仪捆绑销售合作厂家列表"/>
    <w:p>
      <w:pPr>
        <w:pStyle w:val="Heading4"/>
      </w:pPr>
      <w:r>
        <w:t xml:space="preserve">表5-2：视频引伸计/应变仪捆绑销售合作厂家列表</w:t>
      </w:r>
    </w:p>
    <w:tbl>
      <w:tblPr>
        <w:tblStyle w:val="Table"/>
        <w:tblW w:type="pct" w:w="5000"/>
        <w:tblLook w:firstRow="1" w:lastRow="0" w:firstColumn="0" w:lastColumn="0" w:noHBand="0" w:noVBand="0" w:val="0020"/>
      </w:tblPr>
      <w:tblGrid>
        <w:gridCol w:w="1199"/>
        <w:gridCol w:w="1199"/>
        <w:gridCol w:w="1199"/>
        <w:gridCol w:w="1439"/>
        <w:gridCol w:w="1679"/>
        <w:gridCol w:w="1199"/>
      </w:tblGrid>
      <w:tr>
        <w:trPr>
          <w:tblHeader w:val="true"/>
        </w:trP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rPr>
                <w:bCs/>
                <w:b/>
              </w:rP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rPr>
                <w:bCs/>
                <w:b/>
              </w:rP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rPr>
                <w:bCs/>
                <w:b/>
              </w:rP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rPr>
                <w:bCs/>
                <w:b/>
              </w:rP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rPr>
                <w:bCs/>
                <w:b/>
              </w:rP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84"/>
    <w:bookmarkEnd w:id="85"/>
    <w:bookmarkStart w:id="87" w:name="视频跟踪仪垂直行业聚焦与地区合作伙伴体系"/>
    <w:p>
      <w:pPr>
        <w:pStyle w:val="4"/>
      </w:pPr>
      <w:r>
        <w:t xml:space="preserve">5.2.2 视频跟踪仪：垂直行业聚焦与地区合作伙伴体系</w:t>
      </w:r>
    </w:p>
    <w:p>
      <w:pPr>
        <w:pStyle w:val="FirstParagraph"/>
      </w:pPr>
      <w:r>
        <w:t xml:space="preserve">视频跟踪仪的市场战略从全面铺开转向垂直深耕：</w:t>
      </w:r>
      <w:r>
        <w:t xml:space="preserve"> </w:t>
      </w:r>
      <w:r>
        <w:t xml:space="preserve">-</w:t>
      </w:r>
      <w:r>
        <w:t xml:space="preserve"> </w:t>
      </w:r>
      <w:r>
        <w:rPr>
          <w:bCs/>
          <w:b/>
        </w:rPr>
        <w:t xml:space="preserve">聚焦三大垂直领域</w:t>
      </w:r>
      <w:r>
        <w:t xml:space="preserve">：桥梁、隧道、边坡监测，每个领域建立专业解决方案团队</w:t>
      </w:r>
      <w:r>
        <w:t xml:space="preserve"> </w:t>
      </w:r>
      <w:r>
        <w:t xml:space="preserve">-</w:t>
      </w:r>
      <w:r>
        <w:t xml:space="preserve"> </w:t>
      </w:r>
      <w:r>
        <w:rPr>
          <w:bCs/>
          <w:b/>
        </w:rPr>
        <w:t xml:space="preserve">地区合作伙伴发展</w:t>
      </w:r>
      <w:r>
        <w:t xml:space="preserve">：每个重点区域发展2-3家类似”亿维”的整包项目合作伙伴</w:t>
      </w:r>
      <w:r>
        <w:t xml:space="preserve"> </w:t>
      </w:r>
      <w:r>
        <w:t xml:space="preserve">-</w:t>
      </w:r>
      <w:r>
        <w:t xml:space="preserve"> </w:t>
      </w:r>
      <w:r>
        <w:rPr>
          <w:bCs/>
          <w:b/>
        </w:rPr>
        <w:t xml:space="preserve">快速回款机制</w:t>
      </w:r>
      <w:r>
        <w:t xml:space="preserve">：优化合同条款，将回款周期从270天缩短至120天以内</w:t>
      </w:r>
    </w:p>
    <w:bookmarkStart w:id="86" w:name="表5-3视频跟踪仪垂直领域市场聚焦策略"/>
    <w:p>
      <w:pPr>
        <w:pStyle w:val="Heading4"/>
      </w:pPr>
      <w:r>
        <w:t xml:space="preserve">表5-3：视频跟踪仪垂直领域市场聚焦策略</w:t>
      </w:r>
    </w:p>
    <w:tbl>
      <w:tblPr>
        <w:tblStyle w:val="Table"/>
        <w:tblW w:type="pct" w:w="5000"/>
        <w:tblLook w:firstRow="1" w:lastRow="0" w:firstColumn="0" w:lastColumn="0" w:noHBand="0" w:noVBand="0" w:val="0020"/>
      </w:tblPr>
      <w:tblGrid>
        <w:gridCol w:w="1200"/>
        <w:gridCol w:w="1680"/>
        <w:gridCol w:w="1200"/>
        <w:gridCol w:w="1200"/>
        <w:gridCol w:w="1440"/>
        <w:gridCol w:w="120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rPr>
                <w:bCs/>
                <w:b/>
              </w:rP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rPr>
                <w:bCs/>
                <w:b/>
              </w:rP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rPr>
                <w:bCs/>
                <w:b/>
              </w:rP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75个项目</w:t>
            </w:r>
          </w:p>
        </w:tc>
        <w:tc>
          <w:tcPr/>
          <w:p>
            <w:pPr>
              <w:pStyle w:val="Compact"/>
              <w:jc w:val="left"/>
            </w:pPr>
            <w:r>
              <w:rPr>
                <w:bCs/>
                <w:b/>
              </w:rPr>
              <w:t xml:space="preserve">集中优势资源</w:t>
            </w:r>
          </w:p>
        </w:tc>
      </w:tr>
    </w:tbl>
    <w:bookmarkEnd w:id="86"/>
    <w:bookmarkEnd w:id="87"/>
    <w:bookmarkStart w:id="89"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w:t>
      </w:r>
      <w:r>
        <w:t xml:space="preserve"> </w:t>
      </w:r>
      <w:r>
        <w:t xml:space="preserve">-</w:t>
      </w:r>
      <w:r>
        <w:t xml:space="preserve"> </w:t>
      </w:r>
      <w:r>
        <w:rPr>
          <w:bCs/>
          <w:b/>
        </w:rPr>
        <w:t xml:space="preserve">合同条款优化</w:t>
      </w:r>
      <w:r>
        <w:t xml:space="preserve">：增加预付款比例（从10%提升至30%），缩短中期付款节点</w:t>
      </w:r>
      <w:r>
        <w:t xml:space="preserve"> </w:t>
      </w:r>
      <w:r>
        <w:t xml:space="preserve">-</w:t>
      </w:r>
      <w:r>
        <w:t xml:space="preserve"> </w:t>
      </w:r>
      <w:r>
        <w:rPr>
          <w:bCs/>
          <w:b/>
        </w:rPr>
        <w:t xml:space="preserve">客户信用管理</w:t>
      </w:r>
      <w:r>
        <w:t xml:space="preserve">：建立客户信用评级体系，对不同信用等级客户采取差异化的付款条件</w:t>
      </w:r>
      <w:r>
        <w:t xml:space="preserve"> </w:t>
      </w:r>
      <w:r>
        <w:t xml:space="preserve">-</w:t>
      </w:r>
      <w:r>
        <w:t xml:space="preserve"> </w:t>
      </w:r>
      <w:r>
        <w:rPr>
          <w:bCs/>
          <w:b/>
        </w:rPr>
        <w:t xml:space="preserve">应收账款证券化</w:t>
      </w:r>
      <w:r>
        <w:t xml:space="preserve">：与金融机构合作，对优质项目的应收账款进行保理融资</w:t>
      </w:r>
    </w:p>
    <w:bookmarkStart w:id="88" w:name="表5-4回款机制优化前后对比"/>
    <w:p>
      <w:pPr>
        <w:pStyle w:val="Heading4"/>
      </w:pPr>
      <w:r>
        <w:t xml:space="preserve">表5-4：回款机制优化前后对比</w:t>
      </w:r>
    </w:p>
    <w:tbl>
      <w:tblPr>
        <w:tblStyle w:val="Table"/>
        <w:tblW w:type="pct" w:w="5000"/>
        <w:tblLook w:firstRow="1" w:lastRow="0" w:firstColumn="0" w:lastColumn="0" w:noHBand="0" w:noVBand="0" w:val="0020"/>
      </w:tblPr>
      <w:tblGrid>
        <w:gridCol w:w="754"/>
        <w:gridCol w:w="2262"/>
        <w:gridCol w:w="2388"/>
        <w:gridCol w:w="1257"/>
        <w:gridCol w:w="1257"/>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rPr>
                <w:bCs/>
                <w:b/>
              </w:rP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rPr>
                <w:bCs/>
                <w:b/>
              </w:rP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rPr>
                <w:bCs/>
                <w:b/>
              </w:rP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rPr>
                <w:bCs/>
                <w:b/>
              </w:rP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rPr>
                <w:bCs/>
                <w:b/>
              </w:rP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88"/>
    <w:bookmarkEnd w:id="89"/>
    <w:bookmarkEnd w:id="90"/>
    <w:bookmarkStart w:id="95" w:name="组织架构资源重新配置与团队转型"/>
    <w:p>
      <w:pPr>
        <w:pStyle w:val="3"/>
      </w:pPr>
      <w:r>
        <w:t xml:space="preserve">5.3 组织架构：资源重新配置与团队转型</w:t>
      </w:r>
    </w:p>
    <w:p>
      <w:pPr>
        <w:pStyle w:val="FirstParagraph"/>
      </w:pPr>
      <w:r>
        <w:t xml:space="preserve">为支撑产品线差异化战略，HSM对组织架构进行系统性重组。</w:t>
      </w:r>
    </w:p>
    <w:bookmarkStart w:id="92" w:name="研发资源向标准化产品倾斜"/>
    <w:p>
      <w:pPr>
        <w:pStyle w:val="4"/>
      </w:pPr>
      <w:r>
        <w:t xml:space="preserve">5.3.1 研发资源向标准化产品倾斜</w:t>
      </w:r>
    </w:p>
    <w:p>
      <w:pPr>
        <w:pStyle w:val="FirstParagraph"/>
      </w:pPr>
      <w:r>
        <w:t xml:space="preserve">基于”减少售前，增大研发”的原则，重新配置研发资源：</w:t>
      </w:r>
      <w:r>
        <w:t xml:space="preserve"> </w:t>
      </w:r>
      <w:r>
        <w:t xml:space="preserve">-</w:t>
      </w:r>
      <w:r>
        <w:t xml:space="preserve"> </w:t>
      </w:r>
      <w:r>
        <w:rPr>
          <w:bCs/>
          <w:b/>
        </w:rPr>
        <w:t xml:space="preserve">研发人员重新分配</w:t>
      </w:r>
      <w:r>
        <w:t xml:space="preserve">：将视频跟踪仪定制开发团队50%的人员转向标准化产品研发</w:t>
      </w:r>
      <w:r>
        <w:t xml:space="preserve"> </w:t>
      </w:r>
      <w:r>
        <w:t xml:space="preserve">-</w:t>
      </w:r>
      <w:r>
        <w:t xml:space="preserve"> </w:t>
      </w:r>
      <w:r>
        <w:rPr>
          <w:bCs/>
          <w:b/>
        </w:rPr>
        <w:t xml:space="preserve">建立产品线研发中心</w:t>
      </w:r>
      <w:r>
        <w:t xml:space="preserve">：分别为三条产品线设立独立的研发团队，专注各自领域技术突破</w:t>
      </w:r>
      <w:r>
        <w:t xml:space="preserve"> </w:t>
      </w:r>
      <w:r>
        <w:t xml:space="preserve">-</w:t>
      </w:r>
      <w:r>
        <w:t xml:space="preserve"> </w:t>
      </w:r>
      <w:r>
        <w:rPr>
          <w:bCs/>
          <w:b/>
        </w:rPr>
        <w:t xml:space="preserve">创新激励机制</w:t>
      </w:r>
      <w:r>
        <w:t xml:space="preserve">：设立产品创新奖，鼓励研发人员申报专利、发表论文</w:t>
      </w:r>
    </w:p>
    <w:bookmarkStart w:id="91" w:name="表5-5研发资源重新配置方案"/>
    <w:p>
      <w:pPr>
        <w:pStyle w:val="Heading4"/>
      </w:pPr>
      <w:r>
        <w:t xml:space="preserve">表5-5：研发资源重新配置方案</w:t>
      </w:r>
    </w:p>
    <w:tbl>
      <w:tblPr>
        <w:tblStyle w:val="Table"/>
        <w:tblW w:type="pct" w:w="5000"/>
        <w:tblLook w:firstRow="1" w:lastRow="0" w:firstColumn="0" w:lastColumn="0" w:noHBand="0" w:noVBand="0" w:val="0020"/>
      </w:tblPr>
      <w:tblGrid>
        <w:gridCol w:w="920"/>
        <w:gridCol w:w="2394"/>
        <w:gridCol w:w="1933"/>
        <w:gridCol w:w="1749"/>
        <w:gridCol w:w="920"/>
      </w:tblGrid>
      <w:tr>
        <w:trPr>
          <w:tblHeader w:val="true"/>
        </w:trP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rPr>
                <w:bCs/>
                <w:b/>
              </w:rP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rPr>
                <w:bCs/>
                <w:b/>
              </w:rP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rPr>
                <w:bCs/>
                <w:b/>
              </w:rP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rPr>
                <w:bCs/>
                <w:b/>
              </w:rP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rPr>
                <w:bCs/>
                <w:b/>
              </w:rP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91"/>
    <w:bookmarkEnd w:id="92"/>
    <w:bookmarkStart w:id="93"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w:t>
      </w:r>
      <w:r>
        <w:t xml:space="preserve"> </w:t>
      </w:r>
      <w:r>
        <w:t xml:space="preserve">-</w:t>
      </w:r>
      <w:r>
        <w:t xml:space="preserve"> </w:t>
      </w:r>
      <w:r>
        <w:rPr>
          <w:bCs/>
          <w:b/>
        </w:rPr>
        <w:t xml:space="preserve">售前团队精简</w:t>
      </w:r>
      <w:r>
        <w:t xml:space="preserve">：将售前工程师从项目方案设计中解放，专注于标准化产品技术支持</w:t>
      </w:r>
      <w:r>
        <w:t xml:space="preserve"> </w:t>
      </w:r>
      <w:r>
        <w:t xml:space="preserve">-</w:t>
      </w:r>
      <w:r>
        <w:t xml:space="preserve"> </w:t>
      </w:r>
      <w:r>
        <w:rPr>
          <w:bCs/>
          <w:b/>
        </w:rPr>
        <w:t xml:space="preserve">售中实施支持</w:t>
      </w:r>
      <w:r>
        <w:t xml:space="preserve">：建立快速响应机制，确保产品交付与客户预期一致</w:t>
      </w:r>
      <w:r>
        <w:t xml:space="preserve"> </w:t>
      </w:r>
      <w:r>
        <w:t xml:space="preserve">-</w:t>
      </w:r>
      <w:r>
        <w:t xml:space="preserve"> </w:t>
      </w:r>
      <w:r>
        <w:rPr>
          <w:bCs/>
          <w:b/>
        </w:rPr>
        <w:t xml:space="preserve">售后价值挖掘</w:t>
      </w:r>
      <w:r>
        <w:t xml:space="preserve">：通过定期回访、软件升级、功能拓展挖掘客户终身价值</w:t>
      </w:r>
    </w:p>
    <w:bookmarkEnd w:id="93"/>
    <w:bookmarkStart w:id="94" w:name="项目制团队向产品化团队转型"/>
    <w:p>
      <w:pPr>
        <w:pStyle w:val="4"/>
      </w:pPr>
      <w:r>
        <w:t xml:space="preserve">5.3.3 项目制团队向产品化团队转型</w:t>
      </w:r>
    </w:p>
    <w:p>
      <w:pPr>
        <w:pStyle w:val="FirstParagraph"/>
      </w:pPr>
      <w:r>
        <w:t xml:space="preserve">视频跟踪仪团队从项目制向产品化转型：</w:t>
      </w:r>
      <w:r>
        <w:t xml:space="preserve"> </w:t>
      </w:r>
      <w:r>
        <w:t xml:space="preserve">-</w:t>
      </w:r>
      <w:r>
        <w:t xml:space="preserve"> </w:t>
      </w:r>
      <w:r>
        <w:rPr>
          <w:bCs/>
          <w:b/>
        </w:rPr>
        <w:t xml:space="preserve">建立产品经理负责制</w:t>
      </w:r>
      <w:r>
        <w:t xml:space="preserve">：每个垂直领域（桥梁、隧道、边坡）设立专职产品经理</w:t>
      </w:r>
      <w:r>
        <w:t xml:space="preserve"> </w:t>
      </w:r>
      <w:r>
        <w:t xml:space="preserve">-</w:t>
      </w:r>
      <w:r>
        <w:t xml:space="preserve"> </w:t>
      </w:r>
      <w:r>
        <w:rPr>
          <w:bCs/>
          <w:b/>
        </w:rPr>
        <w:t xml:space="preserve">标准化方案库建设</w:t>
      </w:r>
      <w:r>
        <w:t xml:space="preserve">：将项目经验沉淀为标准化方案模块，复用率从30%提升至70%</w:t>
      </w:r>
      <w:r>
        <w:t xml:space="preserve"> </w:t>
      </w:r>
      <w:r>
        <w:t xml:space="preserve">-</w:t>
      </w:r>
      <w:r>
        <w:t xml:space="preserve"> </w:t>
      </w:r>
      <w:r>
        <w:rPr>
          <w:bCs/>
          <w:b/>
        </w:rPr>
        <w:t xml:space="preserve">实施外包管理</w:t>
      </w:r>
      <w:r>
        <w:t xml:space="preserve">：将现场安装、调试等实施工作外包给地区合作伙伴，专注核心价值环节</w:t>
      </w:r>
    </w:p>
    <w:bookmarkEnd w:id="94"/>
    <w:bookmarkEnd w:id="95"/>
    <w:bookmarkStart w:id="100" w:name="数字化转型供应链与生产流程优化"/>
    <w:p>
      <w:pPr>
        <w:pStyle w:val="3"/>
      </w:pPr>
      <w:r>
        <w:t xml:space="preserve">5.4 数字化转型：供应链与生产流程优化</w:t>
      </w:r>
    </w:p>
    <w:p>
      <w:pPr>
        <w:pStyle w:val="FirstParagraph"/>
      </w:pPr>
      <w:r>
        <w:t xml:space="preserve">数字化转型是HSM战略转型的技术基础，重点优化供应链和生产流程。</w:t>
      </w:r>
    </w:p>
    <w:bookmarkStart w:id="97" w:name="视频引伸计与视频应变仪供应链调整与标准化生产"/>
    <w:p>
      <w:pPr>
        <w:pStyle w:val="4"/>
      </w:pPr>
      <w:r>
        <w:t xml:space="preserve">5.4.1 视频引伸计与视频应变仪：供应链调整与标准化生产</w:t>
      </w:r>
    </w:p>
    <w:p>
      <w:pPr>
        <w:pStyle w:val="FirstParagraph"/>
      </w:pPr>
      <w:r>
        <w:t xml:space="preserve">针对标准化产品线，数字化转型聚焦供应链优化：</w:t>
      </w:r>
      <w:r>
        <w:t xml:space="preserve"> </w:t>
      </w:r>
      <w:r>
        <w:t xml:space="preserve">-</w:t>
      </w:r>
      <w:r>
        <w:t xml:space="preserve"> </w:t>
      </w:r>
      <w:r>
        <w:rPr>
          <w:bCs/>
          <w:b/>
        </w:rPr>
        <w:t xml:space="preserve">供应链可视化平台</w:t>
      </w:r>
      <w:r>
        <w:t xml:space="preserve">：实时监控原材料库存、生产进度、物流状态</w:t>
      </w:r>
      <w:r>
        <w:t xml:space="preserve"> </w:t>
      </w:r>
      <w:r>
        <w:t xml:space="preserve">-</w:t>
      </w:r>
      <w:r>
        <w:t xml:space="preserve"> </w:t>
      </w:r>
      <w:r>
        <w:rPr>
          <w:bCs/>
          <w:b/>
        </w:rPr>
        <w:t xml:space="preserve">供应商协同系统</w:t>
      </w:r>
      <w:r>
        <w:t xml:space="preserve">：与核心供应商共享需求预测，实现JIT（准时制）供货</w:t>
      </w:r>
      <w:r>
        <w:t xml:space="preserve"> </w:t>
      </w:r>
      <w:r>
        <w:t xml:space="preserve">-</w:t>
      </w:r>
      <w:r>
        <w:t xml:space="preserve"> </w:t>
      </w:r>
      <w:r>
        <w:rPr>
          <w:bCs/>
          <w:b/>
        </w:rPr>
        <w:t xml:space="preserve">生产自动化升级</w:t>
      </w:r>
      <w:r>
        <w:t xml:space="preserve">：引入自动化测试设备，将人工测试环节减少50%</w:t>
      </w:r>
    </w:p>
    <w:bookmarkStart w:id="96" w:name="表5-6视频引伸计应变仪供应链调整效果预测"/>
    <w:p>
      <w:pPr>
        <w:pStyle w:val="Heading4"/>
      </w:pPr>
      <w:r>
        <w:t xml:space="preserve">表5-6：视频引伸计/应变仪供应链调整效果预测</w:t>
      </w:r>
    </w:p>
    <w:tbl>
      <w:tblPr>
        <w:tblStyle w:val="Table"/>
        <w:tblW w:type="pct" w:w="5000"/>
        <w:tblLook w:firstRow="1" w:lastRow="0" w:firstColumn="0" w:lastColumn="0" w:noHBand="0" w:noVBand="0" w:val="0020"/>
      </w:tblPr>
      <w:tblGrid>
        <w:gridCol w:w="1827"/>
        <w:gridCol w:w="1218"/>
        <w:gridCol w:w="1827"/>
        <w:gridCol w:w="1523"/>
        <w:gridCol w:w="1523"/>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rPr>
                <w:bCs/>
                <w:b/>
              </w:rP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rPr>
                <w:bCs/>
                <w:b/>
              </w:rP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rPr>
                <w:bCs/>
                <w:b/>
              </w:rP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rPr>
                <w:bCs/>
                <w:b/>
              </w:rP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rPr>
                <w:bCs/>
                <w:b/>
              </w:rP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96"/>
    <w:bookmarkEnd w:id="97"/>
    <w:bookmarkStart w:id="98" w:name="视频跟踪仪产业链优化与合作伙伴协同平台"/>
    <w:p>
      <w:pPr>
        <w:pStyle w:val="4"/>
      </w:pPr>
      <w:r>
        <w:t xml:space="preserve">5.4.2 视频跟踪仪：产业链优化与合作伙伴协同平台</w:t>
      </w:r>
    </w:p>
    <w:p>
      <w:pPr>
        <w:pStyle w:val="FirstParagraph"/>
      </w:pPr>
      <w:r>
        <w:t xml:space="preserve">视频跟踪仪的数字化转型重点在产业链协同：</w:t>
      </w:r>
      <w:r>
        <w:t xml:space="preserve"> </w:t>
      </w:r>
      <w:r>
        <w:t xml:space="preserve">-</w:t>
      </w:r>
      <w:r>
        <w:t xml:space="preserve"> </w:t>
      </w:r>
      <w:r>
        <w:rPr>
          <w:bCs/>
          <w:b/>
        </w:rPr>
        <w:t xml:space="preserve">合作伙伴门户</w:t>
      </w:r>
      <w:r>
        <w:t xml:space="preserve">：为地区合作伙伴提供方案设计、技术支持、项目管理的在线平台</w:t>
      </w:r>
      <w:r>
        <w:t xml:space="preserve"> </w:t>
      </w:r>
      <w:r>
        <w:t xml:space="preserve">-</w:t>
      </w:r>
      <w:r>
        <w:t xml:space="preserve"> </w:t>
      </w:r>
      <w:r>
        <w:rPr>
          <w:bCs/>
          <w:b/>
        </w:rPr>
        <w:t xml:space="preserve">远程诊断系统</w:t>
      </w:r>
      <w:r>
        <w:t xml:space="preserve">：通过物联网技术实现设备远程监控、故障预警和诊断</w:t>
      </w:r>
      <w:r>
        <w:t xml:space="preserve"> </w:t>
      </w:r>
      <w:r>
        <w:t xml:space="preserve">-</w:t>
      </w:r>
      <w:r>
        <w:t xml:space="preserve"> </w:t>
      </w:r>
      <w:r>
        <w:rPr>
          <w:bCs/>
          <w:b/>
        </w:rPr>
        <w:t xml:space="preserve">项目协同工具</w:t>
      </w:r>
      <w:r>
        <w:t xml:space="preserve">：支持多参与方在线协作，提高项目执行效率</w:t>
      </w:r>
    </w:p>
    <w:bookmarkEnd w:id="98"/>
    <w:bookmarkStart w:id="99" w:name="数字化工具提升管理效率"/>
    <w:p>
      <w:pPr>
        <w:pStyle w:val="4"/>
      </w:pPr>
      <w:r>
        <w:t xml:space="preserve">5.4.3 数字化工具提升管理效率</w:t>
      </w:r>
    </w:p>
    <w:p>
      <w:pPr>
        <w:pStyle w:val="FirstParagraph"/>
      </w:pPr>
      <w:r>
        <w:t xml:space="preserve">公司层面推广数字化管理工具：</w:t>
      </w:r>
      <w:r>
        <w:t xml:space="preserve"> </w:t>
      </w:r>
      <w:r>
        <w:t xml:space="preserve">-</w:t>
      </w:r>
      <w:r>
        <w:t xml:space="preserve"> </w:t>
      </w:r>
      <w:r>
        <w:rPr>
          <w:bCs/>
          <w:b/>
        </w:rPr>
        <w:t xml:space="preserve">ERP系统升级</w:t>
      </w:r>
      <w:r>
        <w:t xml:space="preserve">：集成销售、生产、财务、人力资源模块，实现数据一体化</w:t>
      </w:r>
      <w:r>
        <w:t xml:space="preserve"> </w:t>
      </w:r>
      <w:r>
        <w:t xml:space="preserve">-</w:t>
      </w:r>
      <w:r>
        <w:t xml:space="preserve"> </w:t>
      </w:r>
      <w:r>
        <w:rPr>
          <w:bCs/>
          <w:b/>
        </w:rPr>
        <w:t xml:space="preserve">BI数据分析平台</w:t>
      </w:r>
      <w:r>
        <w:t xml:space="preserve">：实时监控三条产品线的关键绩效指标，支持数据驱动决策</w:t>
      </w:r>
      <w:r>
        <w:t xml:space="preserve"> </w:t>
      </w:r>
      <w:r>
        <w:t xml:space="preserve">-</w:t>
      </w:r>
      <w:r>
        <w:t xml:space="preserve"> </w:t>
      </w:r>
      <w:r>
        <w:rPr>
          <w:bCs/>
          <w:b/>
        </w:rPr>
        <w:t xml:space="preserve">移动办公系统</w:t>
      </w:r>
      <w:r>
        <w:t xml:space="preserve">：支持远程协作，适应后疫情时代的灵活工作模式</w:t>
      </w:r>
    </w:p>
    <w:bookmarkEnd w:id="99"/>
    <w:bookmarkEnd w:id="100"/>
    <w:bookmarkStart w:id="105" w:name="生态合作构建可持续发展伙伴关系"/>
    <w:p>
      <w:pPr>
        <w:pStyle w:val="3"/>
      </w:pPr>
      <w:r>
        <w:t xml:space="preserve">5.5 生态合作：构建可持续发展伙伴关系</w:t>
      </w:r>
    </w:p>
    <w:p>
      <w:pPr>
        <w:pStyle w:val="FirstParagraph"/>
      </w:pPr>
      <w:r>
        <w:t xml:space="preserve">生态合作是HSM战略转型的长期保障，通过构建多层次伙伴关系实现共赢发展。</w:t>
      </w:r>
    </w:p>
    <w:bookmarkStart w:id="101" w:name="与试验机厂家的深度合作模式"/>
    <w:p>
      <w:pPr>
        <w:pStyle w:val="4"/>
      </w:pPr>
      <w:r>
        <w:t xml:space="preserve">5.5.1 与试验机厂家的深度合作模式</w:t>
      </w:r>
    </w:p>
    <w:p>
      <w:pPr>
        <w:pStyle w:val="FirstParagraph"/>
      </w:pPr>
      <w:r>
        <w:t xml:space="preserve">与试验机厂家的合作超越简单的产品销售：</w:t>
      </w:r>
      <w:r>
        <w:t xml:space="preserve"> </w:t>
      </w:r>
      <w:r>
        <w:t xml:space="preserve">-</w:t>
      </w:r>
      <w:r>
        <w:t xml:space="preserve"> </w:t>
      </w:r>
      <w:r>
        <w:rPr>
          <w:bCs/>
          <w:b/>
        </w:rPr>
        <w:t xml:space="preserve">技术集成合作</w:t>
      </w:r>
      <w:r>
        <w:t xml:space="preserve">：将HSM的DIC技术深度集成到试验机控制系统中</w:t>
      </w:r>
      <w:r>
        <w:t xml:space="preserve"> </w:t>
      </w:r>
      <w:r>
        <w:t xml:space="preserve">-</w:t>
      </w:r>
      <w:r>
        <w:t xml:space="preserve"> </w:t>
      </w:r>
      <w:r>
        <w:rPr>
          <w:bCs/>
          <w:b/>
        </w:rPr>
        <w:t xml:space="preserve">联合研发</w:t>
      </w:r>
      <w:r>
        <w:t xml:space="preserve">：共同开发面向特定材料测试的专用测量模块</w:t>
      </w:r>
      <w:r>
        <w:t xml:space="preserve"> </w:t>
      </w:r>
      <w:r>
        <w:t xml:space="preserve">-</w:t>
      </w:r>
      <w:r>
        <w:t xml:space="preserve"> </w:t>
      </w:r>
      <w:r>
        <w:rPr>
          <w:bCs/>
          <w:b/>
        </w:rPr>
        <w:t xml:space="preserve">市场共拓</w:t>
      </w:r>
      <w:r>
        <w:t xml:space="preserve">：共享客户资源，联合拓展海外市场</w:t>
      </w:r>
    </w:p>
    <w:bookmarkEnd w:id="101"/>
    <w:bookmarkStart w:id="103" w:name="地区合作伙伴培育与管理体系"/>
    <w:p>
      <w:pPr>
        <w:pStyle w:val="4"/>
      </w:pPr>
      <w:r>
        <w:t xml:space="preserve">5.5.2 地区合作伙伴培育与管理体系</w:t>
      </w:r>
    </w:p>
    <w:p>
      <w:pPr>
        <w:pStyle w:val="FirstParagraph"/>
      </w:pPr>
      <w:r>
        <w:t xml:space="preserve">针对视频跟踪仪业务，建立地区合作伙伴培育体系：</w:t>
      </w:r>
      <w:r>
        <w:t xml:space="preserve"> </w:t>
      </w:r>
      <w:r>
        <w:t xml:space="preserve">-</w:t>
      </w:r>
      <w:r>
        <w:t xml:space="preserve"> </w:t>
      </w:r>
      <w:r>
        <w:rPr>
          <w:bCs/>
          <w:b/>
        </w:rPr>
        <w:t xml:space="preserve">合作伙伴分级管理</w:t>
      </w:r>
      <w:r>
        <w:t xml:space="preserve">：根据能力、业绩将合作伙伴分为金牌、银牌、铜牌三级</w:t>
      </w:r>
      <w:r>
        <w:t xml:space="preserve"> </w:t>
      </w:r>
      <w:r>
        <w:t xml:space="preserve">-</w:t>
      </w:r>
      <w:r>
        <w:t xml:space="preserve"> </w:t>
      </w:r>
      <w:r>
        <w:rPr>
          <w:bCs/>
          <w:b/>
        </w:rPr>
        <w:t xml:space="preserve">全方位支持</w:t>
      </w:r>
      <w:r>
        <w:t xml:space="preserve">：提供技术培训、市场资源、项目协作、资金支持等全方位赋能</w:t>
      </w:r>
      <w:r>
        <w:t xml:space="preserve"> </w:t>
      </w:r>
      <w:r>
        <w:t xml:space="preserve">-</w:t>
      </w:r>
      <w:r>
        <w:t xml:space="preserve"> </w:t>
      </w:r>
      <w:r>
        <w:rPr>
          <w:bCs/>
          <w:b/>
        </w:rPr>
        <w:t xml:space="preserve">利益共享机制</w:t>
      </w:r>
      <w:r>
        <w:t xml:space="preserve">：建立透明的利润分配机制，确保合作伙伴有持续合作动力</w:t>
      </w:r>
    </w:p>
    <w:bookmarkStart w:id="102" w:name="表5-7地区合作伙伴选择标准与培育计划"/>
    <w:p>
      <w:pPr>
        <w:pStyle w:val="Heading4"/>
      </w:pPr>
      <w:r>
        <w:t xml:space="preserve">表5-7：地区合作伙伴选择标准与培育计划</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rPr>
                <w:bCs/>
                <w:b/>
              </w:rP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rPr>
                <w:bCs/>
                <w:b/>
              </w:rP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rPr>
                <w:bCs/>
                <w:b/>
              </w:rP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r>
        <w:tc>
          <w:tcPr/>
          <w:p>
            <w:pPr>
              <w:pStyle w:val="Compact"/>
              <w:jc w:val="left"/>
            </w:pPr>
            <w:r>
              <w:rPr>
                <w:bCs/>
                <w:b/>
              </w:rP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rPr>
                <w:bCs/>
                <w:b/>
              </w:rP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rPr>
                <w:bCs/>
                <w:b/>
              </w:rP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102"/>
    <w:bookmarkEnd w:id="103"/>
    <w:bookmarkStart w:id="104" w:name="产学研合作与行业标准共建"/>
    <w:p>
      <w:pPr>
        <w:pStyle w:val="4"/>
      </w:pPr>
      <w:r>
        <w:t xml:space="preserve">5.5.3 产学研合作与行业标准共建</w:t>
      </w:r>
    </w:p>
    <w:p>
      <w:pPr>
        <w:pStyle w:val="FirstParagraph"/>
      </w:pPr>
      <w:r>
        <w:t xml:space="preserve">长期生态建设包括产学研合作和行业标准参与：</w:t>
      </w:r>
      <w:r>
        <w:t xml:space="preserve"> </w:t>
      </w:r>
      <w:r>
        <w:t xml:space="preserve">-</w:t>
      </w:r>
      <w:r>
        <w:t xml:space="preserve"> </w:t>
      </w:r>
      <w:r>
        <w:rPr>
          <w:bCs/>
          <w:b/>
        </w:rPr>
        <w:t xml:space="preserve">高校联合实验室</w:t>
      </w:r>
      <w:r>
        <w:t xml:space="preserve">：与清华大学、同济大学等建立联合实验室，推动前沿技术研究</w:t>
      </w:r>
      <w:r>
        <w:t xml:space="preserve"> </w:t>
      </w:r>
      <w:r>
        <w:t xml:space="preserve">-</w:t>
      </w:r>
      <w:r>
        <w:t xml:space="preserve"> </w:t>
      </w:r>
      <w:r>
        <w:rPr>
          <w:bCs/>
          <w:b/>
        </w:rPr>
        <w:t xml:space="preserve">行业标准制定</w:t>
      </w:r>
      <w:r>
        <w:t xml:space="preserve">：积极参与DIC技术相关国家标准的制定，提升行业话语权</w:t>
      </w:r>
      <w:r>
        <w:t xml:space="preserve"> </w:t>
      </w:r>
      <w:r>
        <w:t xml:space="preserve">-</w:t>
      </w:r>
      <w:r>
        <w:t xml:space="preserve"> </w:t>
      </w:r>
      <w:r>
        <w:rPr>
          <w:bCs/>
          <w:b/>
        </w:rPr>
        <w:t xml:space="preserve">产业联盟建设</w:t>
      </w:r>
      <w:r>
        <w:t xml:space="preserve">：发起成立”视觉测量产业创新联盟”，整合产业链资源</w:t>
      </w:r>
    </w:p>
    <w:bookmarkEnd w:id="104"/>
    <w:bookmarkEnd w:id="105"/>
    <w:bookmarkStart w:id="109"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106" w:name="第一阶段基础建设期2026年"/>
    <w:p>
      <w:pPr>
        <w:pStyle w:val="4"/>
      </w:pPr>
      <w:r>
        <w:t xml:space="preserve">5.6.1 第一阶段：基础建设期（2026年）</w:t>
      </w:r>
    </w:p>
    <w:p>
      <w:pPr>
        <w:numPr>
          <w:ilvl w:val="0"/>
          <w:numId w:val="1003"/>
        </w:numPr>
        <w:pStyle w:val="Compact"/>
      </w:pPr>
      <w:r>
        <w:rPr>
          <w:bCs/>
          <w:b/>
        </w:rPr>
        <w:t xml:space="preserve">Q1-Q2</w:t>
      </w:r>
      <w:r>
        <w:t xml:space="preserve">：组织架构调整、研发资源重新配置</w:t>
      </w:r>
    </w:p>
    <w:p>
      <w:pPr>
        <w:numPr>
          <w:ilvl w:val="0"/>
          <w:numId w:val="1003"/>
        </w:numPr>
        <w:pStyle w:val="Compact"/>
      </w:pPr>
      <w:r>
        <w:rPr>
          <w:bCs/>
          <w:b/>
        </w:rPr>
        <w:t xml:space="preserve">Q2-Q3</w:t>
      </w:r>
      <w:r>
        <w:t xml:space="preserve">：捆绑销售合作签约、地区合作伙伴发展</w:t>
      </w:r>
    </w:p>
    <w:p>
      <w:pPr>
        <w:numPr>
          <w:ilvl w:val="0"/>
          <w:numId w:val="1003"/>
        </w:numPr>
        <w:pStyle w:val="Compact"/>
      </w:pPr>
      <w:r>
        <w:rPr>
          <w:bCs/>
          <w:b/>
        </w:rPr>
        <w:t xml:space="preserve">Q3-Q4</w:t>
      </w:r>
      <w:r>
        <w:t xml:space="preserve">：供应链优化、数字化平台建设</w:t>
      </w:r>
    </w:p>
    <w:bookmarkEnd w:id="106"/>
    <w:bookmarkStart w:id="107" w:name="第二阶段全面推进期2027年"/>
    <w:p>
      <w:pPr>
        <w:pStyle w:val="4"/>
      </w:pPr>
      <w:r>
        <w:t xml:space="preserve">5.6.2 第二阶段：全面推进期（2027年）</w:t>
      </w:r>
    </w:p>
    <w:p>
      <w:pPr>
        <w:numPr>
          <w:ilvl w:val="0"/>
          <w:numId w:val="1004"/>
        </w:numPr>
        <w:pStyle w:val="Compact"/>
      </w:pPr>
      <w:r>
        <w:rPr>
          <w:bCs/>
          <w:b/>
        </w:rPr>
        <w:t xml:space="preserve">Q1-Q2</w:t>
      </w:r>
      <w:r>
        <w:t xml:space="preserve">：新产品研发突破、垂直领域市场拓展</w:t>
      </w:r>
    </w:p>
    <w:p>
      <w:pPr>
        <w:numPr>
          <w:ilvl w:val="0"/>
          <w:numId w:val="1004"/>
        </w:numPr>
        <w:pStyle w:val="Compact"/>
      </w:pPr>
      <w:r>
        <w:rPr>
          <w:bCs/>
          <w:b/>
        </w:rPr>
        <w:t xml:space="preserve">Q3-Q4</w:t>
      </w:r>
      <w:r>
        <w:t xml:space="preserve">：合作伙伴体系成熟、回款机制优化见效</w:t>
      </w:r>
    </w:p>
    <w:bookmarkEnd w:id="107"/>
    <w:bookmarkStart w:id="108" w:name="第三阶段成果巩固期2028年"/>
    <w:p>
      <w:pPr>
        <w:pStyle w:val="4"/>
      </w:pPr>
      <w:r>
        <w:t xml:space="preserve">5.6.3 第三阶段：成果巩固期（2028年）</w:t>
      </w:r>
    </w:p>
    <w:p>
      <w:pPr>
        <w:numPr>
          <w:ilvl w:val="0"/>
          <w:numId w:val="1005"/>
        </w:numPr>
        <w:pStyle w:val="Compact"/>
      </w:pPr>
      <w:r>
        <w:t xml:space="preserve">三条产品线均衡发展</w:t>
      </w:r>
    </w:p>
    <w:p>
      <w:pPr>
        <w:numPr>
          <w:ilvl w:val="0"/>
          <w:numId w:val="1005"/>
        </w:numPr>
        <w:pStyle w:val="Compact"/>
      </w:pPr>
      <w:r>
        <w:t xml:space="preserve">资金周转率显著提升</w:t>
      </w:r>
    </w:p>
    <w:p>
      <w:pPr>
        <w:numPr>
          <w:ilvl w:val="0"/>
          <w:numId w:val="1005"/>
        </w:numPr>
        <w:pStyle w:val="Compact"/>
      </w:pPr>
      <w:r>
        <w:t xml:space="preserve">行业领导地位巩固</w:t>
      </w:r>
    </w:p>
    <w:bookmarkEnd w:id="108"/>
    <w:bookmarkEnd w:id="109"/>
    <w:bookmarkStart w:id="112" w:name="预期成效与风险评估"/>
    <w:p>
      <w:pPr>
        <w:pStyle w:val="3"/>
      </w:pPr>
      <w:r>
        <w:t xml:space="preserve">5.7 预期成效与风险评估</w:t>
      </w:r>
    </w:p>
    <w:bookmarkStart w:id="110" w:name="预期成效"/>
    <w:p>
      <w:pPr>
        <w:pStyle w:val="4"/>
      </w:pPr>
      <w:r>
        <w:t xml:space="preserve">5.7.1 预期成效</w:t>
      </w:r>
    </w:p>
    <w:p>
      <w:pPr>
        <w:numPr>
          <w:ilvl w:val="0"/>
          <w:numId w:val="1006"/>
        </w:numPr>
        <w:pStyle w:val="Compact"/>
      </w:pPr>
      <w:r>
        <w:rPr>
          <w:bCs/>
          <w:b/>
        </w:rPr>
        <w:t xml:space="preserve">财务指标改善</w:t>
      </w:r>
      <w:r>
        <w:t xml:space="preserve">：整体毛利率从55%提升至65%，资金周转率从1.5次/年提升至3.0次/年</w:t>
      </w:r>
    </w:p>
    <w:p>
      <w:pPr>
        <w:numPr>
          <w:ilvl w:val="0"/>
          <w:numId w:val="1006"/>
        </w:numPr>
        <w:pStyle w:val="Compact"/>
      </w:pPr>
      <w:r>
        <w:rPr>
          <w:bCs/>
          <w:b/>
        </w:rPr>
        <w:t xml:space="preserve">市场地位巩固</w:t>
      </w:r>
      <w:r>
        <w:t xml:space="preserve">：视频引伸计/应变仪国内市场占有率从30%提升至45%</w:t>
      </w:r>
    </w:p>
    <w:p>
      <w:pPr>
        <w:numPr>
          <w:ilvl w:val="0"/>
          <w:numId w:val="1006"/>
        </w:numPr>
        <w:pStyle w:val="Compact"/>
      </w:pPr>
      <w:r>
        <w:rPr>
          <w:bCs/>
          <w:b/>
        </w:rPr>
        <w:t xml:space="preserve">产品结构优化</w:t>
      </w:r>
      <w:r>
        <w:t xml:space="preserve">：标准化产品收入占比从60%提升至80%</w:t>
      </w:r>
    </w:p>
    <w:p>
      <w:pPr>
        <w:numPr>
          <w:ilvl w:val="0"/>
          <w:numId w:val="1006"/>
        </w:numPr>
        <w:pStyle w:val="Compact"/>
      </w:pPr>
      <w:r>
        <w:rPr>
          <w:bCs/>
          <w:b/>
        </w:rPr>
        <w:t xml:space="preserve">组织效率提升</w:t>
      </w:r>
      <w:r>
        <w:t xml:space="preserve">：人均产值从100万元/年提升至150万元/年</w:t>
      </w:r>
    </w:p>
    <w:bookmarkEnd w:id="110"/>
    <w:bookmarkStart w:id="111" w:name="风险与应对"/>
    <w:p>
      <w:pPr>
        <w:pStyle w:val="4"/>
      </w:pPr>
      <w:r>
        <w:t xml:space="preserve">5.7.2 风险与应对</w:t>
      </w:r>
    </w:p>
    <w:p>
      <w:pPr>
        <w:numPr>
          <w:ilvl w:val="0"/>
          <w:numId w:val="1007"/>
        </w:numPr>
        <w:pStyle w:val="Compact"/>
      </w:pPr>
      <w:r>
        <w:rPr>
          <w:bCs/>
          <w:b/>
        </w:rPr>
        <w:t xml:space="preserve">合作伙伴管理风险</w:t>
      </w:r>
      <w:r>
        <w:t xml:space="preserve">：建立严格的合作伙伴筛选和退出机制</w:t>
      </w:r>
    </w:p>
    <w:p>
      <w:pPr>
        <w:numPr>
          <w:ilvl w:val="0"/>
          <w:numId w:val="1007"/>
        </w:numPr>
        <w:pStyle w:val="Compact"/>
      </w:pPr>
      <w:r>
        <w:rPr>
          <w:bCs/>
          <w:b/>
        </w:rPr>
        <w:t xml:space="preserve">技术研发不确定性</w:t>
      </w:r>
      <w:r>
        <w:t xml:space="preserve">：保持适度的研发投入冗余，分散技术路线风险</w:t>
      </w:r>
    </w:p>
    <w:p>
      <w:pPr>
        <w:numPr>
          <w:ilvl w:val="0"/>
          <w:numId w:val="1007"/>
        </w:numPr>
        <w:pStyle w:val="Compact"/>
      </w:pPr>
      <w:r>
        <w:rPr>
          <w:bCs/>
          <w:b/>
        </w:rPr>
        <w:t xml:space="preserve">市场竞争加剧</w:t>
      </w:r>
      <w:r>
        <w:t xml:space="preserve">：持续技术创新，构建专利护城河</w:t>
      </w:r>
    </w:p>
    <w:p>
      <w:pPr>
        <w:numPr>
          <w:ilvl w:val="0"/>
          <w:numId w:val="1007"/>
        </w:numPr>
        <w:pStyle w:val="Compact"/>
      </w:pPr>
      <w:r>
        <w:rPr>
          <w:bCs/>
          <w:b/>
        </w:rPr>
        <w:t xml:space="preserve">供应链波动风险</w:t>
      </w:r>
      <w:r>
        <w:t xml:space="preserve">：建立多源供应体系，保持供应链弹性</w:t>
      </w:r>
    </w:p>
    <w:p>
      <w:r>
        <w:pict>
          <v:rect style="width:0;height:1.5pt" o:hralign="center" o:hrstd="t" o:hr="t"/>
        </w:pict>
      </w:r>
    </w:p>
    <w:p>
      <w:pPr>
        <w:pStyle w:val="FirstParagraph"/>
      </w:pPr>
      <w:r>
        <w:rPr>
          <w:bCs/>
          <w:b/>
        </w:rPr>
        <w:t xml:space="preserve">本章小结</w:t>
      </w:r>
      <w:r>
        <w:t xml:space="preserve">：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111"/>
    <w:bookmarkEnd w:id="112"/>
    <w:bookmarkEnd w:id="113"/>
    <w:bookmarkStart w:id="153" w:name="第六章-市场分析与商业模式优化"/>
    <w:p>
      <w:pPr>
        <w:pStyle w:val="2"/>
      </w:pPr>
      <w:r>
        <w:t xml:space="preserve">第六章 市场分析与商业模式优化</w:t>
      </w:r>
    </w:p>
    <w:bookmarkStart w:id="119" w:name="国内基础设施安全监测市场概况"/>
    <w:p>
      <w:pPr>
        <w:pStyle w:val="3"/>
      </w:pPr>
      <w:r>
        <w:t xml:space="preserve">6.1 国内基础设施安全监测市场概况</w:t>
      </w:r>
    </w:p>
    <w:bookmarkStart w:id="114" w:name="市场整体规模与发展趋势"/>
    <w:p>
      <w:pPr>
        <w:pStyle w:val="4"/>
      </w:pPr>
      <w:r>
        <w:t xml:space="preserve">6.1.1 市场整体规模与发展趋势</w:t>
      </w:r>
    </w:p>
    <w:p>
      <w:pPr>
        <w:pStyle w:val="FirstParagraph"/>
      </w:pPr>
      <w:r>
        <w:t xml:space="preserve">根据Global Market Insights的研究报告，2023年全球结构健康监测（Structural Health Monitoring, SHM）市场规模超过31亿美元，预计2024年至2032年期间的复合年增长率（CAGR）将超过10%，到2032年市场规模将达到70亿美元。其中，硬件部分占整体市场的40%以上，显示了监测设备市场的巨大潜力。</w:t>
      </w:r>
    </w:p>
    <w:p>
      <w:pPr>
        <w:pStyle w:val="BodyText"/>
      </w:pPr>
      <w:r>
        <w:t xml:space="preserve">在中国市场，基础设施安全监测领域呈现出快速增长态势。2024年中国基础设施安全监测市场规模已达到850亿元，预计到2027年将突破1500亿元，年复合增长率超过20%。这一快速增长主要受到以下因素驱动：</w:t>
      </w:r>
    </w:p>
    <w:p>
      <w:pPr>
        <w:numPr>
          <w:ilvl w:val="0"/>
          <w:numId w:val="1008"/>
        </w:numPr>
      </w:pPr>
      <w:r>
        <w:rPr>
          <w:bCs/>
          <w:b/>
        </w:rPr>
        <w:t xml:space="preserve">政策红利持续释放</w:t>
      </w:r>
      <w:r>
        <w:t xml:space="preserve">：国家”十四五”规划明确提出要加强城市安全韧性建设，推动基础设施智能化监测。《城市生命线工程安全运行监测系统建设导则》等政策文件的出台，为行业提供了明确的发展方向和政策支持。</w:t>
      </w:r>
    </w:p>
    <w:p>
      <w:pPr>
        <w:numPr>
          <w:ilvl w:val="0"/>
          <w:numId w:val="1008"/>
        </w:numPr>
      </w:pPr>
      <w:r>
        <w:rPr>
          <w:bCs/>
          <w:b/>
        </w:rPr>
        <w:t xml:space="preserve">技术革新推动产业升级</w:t>
      </w:r>
      <w:r>
        <w:t xml:space="preserve">：机器视觉监测技术市场份额从2022年的15%快速增长至2024年的35%，技术替代效应明显。特别是数字图像相关（DIC）技术为代表的视觉测量技术，正逐步取代传统接触式测量方法。</w:t>
      </w:r>
    </w:p>
    <w:p>
      <w:pPr>
        <w:numPr>
          <w:ilvl w:val="0"/>
          <w:numId w:val="1008"/>
        </w:numPr>
      </w:pPr>
      <w:r>
        <w:rPr>
          <w:bCs/>
          <w:b/>
        </w:rPr>
        <w:t xml:space="preserve">市场需求多元化发展</w:t>
      </w:r>
      <w:r>
        <w:t xml:space="preserve">：随着城市化进程加速和基础设施老化问题凸显，桥梁、隧道、边坡等基础设施的安全监测需求日益迫切。根据交通运输部数据，中国现有公路桥梁超过100万座，其中大量桥梁已进入”老龄化”阶段，急需系统化的健康监测。</w:t>
      </w:r>
    </w:p>
    <w:bookmarkEnd w:id="114"/>
    <w:bookmarkStart w:id="118" w:name="细分市场分析"/>
    <w:p>
      <w:pPr>
        <w:pStyle w:val="4"/>
      </w:pPr>
      <w:r>
        <w:t xml:space="preserve">6.1.2 细分市场分析</w:t>
      </w:r>
    </w:p>
    <w:bookmarkStart w:id="115" w:name="桥梁健康监测市场"/>
    <w:p>
      <w:pPr>
        <w:pStyle w:val="Heading4"/>
      </w:pPr>
      <w:r>
        <w:t xml:space="preserve">桥梁健康监测市场</w:t>
      </w:r>
    </w:p>
    <w:p>
      <w:pPr>
        <w:pStyle w:val="FirstParagraph"/>
      </w:pPr>
      <w:r>
        <w:t xml:space="preserve">根据恒州博智研究中心的调研报告，2024-2030年全球与中国桥梁健康监测市场将保持快速增长。中国作为世界最大的基础设施建设市场，桥梁健康监测市场规模预计将从2024年的120亿元增长至2030年的250亿元，年复合增长率达到12%。</w:t>
      </w:r>
    </w:p>
    <w:p>
      <w:pPr>
        <w:pStyle w:val="BodyText"/>
      </w:pPr>
      <w:r>
        <w:t xml:space="preserve">市场驱动因素包括：</w:t>
      </w:r>
      <w:r>
        <w:t xml:space="preserve"> </w:t>
      </w:r>
      <w:r>
        <w:t xml:space="preserve">-</w:t>
      </w:r>
      <w:r>
        <w:t xml:space="preserve"> </w:t>
      </w:r>
      <w:r>
        <w:rPr>
          <w:bCs/>
          <w:b/>
        </w:rPr>
        <w:t xml:space="preserve">政策强制要求</w:t>
      </w:r>
      <w:r>
        <w:t xml:space="preserve">：交通运输部要求对长大桥梁实施结构健康监测</w:t>
      </w:r>
      <w:r>
        <w:t xml:space="preserve"> </w:t>
      </w:r>
      <w:r>
        <w:t xml:space="preserve">-</w:t>
      </w:r>
      <w:r>
        <w:t xml:space="preserve"> </w:t>
      </w:r>
      <w:r>
        <w:rPr>
          <w:bCs/>
          <w:b/>
        </w:rPr>
        <w:t xml:space="preserve">安全监管趋严</w:t>
      </w:r>
      <w:r>
        <w:t xml:space="preserve">：桥梁安全事故频发促使监管加强</w:t>
      </w:r>
      <w:r>
        <w:t xml:space="preserve"> </w:t>
      </w:r>
      <w:r>
        <w:t xml:space="preserve">-</w:t>
      </w:r>
      <w:r>
        <w:t xml:space="preserve"> </w:t>
      </w:r>
      <w:r>
        <w:rPr>
          <w:bCs/>
          <w:b/>
        </w:rPr>
        <w:t xml:space="preserve">技术成本下降</w:t>
      </w:r>
      <w:r>
        <w:t xml:space="preserve">：监测设备成本持续降低，推动普及应用</w:t>
      </w:r>
    </w:p>
    <w:bookmarkEnd w:id="115"/>
    <w:bookmarkStart w:id="116" w:name="隧道监测市场"/>
    <w:p>
      <w:pPr>
        <w:pStyle w:val="Heading4"/>
      </w:pPr>
      <w:r>
        <w:t xml:space="preserve">隧道监测市场</w:t>
      </w:r>
    </w:p>
    <w:p>
      <w:pPr>
        <w:pStyle w:val="FirstParagraph"/>
      </w:pPr>
      <w:r>
        <w:t xml:space="preserve">隧道监测系统市场规模在2024年估计为54.21亿美元，预计从2025年的57.52亿美元增长到2035年的103.9亿美元，2025-2035年复合年增长率为6.9%。在中国市场，随着铁路、公路、地铁等隧道工程的大规模建设，隧道监测需求持续增长。</w:t>
      </w:r>
    </w:p>
    <w:bookmarkEnd w:id="116"/>
    <w:bookmarkStart w:id="117" w:name="边坡监测市场"/>
    <w:p>
      <w:pPr>
        <w:pStyle w:val="Heading4"/>
      </w:pPr>
      <w:r>
        <w:t xml:space="preserve">边坡监测市场</w:t>
      </w:r>
    </w:p>
    <w:p>
      <w:pPr>
        <w:pStyle w:val="FirstParagraph"/>
      </w:pPr>
      <w:r>
        <w:t xml:space="preserve">边坡监测作为地质灾害防治的重要组成部分，市场规模随着矿山安全、交通基础设施安全的重视而快速增长。特别是在露天矿山、高速公路边坡、水利工程边坡等领域，监测需求旺盛。</w:t>
      </w:r>
    </w:p>
    <w:bookmarkEnd w:id="117"/>
    <w:bookmarkEnd w:id="118"/>
    <w:bookmarkEnd w:id="119"/>
    <w:bookmarkStart w:id="122" w:name="方案厂家体量与竞争格局"/>
    <w:p>
      <w:pPr>
        <w:pStyle w:val="3"/>
      </w:pPr>
      <w:r>
        <w:t xml:space="preserve">6.2 方案厂家体量与竞争格局</w:t>
      </w:r>
    </w:p>
    <w:bookmarkStart w:id="120" w:name="主要厂家分析"/>
    <w:p>
      <w:pPr>
        <w:pStyle w:val="4"/>
      </w:pPr>
      <w:r>
        <w:t xml:space="preserve">6.2.1 主要厂家分析</w:t>
      </w:r>
    </w:p>
    <w:p>
      <w:pPr>
        <w:pStyle w:val="FirstParagraph"/>
      </w:pPr>
      <w:r>
        <w:t xml:space="preserve">国内基础设施安全监测市场的主要参与者包括：</w:t>
      </w:r>
    </w:p>
    <w:p>
      <w:pPr>
        <w:numPr>
          <w:ilvl w:val="0"/>
          <w:numId w:val="1009"/>
        </w:numPr>
      </w:pPr>
      <w:r>
        <w:rPr>
          <w:bCs/>
          <w:b/>
        </w:rPr>
        <w:t xml:space="preserve">海塞姆科技有限公司</w:t>
      </w:r>
      <w:r>
        <w:t xml:space="preserve">：作为DIC视觉传感技术的领先企业，HSM专注于视频跟踪仪、视频引伸计等视觉测量设备的研发和生产。公司在DIC技术领域拥有自主知识产权，已申请专利50项，其中发明专利30项。</w:t>
      </w:r>
    </w:p>
    <w:p>
      <w:pPr>
        <w:numPr>
          <w:ilvl w:val="0"/>
          <w:numId w:val="1009"/>
        </w:numPr>
      </w:pPr>
      <w:r>
        <w:rPr>
          <w:bCs/>
          <w:b/>
        </w:rPr>
        <w:t xml:space="preserve">北京思莫特科技有限公司</w:t>
      </w:r>
      <w:r>
        <w:t xml:space="preserve">：推出SMT-M视频位移计，采用数字图像相关（DIC）技术和物联网技术，实现多点位移监测和预警。</w:t>
      </w:r>
    </w:p>
    <w:p>
      <w:pPr>
        <w:numPr>
          <w:ilvl w:val="0"/>
          <w:numId w:val="1009"/>
        </w:numPr>
      </w:pPr>
      <w:r>
        <w:rPr>
          <w:bCs/>
          <w:b/>
        </w:rPr>
        <w:t xml:space="preserve">飞尚科技</w:t>
      </w:r>
      <w:r>
        <w:t xml:space="preserve">：提供边坡监测解决方案，集成多种传感技术和物联网平台。</w:t>
      </w:r>
    </w:p>
    <w:p>
      <w:pPr>
        <w:numPr>
          <w:ilvl w:val="0"/>
          <w:numId w:val="1009"/>
        </w:numPr>
      </w:pPr>
      <w:r>
        <w:rPr>
          <w:bCs/>
          <w:b/>
        </w:rPr>
        <w:t xml:space="preserve">传统传感器厂家</w:t>
      </w:r>
      <w:r>
        <w:t xml:space="preserve">：如基康仪器、南自科技等，主要提供传统应变片、位移传感器等接触式测量设备。</w:t>
      </w:r>
    </w:p>
    <w:bookmarkEnd w:id="120"/>
    <w:bookmarkStart w:id="121" w:name="市场集中度与竞争态势"/>
    <w:p>
      <w:pPr>
        <w:pStyle w:val="4"/>
      </w:pPr>
      <w:r>
        <w:t xml:space="preserve">6.2.2 市场集中度与竞争态势</w:t>
      </w:r>
    </w:p>
    <w:p>
      <w:pPr>
        <w:pStyle w:val="FirstParagraph"/>
      </w:pPr>
      <w:r>
        <w:t xml:space="preserve">结构健康监测市场份额相对分散，西门子集团和新梅特克公司在全球市场占有10%以上的份额。在中国市场，尚未形成绝对的垄断格局，呈现出以下特点：</w:t>
      </w:r>
    </w:p>
    <w:p>
      <w:pPr>
        <w:numPr>
          <w:ilvl w:val="0"/>
          <w:numId w:val="1010"/>
        </w:numPr>
        <w:pStyle w:val="Compact"/>
      </w:pPr>
      <w:r>
        <w:rPr>
          <w:bCs/>
          <w:b/>
        </w:rPr>
        <w:t xml:space="preserve">技术路线多元化</w:t>
      </w:r>
      <w:r>
        <w:t xml:space="preserve">：传统传感器厂商、机器视觉厂商、物联网平台厂商等多方参与</w:t>
      </w:r>
    </w:p>
    <w:p>
      <w:pPr>
        <w:numPr>
          <w:ilvl w:val="0"/>
          <w:numId w:val="1010"/>
        </w:numPr>
        <w:pStyle w:val="Compact"/>
      </w:pPr>
      <w:r>
        <w:rPr>
          <w:bCs/>
          <w:b/>
        </w:rPr>
        <w:t xml:space="preserve">区域市场分割</w:t>
      </w:r>
      <w:r>
        <w:t xml:space="preserve">：不同区域有不同的主导厂商，市场集中度不高</w:t>
      </w:r>
    </w:p>
    <w:p>
      <w:pPr>
        <w:numPr>
          <w:ilvl w:val="0"/>
          <w:numId w:val="1010"/>
        </w:numPr>
        <w:pStyle w:val="Compact"/>
      </w:pPr>
      <w:r>
        <w:rPr>
          <w:bCs/>
          <w:b/>
        </w:rPr>
        <w:t xml:space="preserve">专业化分工</w:t>
      </w:r>
      <w:r>
        <w:t xml:space="preserve">：部分厂商专注于特定领域（如桥梁、隧道、边坡），形成细分市场优势</w:t>
      </w:r>
    </w:p>
    <w:bookmarkEnd w:id="121"/>
    <w:bookmarkEnd w:id="122"/>
    <w:bookmarkStart w:id="129" w:name="视频跟踪仪应用规模分析"/>
    <w:p>
      <w:pPr>
        <w:pStyle w:val="3"/>
      </w:pPr>
      <w:r>
        <w:t xml:space="preserve">6.3 视频跟踪仪应用规模分析</w:t>
      </w:r>
    </w:p>
    <w:bookmarkStart w:id="123" w:name="视频跟踪仪技术特点"/>
    <w:p>
      <w:pPr>
        <w:pStyle w:val="4"/>
      </w:pPr>
      <w:r>
        <w:t xml:space="preserve">6.3.1 视频跟踪仪技术特点</w:t>
      </w:r>
    </w:p>
    <w:p>
      <w:pPr>
        <w:pStyle w:val="FirstParagraph"/>
      </w:pPr>
      <w:r>
        <w:t xml:space="preserve">视频跟踪仪（视觉位移测量系统）基于数字图像相关（DIC）技术，通过非接触方式实现对结构变形、位移的高精度测量。与传统接触式传感器相比，视频跟踪仪具有以下优势：</w:t>
      </w:r>
    </w:p>
    <w:p>
      <w:pPr>
        <w:numPr>
          <w:ilvl w:val="0"/>
          <w:numId w:val="1011"/>
        </w:numPr>
        <w:pStyle w:val="Compact"/>
      </w:pPr>
      <w:r>
        <w:rPr>
          <w:bCs/>
          <w:b/>
        </w:rPr>
        <w:t xml:space="preserve">非接触测量</w:t>
      </w:r>
      <w:r>
        <w:t xml:space="preserve">：无需在被测物表面安装传感器，避免了对结构的破坏</w:t>
      </w:r>
    </w:p>
    <w:p>
      <w:pPr>
        <w:numPr>
          <w:ilvl w:val="0"/>
          <w:numId w:val="1011"/>
        </w:numPr>
        <w:pStyle w:val="Compact"/>
      </w:pPr>
      <w:r>
        <w:rPr>
          <w:bCs/>
          <w:b/>
        </w:rPr>
        <w:t xml:space="preserve">多点同时测量</w:t>
      </w:r>
      <w:r>
        <w:t xml:space="preserve">：单一系统可同时监测多个测点，降低设备成本</w:t>
      </w:r>
    </w:p>
    <w:p>
      <w:pPr>
        <w:numPr>
          <w:ilvl w:val="0"/>
          <w:numId w:val="1011"/>
        </w:numPr>
        <w:pStyle w:val="Compact"/>
      </w:pPr>
      <w:r>
        <w:rPr>
          <w:bCs/>
          <w:b/>
        </w:rPr>
        <w:t xml:space="preserve">安装维护简便</w:t>
      </w:r>
      <w:r>
        <w:t xml:space="preserve">：无需复杂布线，可采用太阳能供电和无线数据传输</w:t>
      </w:r>
    </w:p>
    <w:p>
      <w:pPr>
        <w:numPr>
          <w:ilvl w:val="0"/>
          <w:numId w:val="1011"/>
        </w:numPr>
        <w:pStyle w:val="Compact"/>
      </w:pPr>
      <w:r>
        <w:rPr>
          <w:bCs/>
          <w:b/>
        </w:rPr>
        <w:t xml:space="preserve">适应恶劣环境</w:t>
      </w:r>
      <w:r>
        <w:t xml:space="preserve">：内置温度、湿度补偿功能，在风霜雨雪等恶劣条件下仍可工作</w:t>
      </w:r>
    </w:p>
    <w:bookmarkEnd w:id="123"/>
    <w:bookmarkStart w:id="127" w:name="应用场景与市场规模"/>
    <w:p>
      <w:pPr>
        <w:pStyle w:val="4"/>
      </w:pPr>
      <w:r>
        <w:t xml:space="preserve">6.3.2 应用场景与市场规模</w:t>
      </w:r>
    </w:p>
    <w:p>
      <w:pPr>
        <w:pStyle w:val="FirstParagraph"/>
      </w:pPr>
      <w:r>
        <w:t xml:space="preserve">视频跟踪仪在基础设施安全监测领域的应用主要包括：</w:t>
      </w:r>
    </w:p>
    <w:bookmarkStart w:id="124" w:name="桥梁监测应用"/>
    <w:p>
      <w:pPr>
        <w:pStyle w:val="Heading4"/>
      </w:pPr>
      <w:r>
        <w:t xml:space="preserve">桥梁监测应用</w:t>
      </w:r>
    </w:p>
    <w:p>
      <w:pPr>
        <w:numPr>
          <w:ilvl w:val="0"/>
          <w:numId w:val="1012"/>
        </w:numPr>
        <w:pStyle w:val="Compact"/>
      </w:pPr>
      <w:r>
        <w:rPr>
          <w:bCs/>
          <w:b/>
        </w:rPr>
        <w:t xml:space="preserve">监测内容</w:t>
      </w:r>
      <w:r>
        <w:t xml:space="preserve">：桥梁振动、挠度、裂缝发展等</w:t>
      </w:r>
    </w:p>
    <w:p>
      <w:pPr>
        <w:numPr>
          <w:ilvl w:val="0"/>
          <w:numId w:val="1012"/>
        </w:numPr>
        <w:pStyle w:val="Compact"/>
      </w:pPr>
      <w:r>
        <w:rPr>
          <w:bCs/>
          <w:b/>
        </w:rPr>
        <w:t xml:space="preserve">应用规模</w:t>
      </w:r>
      <w:r>
        <w:t xml:space="preserve">：根据行业调研，视频跟踪仪在新建桥梁监测市场的渗透率约为15%，在既有桥梁改造市场的渗透率约为8%</w:t>
      </w:r>
    </w:p>
    <w:p>
      <w:pPr>
        <w:numPr>
          <w:ilvl w:val="0"/>
          <w:numId w:val="1012"/>
        </w:numPr>
        <w:pStyle w:val="Compact"/>
      </w:pPr>
      <w:r>
        <w:rPr>
          <w:bCs/>
          <w:b/>
        </w:rPr>
        <w:t xml:space="preserve">市场规模估算</w:t>
      </w:r>
      <w:r>
        <w:t xml:space="preserve">：假设中国每年新建大型桥梁500座，既有桥梁改造1000座，每座桥梁视频跟踪仪投资约50万元，则年度市场规模约为(500×15% + 1000×8%) × 50万 = 8750万元</w:t>
      </w:r>
    </w:p>
    <w:bookmarkEnd w:id="124"/>
    <w:bookmarkStart w:id="125" w:name="隧道监测应用"/>
    <w:p>
      <w:pPr>
        <w:pStyle w:val="Heading4"/>
      </w:pPr>
      <w:r>
        <w:t xml:space="preserve">隧道监测应用</w:t>
      </w:r>
    </w:p>
    <w:p>
      <w:pPr>
        <w:numPr>
          <w:ilvl w:val="0"/>
          <w:numId w:val="1013"/>
        </w:numPr>
        <w:pStyle w:val="Compact"/>
      </w:pPr>
      <w:r>
        <w:rPr>
          <w:bCs/>
          <w:b/>
        </w:rPr>
        <w:t xml:space="preserve">监测内容</w:t>
      </w:r>
      <w:r>
        <w:t xml:space="preserve">：隧道收敛变形、裂缝发展、沉降等</w:t>
      </w:r>
    </w:p>
    <w:p>
      <w:pPr>
        <w:numPr>
          <w:ilvl w:val="0"/>
          <w:numId w:val="1013"/>
        </w:numPr>
        <w:pStyle w:val="Compact"/>
      </w:pPr>
      <w:r>
        <w:rPr>
          <w:bCs/>
          <w:b/>
        </w:rPr>
        <w:t xml:space="preserve">应用规模</w:t>
      </w:r>
      <w:r>
        <w:t xml:space="preserve">：视频跟踪仪在长大隧道监测中的应用逐渐增多，渗透率约为10%</w:t>
      </w:r>
    </w:p>
    <w:p>
      <w:pPr>
        <w:numPr>
          <w:ilvl w:val="0"/>
          <w:numId w:val="1013"/>
        </w:numPr>
        <w:pStyle w:val="Compact"/>
      </w:pPr>
      <w:r>
        <w:rPr>
          <w:bCs/>
          <w:b/>
        </w:rPr>
        <w:t xml:space="preserve">市场规模估算</w:t>
      </w:r>
      <w:r>
        <w:t xml:space="preserve">：中国每年新建隧道约2000公里，改造隧道约1000公里，每公里隧道监测投资约100万元，视频跟踪仪占比10%，则年度市场规模约为3000×100万×10% = 3亿元</w:t>
      </w:r>
    </w:p>
    <w:bookmarkEnd w:id="125"/>
    <w:bookmarkStart w:id="126" w:name="边坡监测应用"/>
    <w:p>
      <w:pPr>
        <w:pStyle w:val="Heading4"/>
      </w:pPr>
      <w:r>
        <w:t xml:space="preserve">边坡监测应用</w:t>
      </w:r>
    </w:p>
    <w:p>
      <w:pPr>
        <w:numPr>
          <w:ilvl w:val="0"/>
          <w:numId w:val="1014"/>
        </w:numPr>
        <w:pStyle w:val="Compact"/>
      </w:pPr>
      <w:r>
        <w:rPr>
          <w:bCs/>
          <w:b/>
        </w:rPr>
        <w:t xml:space="preserve">监测内容</w:t>
      </w:r>
      <w:r>
        <w:t xml:space="preserve">：边坡位移、裂缝、沉降等</w:t>
      </w:r>
    </w:p>
    <w:p>
      <w:pPr>
        <w:numPr>
          <w:ilvl w:val="0"/>
          <w:numId w:val="1014"/>
        </w:numPr>
        <w:pStyle w:val="Compact"/>
      </w:pPr>
      <w:r>
        <w:rPr>
          <w:bCs/>
          <w:b/>
        </w:rPr>
        <w:t xml:space="preserve">应用规模</w:t>
      </w:r>
      <w:r>
        <w:t xml:space="preserve">：在矿山边坡、公路边坡等领域的应用渗透率约为12%</w:t>
      </w:r>
    </w:p>
    <w:p>
      <w:pPr>
        <w:numPr>
          <w:ilvl w:val="0"/>
          <w:numId w:val="1014"/>
        </w:numPr>
        <w:pStyle w:val="Compact"/>
      </w:pPr>
      <w:r>
        <w:rPr>
          <w:bCs/>
          <w:b/>
        </w:rPr>
        <w:t xml:space="preserve">市场规模估算</w:t>
      </w:r>
      <w:r>
        <w:t xml:space="preserve">：中国每年新增边坡监测项目约5000个，每个项目平均投资80万元，视频跟踪仪占比12%，则年度市场规模约为5000×80万×12% = 4.8亿元</w:t>
      </w:r>
    </w:p>
    <w:bookmarkEnd w:id="126"/>
    <w:bookmarkEnd w:id="127"/>
    <w:bookmarkStart w:id="128" w:name="总体市场规模预测"/>
    <w:p>
      <w:pPr>
        <w:pStyle w:val="4"/>
      </w:pPr>
      <w:r>
        <w:t xml:space="preserve">6.3.3 总体市场规模预测</w:t>
      </w:r>
    </w:p>
    <w:p>
      <w:pPr>
        <w:pStyle w:val="FirstParagraph"/>
      </w:pPr>
      <w:r>
        <w:t xml:space="preserve">综合以上分析，视频跟踪仪在基础设施安全监测领域的年度市场规模约为：</w:t>
      </w:r>
      <w:r>
        <w:t xml:space="preserve"> </w:t>
      </w:r>
      <w:r>
        <w:t xml:space="preserve">- 桥梁监测：0.875亿元</w:t>
      </w:r>
      <w:r>
        <w:t xml:space="preserve"> </w:t>
      </w:r>
      <w:r>
        <w:t xml:space="preserve">- 隧道监测：3.0亿元</w:t>
      </w:r>
      <w:r>
        <w:br/>
      </w:r>
      <w:r>
        <w:t xml:space="preserve">- 边坡监测：4.8亿元</w:t>
      </w:r>
      <w:r>
        <w:t xml:space="preserve"> </w:t>
      </w:r>
      <w:r>
        <w:t xml:space="preserve">-</w:t>
      </w:r>
      <w:r>
        <w:t xml:space="preserve"> </w:t>
      </w:r>
      <w:r>
        <w:rPr>
          <w:bCs/>
          <w:b/>
        </w:rPr>
        <w:t xml:space="preserve">合计：约8.675亿元</w:t>
      </w:r>
    </w:p>
    <w:p>
      <w:pPr>
        <w:pStyle w:val="BodyText"/>
      </w:pPr>
      <w:r>
        <w:t xml:space="preserve">考虑到其他应用领域（如大坝监测、建筑结构监测等），视频跟踪仪在基础设施安全监测领域的总体市场规模预计超过10亿元，并保持20%以上的年增长率。</w:t>
      </w:r>
    </w:p>
    <w:bookmarkEnd w:id="128"/>
    <w:bookmarkEnd w:id="129"/>
    <w:bookmarkStart w:id="141" w:name="商业模式优化成本优势与产品优势分析"/>
    <w:p>
      <w:pPr>
        <w:pStyle w:val="3"/>
      </w:pPr>
      <w:r>
        <w:t xml:space="preserve">6.4 商业模式优化：成本优势与产品优势分析</w:t>
      </w:r>
    </w:p>
    <w:bookmarkStart w:id="133" w:name="成本优势分析"/>
    <w:p>
      <w:pPr>
        <w:pStyle w:val="4"/>
      </w:pPr>
      <w:r>
        <w:t xml:space="preserve">6.4.1 成本优势分析</w:t>
      </w:r>
    </w:p>
    <w:p>
      <w:pPr>
        <w:pStyle w:val="FirstParagraph"/>
      </w:pPr>
      <w:r>
        <w:t xml:space="preserve">视频跟踪仪相比传统传感器在成本方面具有显著优势，主要体现在全生命周期成本（Total Cost of Ownership, TCO）的降低：</w:t>
      </w:r>
    </w:p>
    <w:bookmarkStart w:id="130" w:name="初始投资成本对比"/>
    <w:p>
      <w:pPr>
        <w:pStyle w:val="Heading4"/>
      </w:pPr>
      <w:r>
        <w:t xml:space="preserve">初始投资成本对比</w:t>
      </w:r>
    </w:p>
    <w:p>
      <w:pPr>
        <w:pStyle w:val="FirstParagraph"/>
      </w:pPr>
      <w:r>
        <w:rPr>
          <w:bCs/>
          <w:b/>
        </w:rPr>
        <w:t xml:space="preserve">表6-1：初始投资成本对比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成本项目</w:t>
            </w:r>
          </w:p>
        </w:tc>
        <w:tc>
          <w:tcPr/>
          <w:p>
            <w:pPr>
              <w:pStyle w:val="Compact"/>
              <w:jc w:val="left"/>
            </w:pPr>
            <w:r>
              <w:t xml:space="preserve">传统传感器方案</w:t>
            </w:r>
          </w:p>
        </w:tc>
        <w:tc>
          <w:tcPr/>
          <w:p>
            <w:pPr>
              <w:pStyle w:val="Compact"/>
              <w:jc w:val="left"/>
            </w:pPr>
            <w:r>
              <w:t xml:space="preserve">视频跟踪仪方案</w:t>
            </w:r>
          </w:p>
        </w:tc>
        <w:tc>
          <w:tcPr/>
          <w:p>
            <w:pPr>
              <w:pStyle w:val="Compact"/>
              <w:jc w:val="left"/>
            </w:pPr>
            <w:r>
              <w:t xml:space="preserve">成本节约比例</w:t>
            </w:r>
          </w:p>
        </w:tc>
      </w:tr>
      <w:tr>
        <w:tc>
          <w:tcPr/>
          <w:p>
            <w:pPr>
              <w:pStyle w:val="Compact"/>
              <w:jc w:val="left"/>
            </w:pPr>
            <w:r>
              <w:t xml:space="preserve">传感器设备</w:t>
            </w:r>
          </w:p>
        </w:tc>
        <w:tc>
          <w:tcPr/>
          <w:p>
            <w:pPr>
              <w:pStyle w:val="Compact"/>
              <w:jc w:val="left"/>
            </w:pPr>
            <w:r>
              <w:t xml:space="preserve">高（需多点布置）</w:t>
            </w:r>
          </w:p>
        </w:tc>
        <w:tc>
          <w:tcPr/>
          <w:p>
            <w:pPr>
              <w:pStyle w:val="Compact"/>
              <w:jc w:val="left"/>
            </w:pPr>
            <w:r>
              <w:t xml:space="preserve">中（单点可测多点）</w:t>
            </w:r>
          </w:p>
        </w:tc>
        <w:tc>
          <w:tcPr/>
          <w:p>
            <w:pPr>
              <w:pStyle w:val="Compact"/>
              <w:jc w:val="left"/>
            </w:pPr>
            <w:r>
              <w:t xml:space="preserve">30-50%</w:t>
            </w:r>
          </w:p>
        </w:tc>
      </w:tr>
      <w:tr>
        <w:tc>
          <w:tcPr/>
          <w:p>
            <w:pPr>
              <w:pStyle w:val="Compact"/>
              <w:jc w:val="left"/>
            </w:pPr>
            <w:r>
              <w:t xml:space="preserve">安装施工</w:t>
            </w:r>
          </w:p>
        </w:tc>
        <w:tc>
          <w:tcPr/>
          <w:p>
            <w:pPr>
              <w:pStyle w:val="Compact"/>
              <w:jc w:val="left"/>
            </w:pPr>
            <w:r>
              <w:t xml:space="preserve">高（需布设线缆）</w:t>
            </w:r>
          </w:p>
        </w:tc>
        <w:tc>
          <w:tcPr/>
          <w:p>
            <w:pPr>
              <w:pStyle w:val="Compact"/>
              <w:jc w:val="left"/>
            </w:pPr>
            <w:r>
              <w:t xml:space="preserve">低（无线安装）</w:t>
            </w:r>
          </w:p>
        </w:tc>
        <w:tc>
          <w:tcPr/>
          <w:p>
            <w:pPr>
              <w:pStyle w:val="Compact"/>
              <w:jc w:val="left"/>
            </w:pPr>
            <w:r>
              <w:t xml:space="preserve">60-80%</w:t>
            </w:r>
          </w:p>
        </w:tc>
      </w:tr>
      <w:tr>
        <w:tc>
          <w:tcPr/>
          <w:p>
            <w:pPr>
              <w:pStyle w:val="Compact"/>
              <w:jc w:val="left"/>
            </w:pPr>
            <w:r>
              <w:t xml:space="preserve">辅助设备</w:t>
            </w:r>
          </w:p>
        </w:tc>
        <w:tc>
          <w:tcPr/>
          <w:p>
            <w:pPr>
              <w:pStyle w:val="Compact"/>
              <w:jc w:val="left"/>
            </w:pPr>
            <w:r>
              <w:t xml:space="preserve">中（数据采集器）</w:t>
            </w:r>
          </w:p>
        </w:tc>
        <w:tc>
          <w:tcPr/>
          <w:p>
            <w:pPr>
              <w:pStyle w:val="Compact"/>
              <w:jc w:val="left"/>
            </w:pPr>
            <w:r>
              <w:t xml:space="preserve">低（集成度高）</w:t>
            </w:r>
          </w:p>
        </w:tc>
        <w:tc>
          <w:tcPr/>
          <w:p>
            <w:pPr>
              <w:pStyle w:val="Compact"/>
              <w:jc w:val="left"/>
            </w:pPr>
            <w:r>
              <w:t xml:space="preserve">40-60%</w:t>
            </w:r>
          </w:p>
        </w:tc>
      </w:tr>
      <w:tr>
        <w:tc>
          <w:tcPr/>
          <w:p>
            <w:pPr>
              <w:pStyle w:val="Compact"/>
              <w:jc w:val="left"/>
            </w:pPr>
            <w:r>
              <w:rPr>
                <w:bCs/>
                <w:b/>
              </w:rPr>
              <w:t xml:space="preserve">合计</w:t>
            </w:r>
          </w:p>
        </w:tc>
        <w:tc>
          <w:tcPr/>
          <w:p>
            <w:pPr>
              <w:pStyle w:val="Compact"/>
              <w:jc w:val="left"/>
            </w:pPr>
            <w:r>
              <w:rPr>
                <w:bCs/>
                <w:b/>
              </w:rPr>
              <w:t xml:space="preserve">高</w:t>
            </w:r>
          </w:p>
        </w:tc>
        <w:tc>
          <w:tcPr/>
          <w:p>
            <w:pPr>
              <w:pStyle w:val="Compact"/>
              <w:jc w:val="left"/>
            </w:pPr>
            <w:r>
              <w:rPr>
                <w:bCs/>
                <w:b/>
              </w:rPr>
              <w:t xml:space="preserve">中低</w:t>
            </w:r>
          </w:p>
        </w:tc>
        <w:tc>
          <w:tcPr/>
          <w:p>
            <w:pPr>
              <w:pStyle w:val="Compact"/>
              <w:jc w:val="left"/>
            </w:pPr>
            <w:r>
              <w:rPr>
                <w:bCs/>
                <w:b/>
              </w:rPr>
              <w:t xml:space="preserve">40-60%</w:t>
            </w:r>
          </w:p>
        </w:tc>
      </w:tr>
    </w:tbl>
    <w:bookmarkEnd w:id="130"/>
    <w:bookmarkStart w:id="131" w:name="运营维护成本对比"/>
    <w:p>
      <w:pPr>
        <w:pStyle w:val="Heading4"/>
      </w:pPr>
      <w:r>
        <w:t xml:space="preserve">运营维护成本对比</w:t>
      </w:r>
    </w:p>
    <w:p>
      <w:pPr>
        <w:pStyle w:val="FirstParagraph"/>
      </w:pPr>
      <w:r>
        <w:rPr>
          <w:bCs/>
          <w:b/>
        </w:rPr>
        <w:t xml:space="preserve">表6-2：运营维护成本对比</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成本项目</w:t>
            </w:r>
          </w:p>
        </w:tc>
        <w:tc>
          <w:tcPr/>
          <w:p>
            <w:pPr>
              <w:pStyle w:val="Compact"/>
              <w:jc w:val="left"/>
            </w:pPr>
            <w:r>
              <w:t xml:space="preserve">传统传感器方案</w:t>
            </w:r>
          </w:p>
        </w:tc>
        <w:tc>
          <w:tcPr/>
          <w:p>
            <w:pPr>
              <w:pStyle w:val="Compact"/>
              <w:jc w:val="left"/>
            </w:pPr>
            <w:r>
              <w:t xml:space="preserve">视频跟踪仪方案</w:t>
            </w:r>
          </w:p>
        </w:tc>
        <w:tc>
          <w:tcPr/>
          <w:p>
            <w:pPr>
              <w:pStyle w:val="Compact"/>
              <w:jc w:val="left"/>
            </w:pPr>
            <w:r>
              <w:t xml:space="preserve">成本节约比例</w:t>
            </w:r>
          </w:p>
        </w:tc>
      </w:tr>
      <w:tr>
        <w:tc>
          <w:tcPr/>
          <w:p>
            <w:pPr>
              <w:pStyle w:val="Compact"/>
              <w:jc w:val="left"/>
            </w:pPr>
            <w:r>
              <w:t xml:space="preserve">定期校准</w:t>
            </w:r>
          </w:p>
        </w:tc>
        <w:tc>
          <w:tcPr/>
          <w:p>
            <w:pPr>
              <w:pStyle w:val="Compact"/>
              <w:jc w:val="left"/>
            </w:pPr>
            <w:r>
              <w:t xml:space="preserve">高（需现场校准）</w:t>
            </w:r>
          </w:p>
        </w:tc>
        <w:tc>
          <w:tcPr/>
          <w:p>
            <w:pPr>
              <w:pStyle w:val="Compact"/>
              <w:jc w:val="left"/>
            </w:pPr>
            <w:r>
              <w:t xml:space="preserve">低（软件校准）</w:t>
            </w:r>
          </w:p>
        </w:tc>
        <w:tc>
          <w:tcPr/>
          <w:p>
            <w:pPr>
              <w:pStyle w:val="Compact"/>
              <w:jc w:val="left"/>
            </w:pPr>
            <w:r>
              <w:t xml:space="preserve">70-80%</w:t>
            </w:r>
          </w:p>
        </w:tc>
      </w:tr>
      <w:tr>
        <w:tc>
          <w:tcPr/>
          <w:p>
            <w:pPr>
              <w:pStyle w:val="Compact"/>
              <w:jc w:val="left"/>
            </w:pPr>
            <w:r>
              <w:t xml:space="preserve">故障维修</w:t>
            </w:r>
          </w:p>
        </w:tc>
        <w:tc>
          <w:tcPr/>
          <w:p>
            <w:pPr>
              <w:pStyle w:val="Compact"/>
              <w:jc w:val="left"/>
            </w:pPr>
            <w:r>
              <w:t xml:space="preserve">高（传感器易损）</w:t>
            </w:r>
          </w:p>
        </w:tc>
        <w:tc>
          <w:tcPr/>
          <w:p>
            <w:pPr>
              <w:pStyle w:val="Compact"/>
              <w:jc w:val="left"/>
            </w:pPr>
            <w:r>
              <w:t xml:space="preserve">低（非接触耐用）</w:t>
            </w:r>
          </w:p>
        </w:tc>
        <w:tc>
          <w:tcPr/>
          <w:p>
            <w:pPr>
              <w:pStyle w:val="Compact"/>
              <w:jc w:val="left"/>
            </w:pPr>
            <w:r>
              <w:t xml:space="preserve">50-70%</w:t>
            </w:r>
          </w:p>
        </w:tc>
      </w:tr>
      <w:tr>
        <w:tc>
          <w:tcPr/>
          <w:p>
            <w:pPr>
              <w:pStyle w:val="Compact"/>
              <w:jc w:val="left"/>
            </w:pPr>
            <w:r>
              <w:t xml:space="preserve">数据维护</w:t>
            </w:r>
          </w:p>
        </w:tc>
        <w:tc>
          <w:tcPr/>
          <w:p>
            <w:pPr>
              <w:pStyle w:val="Compact"/>
              <w:jc w:val="left"/>
            </w:pPr>
            <w:r>
              <w:t xml:space="preserve">中（需专业维护）</w:t>
            </w:r>
          </w:p>
        </w:tc>
        <w:tc>
          <w:tcPr/>
          <w:p>
            <w:pPr>
              <w:pStyle w:val="Compact"/>
              <w:jc w:val="left"/>
            </w:pPr>
            <w:r>
              <w:t xml:space="preserve">低（自动上传）</w:t>
            </w:r>
          </w:p>
        </w:tc>
        <w:tc>
          <w:tcPr/>
          <w:p>
            <w:pPr>
              <w:pStyle w:val="Compact"/>
              <w:jc w:val="left"/>
            </w:pPr>
            <w:r>
              <w:t xml:space="preserve">60-80%</w:t>
            </w:r>
          </w:p>
        </w:tc>
      </w:tr>
      <w:tr>
        <w:tc>
          <w:tcPr/>
          <w:p>
            <w:pPr>
              <w:pStyle w:val="Compact"/>
              <w:jc w:val="left"/>
            </w:pPr>
            <w:r>
              <w:rPr>
                <w:bCs/>
                <w:b/>
              </w:rPr>
              <w:t xml:space="preserve">年维护成本</w:t>
            </w:r>
          </w:p>
        </w:tc>
        <w:tc>
          <w:tcPr/>
          <w:p>
            <w:pPr>
              <w:pStyle w:val="Compact"/>
              <w:jc w:val="left"/>
            </w:pPr>
            <w:r>
              <w:rPr>
                <w:bCs/>
                <w:b/>
              </w:rPr>
              <w:t xml:space="preserve">设备价值15-20%</w:t>
            </w:r>
          </w:p>
        </w:tc>
        <w:tc>
          <w:tcPr/>
          <w:p>
            <w:pPr>
              <w:pStyle w:val="Compact"/>
              <w:jc w:val="left"/>
            </w:pPr>
            <w:r>
              <w:rPr>
                <w:bCs/>
                <w:b/>
              </w:rPr>
              <w:t xml:space="preserve">设备价值5-8%</w:t>
            </w:r>
          </w:p>
        </w:tc>
        <w:tc>
          <w:tcPr/>
          <w:p>
            <w:pPr>
              <w:pStyle w:val="Compact"/>
              <w:jc w:val="left"/>
            </w:pPr>
            <w:r>
              <w:rPr>
                <w:bCs/>
                <w:b/>
              </w:rPr>
              <w:t xml:space="preserve">60-70%</w:t>
            </w:r>
          </w:p>
        </w:tc>
      </w:tr>
    </w:tbl>
    <w:bookmarkEnd w:id="131"/>
    <w:bookmarkStart w:id="132" w:name="全生命周期成本分析"/>
    <w:p>
      <w:pPr>
        <w:pStyle w:val="Heading4"/>
      </w:pPr>
      <w:r>
        <w:t xml:space="preserve">全生命周期成本分析</w:t>
      </w:r>
    </w:p>
    <w:p>
      <w:pPr>
        <w:pStyle w:val="FirstParagraph"/>
      </w:pPr>
      <w:r>
        <w:t xml:space="preserve">以一座中型桥梁监测项目为例，监测周期10年：</w:t>
      </w:r>
      <w:r>
        <w:t xml:space="preserve"> </w:t>
      </w:r>
      <w:r>
        <w:t xml:space="preserve">-</w:t>
      </w:r>
      <w:r>
        <w:t xml:space="preserve"> </w:t>
      </w:r>
      <w:r>
        <w:rPr>
          <w:bCs/>
          <w:b/>
        </w:rPr>
        <w:t xml:space="preserve">传统传感器方案</w:t>
      </w:r>
      <w:r>
        <w:t xml:space="preserve">：初始投资120万元，年维护费用18万元，10年总成本=120+18×10=300万元</w:t>
      </w:r>
      <w:r>
        <w:t xml:space="preserve"> </w:t>
      </w:r>
      <w:r>
        <w:t xml:space="preserve">-</w:t>
      </w:r>
      <w:r>
        <w:t xml:space="preserve"> </w:t>
      </w:r>
      <w:r>
        <w:rPr>
          <w:bCs/>
          <w:b/>
        </w:rPr>
        <w:t xml:space="preserve">视频跟踪仪方案</w:t>
      </w:r>
      <w:r>
        <w:t xml:space="preserve">：初始投资70万元，年维护费用5.6万元，10年总成本=70+5.6×10=126万元</w:t>
      </w:r>
      <w:r>
        <w:t xml:space="preserve"> </w:t>
      </w:r>
      <w:r>
        <w:t xml:space="preserve">-</w:t>
      </w:r>
      <w:r>
        <w:t xml:space="preserve"> </w:t>
      </w:r>
      <w:r>
        <w:rPr>
          <w:bCs/>
          <w:b/>
        </w:rPr>
        <w:t xml:space="preserve">成本节约</w:t>
      </w:r>
      <w:r>
        <w:t xml:space="preserve">：300-126=174万元，节约比例58%</w:t>
      </w:r>
    </w:p>
    <w:bookmarkEnd w:id="132"/>
    <w:bookmarkEnd w:id="133"/>
    <w:bookmarkStart w:id="136" w:name="产品优势分析"/>
    <w:p>
      <w:pPr>
        <w:pStyle w:val="4"/>
      </w:pPr>
      <w:r>
        <w:t xml:space="preserve">6.4.2 产品优势分析</w:t>
      </w:r>
    </w:p>
    <w:p>
      <w:pPr>
        <w:pStyle w:val="FirstParagraph"/>
      </w:pPr>
      <w:r>
        <w:t xml:space="preserve">视频跟踪仪在产品性能和技术先进性方面具有明显优势：</w:t>
      </w:r>
    </w:p>
    <w:bookmarkStart w:id="134" w:name="技术性能优势"/>
    <w:p>
      <w:pPr>
        <w:pStyle w:val="Heading4"/>
      </w:pPr>
      <w:r>
        <w:t xml:space="preserve">技术性能优势</w:t>
      </w:r>
    </w:p>
    <w:p>
      <w:pPr>
        <w:numPr>
          <w:ilvl w:val="0"/>
          <w:numId w:val="1015"/>
        </w:numPr>
        <w:pStyle w:val="Compact"/>
      </w:pPr>
      <w:r>
        <w:rPr>
          <w:bCs/>
          <w:b/>
        </w:rPr>
        <w:t xml:space="preserve">测量精度</w:t>
      </w:r>
      <w:r>
        <w:t xml:space="preserve">：亚像素级精度（0.01像素），优于传统传感器的0.1%FS精度</w:t>
      </w:r>
    </w:p>
    <w:p>
      <w:pPr>
        <w:numPr>
          <w:ilvl w:val="0"/>
          <w:numId w:val="1015"/>
        </w:numPr>
        <w:pStyle w:val="Compact"/>
      </w:pPr>
      <w:r>
        <w:rPr>
          <w:bCs/>
          <w:b/>
        </w:rPr>
        <w:t xml:space="preserve">测量范围</w:t>
      </w:r>
      <w:r>
        <w:t xml:space="preserve">：单点可同时测量二维位移，传统传感器多为单方向测量</w:t>
      </w:r>
    </w:p>
    <w:p>
      <w:pPr>
        <w:numPr>
          <w:ilvl w:val="0"/>
          <w:numId w:val="1015"/>
        </w:numPr>
        <w:pStyle w:val="Compact"/>
      </w:pPr>
      <w:r>
        <w:rPr>
          <w:bCs/>
          <w:b/>
        </w:rPr>
        <w:t xml:space="preserve">采样频率</w:t>
      </w:r>
      <w:r>
        <w:t xml:space="preserve">：最高可达1000Hz，满足动态监测需求</w:t>
      </w:r>
    </w:p>
    <w:p>
      <w:pPr>
        <w:numPr>
          <w:ilvl w:val="0"/>
          <w:numId w:val="1015"/>
        </w:numPr>
        <w:pStyle w:val="Compact"/>
      </w:pPr>
      <w:r>
        <w:rPr>
          <w:bCs/>
          <w:b/>
        </w:rPr>
        <w:t xml:space="preserve">环境适应性</w:t>
      </w:r>
      <w:r>
        <w:t xml:space="preserve">：-20℃~60℃工作温度，IP67防护等级</w:t>
      </w:r>
    </w:p>
    <w:bookmarkEnd w:id="134"/>
    <w:bookmarkStart w:id="135" w:name="功能集成优势"/>
    <w:p>
      <w:pPr>
        <w:pStyle w:val="Heading4"/>
      </w:pPr>
      <w:r>
        <w:t xml:space="preserve">功能集成优势</w:t>
      </w:r>
    </w:p>
    <w:p>
      <w:pPr>
        <w:numPr>
          <w:ilvl w:val="0"/>
          <w:numId w:val="1016"/>
        </w:numPr>
        <w:pStyle w:val="Compact"/>
      </w:pPr>
      <w:r>
        <w:rPr>
          <w:bCs/>
          <w:b/>
        </w:rPr>
        <w:t xml:space="preserve">多参数测量</w:t>
      </w:r>
      <w:r>
        <w:t xml:space="preserve">：同时监测位移、振动频率、振幅等多个参数</w:t>
      </w:r>
    </w:p>
    <w:p>
      <w:pPr>
        <w:numPr>
          <w:ilvl w:val="0"/>
          <w:numId w:val="1016"/>
        </w:numPr>
        <w:pStyle w:val="Compact"/>
      </w:pPr>
      <w:r>
        <w:rPr>
          <w:bCs/>
          <w:b/>
        </w:rPr>
        <w:t xml:space="preserve">智能分析</w:t>
      </w:r>
      <w:r>
        <w:t xml:space="preserve">：内置AI算法，自动识别异常和预警</w:t>
      </w:r>
    </w:p>
    <w:p>
      <w:pPr>
        <w:numPr>
          <w:ilvl w:val="0"/>
          <w:numId w:val="1016"/>
        </w:numPr>
        <w:pStyle w:val="Compact"/>
      </w:pPr>
      <w:r>
        <w:rPr>
          <w:bCs/>
          <w:b/>
        </w:rPr>
        <w:t xml:space="preserve">云平台集成</w:t>
      </w:r>
      <w:r>
        <w:t xml:space="preserve">：支持数据实时上传和远程监控</w:t>
      </w:r>
    </w:p>
    <w:p>
      <w:pPr>
        <w:numPr>
          <w:ilvl w:val="0"/>
          <w:numId w:val="1016"/>
        </w:numPr>
        <w:pStyle w:val="Compact"/>
      </w:pPr>
      <w:r>
        <w:rPr>
          <w:bCs/>
          <w:b/>
        </w:rPr>
        <w:t xml:space="preserve">扩展性强</w:t>
      </w:r>
      <w:r>
        <w:t xml:space="preserve">：支持多设备组网和系统集成</w:t>
      </w:r>
    </w:p>
    <w:bookmarkEnd w:id="135"/>
    <w:bookmarkEnd w:id="136"/>
    <w:bookmarkStart w:id="140" w:name="商业模式优化策略"/>
    <w:p>
      <w:pPr>
        <w:pStyle w:val="4"/>
      </w:pPr>
      <w:r>
        <w:t xml:space="preserve">6.4.3 商业模式优化策略</w:t>
      </w:r>
    </w:p>
    <w:p>
      <w:pPr>
        <w:pStyle w:val="FirstParagraph"/>
      </w:pPr>
      <w:r>
        <w:t xml:space="preserve">基于成本优势和产品优势，HSM可以构建以下商业模式优化策略：</w:t>
      </w:r>
    </w:p>
    <w:bookmarkStart w:id="137" w:name="产品标准化与模块化"/>
    <w:p>
      <w:pPr>
        <w:pStyle w:val="Heading4"/>
      </w:pPr>
      <w:r>
        <w:t xml:space="preserve">产品标准化与模块化</w:t>
      </w:r>
    </w:p>
    <w:p>
      <w:pPr>
        <w:numPr>
          <w:ilvl w:val="0"/>
          <w:numId w:val="1017"/>
        </w:numPr>
        <w:pStyle w:val="Compact"/>
      </w:pPr>
      <w:r>
        <w:rPr>
          <w:bCs/>
          <w:b/>
        </w:rPr>
        <w:t xml:space="preserve">标准化产品系列</w:t>
      </w:r>
      <w:r>
        <w:t xml:space="preserve">：开发针对不同应用场景的标准化产品，降低定制化成本</w:t>
      </w:r>
    </w:p>
    <w:p>
      <w:pPr>
        <w:numPr>
          <w:ilvl w:val="0"/>
          <w:numId w:val="1017"/>
        </w:numPr>
        <w:pStyle w:val="Compact"/>
      </w:pPr>
      <w:r>
        <w:rPr>
          <w:bCs/>
          <w:b/>
        </w:rPr>
        <w:t xml:space="preserve">模块化设计</w:t>
      </w:r>
      <w:r>
        <w:t xml:space="preserve">：硬件和软件模块化，便于快速配置和部署</w:t>
      </w:r>
    </w:p>
    <w:p>
      <w:pPr>
        <w:numPr>
          <w:ilvl w:val="0"/>
          <w:numId w:val="1017"/>
        </w:numPr>
        <w:pStyle w:val="Compact"/>
      </w:pPr>
      <w:r>
        <w:rPr>
          <w:bCs/>
          <w:b/>
        </w:rPr>
        <w:t xml:space="preserve">平台化架构</w:t>
      </w:r>
      <w:r>
        <w:t xml:space="preserve">：构建统一的监测云平台，支持多设备接入和数据整合</w:t>
      </w:r>
    </w:p>
    <w:bookmarkEnd w:id="137"/>
    <w:bookmarkStart w:id="138" w:name="服务模式创新"/>
    <w:p>
      <w:pPr>
        <w:pStyle w:val="Heading4"/>
      </w:pPr>
      <w:r>
        <w:t xml:space="preserve">服务模式创新</w:t>
      </w:r>
    </w:p>
    <w:p>
      <w:pPr>
        <w:numPr>
          <w:ilvl w:val="0"/>
          <w:numId w:val="1018"/>
        </w:numPr>
        <w:pStyle w:val="Compact"/>
      </w:pPr>
      <w:r>
        <w:rPr>
          <w:bCs/>
          <w:b/>
        </w:rPr>
        <w:t xml:space="preserve">监测即服务（MaaS）</w:t>
      </w:r>
      <w:r>
        <w:t xml:space="preserve">：提供按需付费的监测服务，降低客户初始投资</w:t>
      </w:r>
    </w:p>
    <w:p>
      <w:pPr>
        <w:numPr>
          <w:ilvl w:val="0"/>
          <w:numId w:val="1018"/>
        </w:numPr>
        <w:pStyle w:val="Compact"/>
      </w:pPr>
      <w:r>
        <w:rPr>
          <w:bCs/>
          <w:b/>
        </w:rPr>
        <w:t xml:space="preserve">数据增值服务</w:t>
      </w:r>
      <w:r>
        <w:t xml:space="preserve">：基于监测数据提供分析报告、预警服务等增值服务</w:t>
      </w:r>
    </w:p>
    <w:p>
      <w:pPr>
        <w:numPr>
          <w:ilvl w:val="0"/>
          <w:numId w:val="1018"/>
        </w:numPr>
        <w:pStyle w:val="Compact"/>
      </w:pPr>
      <w:r>
        <w:rPr>
          <w:bCs/>
          <w:b/>
        </w:rPr>
        <w:t xml:space="preserve">运维外包服务</w:t>
      </w:r>
      <w:r>
        <w:t xml:space="preserve">：提供专业的设备运维和数据管理服务</w:t>
      </w:r>
    </w:p>
    <w:bookmarkEnd w:id="138"/>
    <w:bookmarkStart w:id="139" w:name="合作伙伴生态建设"/>
    <w:p>
      <w:pPr>
        <w:pStyle w:val="Heading4"/>
      </w:pPr>
      <w:r>
        <w:t xml:space="preserve">合作伙伴生态建设</w:t>
      </w:r>
    </w:p>
    <w:p>
      <w:pPr>
        <w:numPr>
          <w:ilvl w:val="0"/>
          <w:numId w:val="1019"/>
        </w:numPr>
        <w:pStyle w:val="Compact"/>
      </w:pPr>
      <w:r>
        <w:rPr>
          <w:bCs/>
          <w:b/>
        </w:rPr>
        <w:t xml:space="preserve">系统集成商合作</w:t>
      </w:r>
      <w:r>
        <w:t xml:space="preserve">：与行业系统集成商建立深度合作，共同拓展市场</w:t>
      </w:r>
    </w:p>
    <w:p>
      <w:pPr>
        <w:numPr>
          <w:ilvl w:val="0"/>
          <w:numId w:val="1019"/>
        </w:numPr>
        <w:pStyle w:val="Compact"/>
      </w:pPr>
      <w:r>
        <w:rPr>
          <w:bCs/>
          <w:b/>
        </w:rPr>
        <w:t xml:space="preserve">地区合作伙伴</w:t>
      </w:r>
      <w:r>
        <w:t xml:space="preserve">：发展地区合作伙伴，提供本地化服务支持</w:t>
      </w:r>
    </w:p>
    <w:p>
      <w:pPr>
        <w:numPr>
          <w:ilvl w:val="0"/>
          <w:numId w:val="1019"/>
        </w:numPr>
        <w:pStyle w:val="Compact"/>
      </w:pPr>
      <w:r>
        <w:rPr>
          <w:bCs/>
          <w:b/>
        </w:rPr>
        <w:t xml:space="preserve">产学研合作</w:t>
      </w:r>
      <w:r>
        <w:t xml:space="preserve">：与高校、科研院所合作，推动技术创新和标准制定</w:t>
      </w:r>
    </w:p>
    <w:bookmarkEnd w:id="139"/>
    <w:bookmarkEnd w:id="140"/>
    <w:bookmarkEnd w:id="141"/>
    <w:bookmarkStart w:id="145" w:name="长期战略合作伙伴关系构建"/>
    <w:p>
      <w:pPr>
        <w:pStyle w:val="3"/>
      </w:pPr>
      <w:r>
        <w:t xml:space="preserve">6.5 长期战略合作伙伴关系构建</w:t>
      </w:r>
    </w:p>
    <w:bookmarkStart w:id="142" w:name="合作伙伴选择标准"/>
    <w:p>
      <w:pPr>
        <w:pStyle w:val="4"/>
      </w:pPr>
      <w:r>
        <w:t xml:space="preserve">6.5.1 合作伙伴选择标准</w:t>
      </w:r>
    </w:p>
    <w:p>
      <w:pPr>
        <w:pStyle w:val="FirstParagraph"/>
      </w:pPr>
      <w:r>
        <w:t xml:space="preserve">基于视频跟踪仪行业特点，HSM应建立以下合作伙伴选择标准：</w:t>
      </w:r>
    </w:p>
    <w:p>
      <w:pPr>
        <w:numPr>
          <w:ilvl w:val="0"/>
          <w:numId w:val="1020"/>
        </w:numPr>
        <w:pStyle w:val="Compact"/>
      </w:pPr>
      <w:r>
        <w:rPr>
          <w:bCs/>
          <w:b/>
        </w:rPr>
        <w:t xml:space="preserve">技术能力</w:t>
      </w:r>
      <w:r>
        <w:t xml:space="preserve">：具备一定的技术实施和运维能力</w:t>
      </w:r>
    </w:p>
    <w:p>
      <w:pPr>
        <w:numPr>
          <w:ilvl w:val="0"/>
          <w:numId w:val="1020"/>
        </w:numPr>
        <w:pStyle w:val="Compact"/>
      </w:pPr>
      <w:r>
        <w:rPr>
          <w:bCs/>
          <w:b/>
        </w:rPr>
        <w:t xml:space="preserve">行业经验</w:t>
      </w:r>
      <w:r>
        <w:t xml:space="preserve">：在基础设施监测领域有项目经验</w:t>
      </w:r>
    </w:p>
    <w:p>
      <w:pPr>
        <w:numPr>
          <w:ilvl w:val="0"/>
          <w:numId w:val="1020"/>
        </w:numPr>
        <w:pStyle w:val="Compact"/>
      </w:pPr>
      <w:r>
        <w:rPr>
          <w:bCs/>
          <w:b/>
        </w:rPr>
        <w:t xml:space="preserve">市场覆盖</w:t>
      </w:r>
      <w:r>
        <w:t xml:space="preserve">：在特定区域或行业有市场资源</w:t>
      </w:r>
    </w:p>
    <w:p>
      <w:pPr>
        <w:numPr>
          <w:ilvl w:val="0"/>
          <w:numId w:val="1020"/>
        </w:numPr>
        <w:pStyle w:val="Compact"/>
      </w:pPr>
      <w:r>
        <w:rPr>
          <w:bCs/>
          <w:b/>
        </w:rPr>
        <w:t xml:space="preserve">资金实力</w:t>
      </w:r>
      <w:r>
        <w:t xml:space="preserve">：能够承担项目垫资和设备投入</w:t>
      </w:r>
    </w:p>
    <w:p>
      <w:pPr>
        <w:numPr>
          <w:ilvl w:val="0"/>
          <w:numId w:val="1020"/>
        </w:numPr>
        <w:pStyle w:val="Compact"/>
      </w:pPr>
      <w:r>
        <w:rPr>
          <w:bCs/>
          <w:b/>
        </w:rPr>
        <w:t xml:space="preserve">合作意愿</w:t>
      </w:r>
      <w:r>
        <w:t xml:space="preserve">：认同长期合作、共赢发展的理念</w:t>
      </w:r>
    </w:p>
    <w:bookmarkEnd w:id="142"/>
    <w:bookmarkStart w:id="143" w:name="合作伙伴分级管理"/>
    <w:p>
      <w:pPr>
        <w:pStyle w:val="4"/>
      </w:pPr>
      <w:r>
        <w:t xml:space="preserve">6.5.2 合作伙伴分级管理</w:t>
      </w:r>
    </w:p>
    <w:p>
      <w:pPr>
        <w:pStyle w:val="FirstParagraph"/>
      </w:pPr>
      <w:r>
        <w:t xml:space="preserve">建立金牌、银牌、铜牌三级合作伙伴管理体系：</w:t>
      </w:r>
    </w:p>
    <w:p>
      <w:pPr>
        <w:pStyle w:val="BodyText"/>
      </w:pPr>
      <w:r>
        <w:rPr>
          <w:bCs/>
          <w:b/>
        </w:rPr>
        <w:t xml:space="preserve">表6-3：合作伙伴分级管理体系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等级</w:t>
            </w:r>
          </w:p>
        </w:tc>
        <w:tc>
          <w:tcPr/>
          <w:p>
            <w:pPr>
              <w:pStyle w:val="Compact"/>
              <w:jc w:val="left"/>
            </w:pPr>
            <w:r>
              <w:t xml:space="preserve">技术能力要求</w:t>
            </w:r>
          </w:p>
        </w:tc>
        <w:tc>
          <w:tcPr/>
          <w:p>
            <w:pPr>
              <w:pStyle w:val="Compact"/>
              <w:jc w:val="left"/>
            </w:pPr>
            <w:r>
              <w:t xml:space="preserve">年项目能力</w:t>
            </w:r>
          </w:p>
        </w:tc>
        <w:tc>
          <w:tcPr/>
          <w:p>
            <w:pPr>
              <w:pStyle w:val="Compact"/>
              <w:jc w:val="left"/>
            </w:pPr>
            <w:r>
              <w:t xml:space="preserve">支持政策</w:t>
            </w:r>
          </w:p>
        </w:tc>
        <w:tc>
          <w:tcPr/>
          <w:p>
            <w:pPr>
              <w:pStyle w:val="Compact"/>
              <w:jc w:val="left"/>
            </w:pPr>
            <w:r>
              <w:t xml:space="preserve">利润分成</w:t>
            </w:r>
          </w:p>
        </w:tc>
      </w:tr>
      <w:tr>
        <w:tc>
          <w:tcPr/>
          <w:p>
            <w:pPr>
              <w:pStyle w:val="Compact"/>
              <w:jc w:val="left"/>
            </w:pPr>
            <w:r>
              <w:t xml:space="preserve">金牌</w:t>
            </w:r>
          </w:p>
        </w:tc>
        <w:tc>
          <w:tcPr/>
          <w:p>
            <w:pPr>
              <w:pStyle w:val="Compact"/>
              <w:jc w:val="left"/>
            </w:pPr>
            <w:r>
              <w:t xml:space="preserve">自有研发团队</w:t>
            </w:r>
          </w:p>
        </w:tc>
        <w:tc>
          <w:tcPr/>
          <w:p>
            <w:pPr>
              <w:pStyle w:val="Compact"/>
              <w:jc w:val="left"/>
            </w:pPr>
            <w:r>
              <w:t xml:space="preserve">10个以上</w:t>
            </w:r>
          </w:p>
        </w:tc>
        <w:tc>
          <w:tcPr/>
          <w:p>
            <w:pPr>
              <w:pStyle w:val="Compact"/>
              <w:jc w:val="left"/>
            </w:pPr>
            <w:r>
              <w:t xml:space="preserve">全方位支持</w:t>
            </w:r>
          </w:p>
        </w:tc>
        <w:tc>
          <w:tcPr/>
          <w:p>
            <w:pPr>
              <w:pStyle w:val="Compact"/>
              <w:jc w:val="left"/>
            </w:pPr>
            <w:r>
              <w:t xml:space="preserve">优惠供货价+项目分成</w:t>
            </w:r>
          </w:p>
        </w:tc>
      </w:tr>
      <w:tr>
        <w:tc>
          <w:tcPr/>
          <w:p>
            <w:pPr>
              <w:pStyle w:val="Compact"/>
              <w:jc w:val="left"/>
            </w:pPr>
            <w:r>
              <w:t xml:space="preserve">银牌</w:t>
            </w:r>
          </w:p>
        </w:tc>
        <w:tc>
          <w:tcPr/>
          <w:p>
            <w:pPr>
              <w:pStyle w:val="Compact"/>
              <w:jc w:val="left"/>
            </w:pPr>
            <w:r>
              <w:t xml:space="preserve">技术实施团队</w:t>
            </w:r>
          </w:p>
        </w:tc>
        <w:tc>
          <w:tcPr/>
          <w:p>
            <w:pPr>
              <w:pStyle w:val="Compact"/>
              <w:jc w:val="left"/>
            </w:pPr>
            <w:r>
              <w:t xml:space="preserve">5-10个</w:t>
            </w:r>
          </w:p>
        </w:tc>
        <w:tc>
          <w:tcPr/>
          <w:p>
            <w:pPr>
              <w:pStyle w:val="Compact"/>
              <w:jc w:val="left"/>
            </w:pPr>
            <w:r>
              <w:t xml:space="preserve">重点支持</w:t>
            </w:r>
          </w:p>
        </w:tc>
        <w:tc>
          <w:tcPr/>
          <w:p>
            <w:pPr>
              <w:pStyle w:val="Compact"/>
              <w:jc w:val="left"/>
            </w:pPr>
            <w:r>
              <w:t xml:space="preserve">优惠供货价</w:t>
            </w:r>
          </w:p>
        </w:tc>
      </w:tr>
      <w:tr>
        <w:tc>
          <w:tcPr/>
          <w:p>
            <w:pPr>
              <w:pStyle w:val="Compact"/>
              <w:jc w:val="left"/>
            </w:pPr>
            <w:r>
              <w:t xml:space="preserve">铜牌</w:t>
            </w:r>
          </w:p>
        </w:tc>
        <w:tc>
          <w:tcPr/>
          <w:p>
            <w:pPr>
              <w:pStyle w:val="Compact"/>
              <w:jc w:val="left"/>
            </w:pPr>
            <w:r>
              <w:t xml:space="preserve">基础技术能力</w:t>
            </w:r>
          </w:p>
        </w:tc>
        <w:tc>
          <w:tcPr/>
          <w:p>
            <w:pPr>
              <w:pStyle w:val="Compact"/>
              <w:jc w:val="left"/>
            </w:pPr>
            <w:r>
              <w:t xml:space="preserve">1-5个</w:t>
            </w:r>
          </w:p>
        </w:tc>
        <w:tc>
          <w:tcPr/>
          <w:p>
            <w:pPr>
              <w:pStyle w:val="Compact"/>
              <w:jc w:val="left"/>
            </w:pPr>
            <w:r>
              <w:t xml:space="preserve">基础支持</w:t>
            </w:r>
          </w:p>
        </w:tc>
        <w:tc>
          <w:tcPr/>
          <w:p>
            <w:pPr>
              <w:pStyle w:val="Compact"/>
              <w:jc w:val="left"/>
            </w:pPr>
            <w:r>
              <w:t xml:space="preserve">标准供货价</w:t>
            </w:r>
          </w:p>
        </w:tc>
      </w:tr>
    </w:tbl>
    <w:bookmarkEnd w:id="143"/>
    <w:bookmarkStart w:id="144" w:name="合作模式设计"/>
    <w:p>
      <w:pPr>
        <w:pStyle w:val="4"/>
      </w:pPr>
      <w:r>
        <w:t xml:space="preserve">6.5.3 合作模式设计</w:t>
      </w:r>
    </w:p>
    <w:p>
      <w:pPr>
        <w:numPr>
          <w:ilvl w:val="0"/>
          <w:numId w:val="1021"/>
        </w:numPr>
        <w:pStyle w:val="Compact"/>
      </w:pPr>
      <w:r>
        <w:rPr>
          <w:bCs/>
          <w:b/>
        </w:rPr>
        <w:t xml:space="preserve">设备供应模式</w:t>
      </w:r>
      <w:r>
        <w:t xml:space="preserve">：合作伙伴采购设备，自主实施项目</w:t>
      </w:r>
    </w:p>
    <w:p>
      <w:pPr>
        <w:numPr>
          <w:ilvl w:val="0"/>
          <w:numId w:val="1021"/>
        </w:numPr>
        <w:pStyle w:val="Compact"/>
      </w:pPr>
      <w:r>
        <w:rPr>
          <w:bCs/>
          <w:b/>
        </w:rPr>
        <w:t xml:space="preserve">技术合作模式</w:t>
      </w:r>
      <w:r>
        <w:t xml:space="preserve">：HSM提供技术方案，合作伙伴负责实施</w:t>
      </w:r>
    </w:p>
    <w:p>
      <w:pPr>
        <w:numPr>
          <w:ilvl w:val="0"/>
          <w:numId w:val="1021"/>
        </w:numPr>
        <w:pStyle w:val="Compact"/>
      </w:pPr>
      <w:r>
        <w:rPr>
          <w:bCs/>
          <w:b/>
        </w:rPr>
        <w:t xml:space="preserve">联合投标模式</w:t>
      </w:r>
      <w:r>
        <w:t xml:space="preserve">：双方联合投标大型项目，分工协作</w:t>
      </w:r>
    </w:p>
    <w:p>
      <w:pPr>
        <w:numPr>
          <w:ilvl w:val="0"/>
          <w:numId w:val="1021"/>
        </w:numPr>
        <w:pStyle w:val="Compact"/>
      </w:pPr>
      <w:r>
        <w:rPr>
          <w:bCs/>
          <w:b/>
        </w:rPr>
        <w:t xml:space="preserve">服务分包模式</w:t>
      </w:r>
      <w:r>
        <w:t xml:space="preserve">：HSM承接项目，将部分服务分包给合作伙伴</w:t>
      </w:r>
    </w:p>
    <w:bookmarkEnd w:id="144"/>
    <w:bookmarkEnd w:id="145"/>
    <w:bookmarkStart w:id="149" w:name="市场拓展策略与实施路径"/>
    <w:p>
      <w:pPr>
        <w:pStyle w:val="3"/>
      </w:pPr>
      <w:r>
        <w:t xml:space="preserve">6.6 市场拓展策略与实施路径</w:t>
      </w:r>
    </w:p>
    <w:bookmarkStart w:id="146" w:name="重点市场选择"/>
    <w:p>
      <w:pPr>
        <w:pStyle w:val="4"/>
      </w:pPr>
      <w:r>
        <w:t xml:space="preserve">6.6.1 重点市场选择</w:t>
      </w:r>
    </w:p>
    <w:p>
      <w:pPr>
        <w:pStyle w:val="FirstParagraph"/>
      </w:pPr>
      <w:r>
        <w:t xml:space="preserve">基于市场分析和竞争优势，HSM应聚焦以下重点市场：</w:t>
      </w:r>
    </w:p>
    <w:p>
      <w:pPr>
        <w:numPr>
          <w:ilvl w:val="0"/>
          <w:numId w:val="1022"/>
        </w:numPr>
        <w:pStyle w:val="Compact"/>
      </w:pPr>
      <w:r>
        <w:rPr>
          <w:bCs/>
          <w:b/>
        </w:rPr>
        <w:t xml:space="preserve">桥梁监测市场</w:t>
      </w:r>
      <w:r>
        <w:t xml:space="preserve">：政策驱动明显，市场需求稳定</w:t>
      </w:r>
    </w:p>
    <w:p>
      <w:pPr>
        <w:numPr>
          <w:ilvl w:val="0"/>
          <w:numId w:val="1022"/>
        </w:numPr>
        <w:pStyle w:val="Compact"/>
      </w:pPr>
      <w:r>
        <w:rPr>
          <w:bCs/>
          <w:b/>
        </w:rPr>
        <w:t xml:space="preserve">隧道监测市场</w:t>
      </w:r>
      <w:r>
        <w:t xml:space="preserve">：新建项目多，技术替代空间大</w:t>
      </w:r>
    </w:p>
    <w:p>
      <w:pPr>
        <w:numPr>
          <w:ilvl w:val="0"/>
          <w:numId w:val="1022"/>
        </w:numPr>
        <w:pStyle w:val="Compact"/>
      </w:pPr>
      <w:r>
        <w:rPr>
          <w:bCs/>
          <w:b/>
        </w:rPr>
        <w:t xml:space="preserve">边坡监测市场</w:t>
      </w:r>
      <w:r>
        <w:t xml:space="preserve">：安全监管趋严，市场需求增长快</w:t>
      </w:r>
    </w:p>
    <w:p>
      <w:pPr>
        <w:numPr>
          <w:ilvl w:val="0"/>
          <w:numId w:val="1022"/>
        </w:numPr>
        <w:pStyle w:val="Compact"/>
      </w:pPr>
      <w:r>
        <w:rPr>
          <w:bCs/>
          <w:b/>
        </w:rPr>
        <w:t xml:space="preserve">城市生命线监测</w:t>
      </w:r>
      <w:r>
        <w:t xml:space="preserve">：智慧城市建设推动，市场潜力大</w:t>
      </w:r>
    </w:p>
    <w:bookmarkEnd w:id="146"/>
    <w:bookmarkStart w:id="147" w:name="市场进入策略"/>
    <w:p>
      <w:pPr>
        <w:pStyle w:val="4"/>
      </w:pPr>
      <w:r>
        <w:t xml:space="preserve">6.6.2 市场进入策略</w:t>
      </w:r>
    </w:p>
    <w:p>
      <w:pPr>
        <w:numPr>
          <w:ilvl w:val="0"/>
          <w:numId w:val="1023"/>
        </w:numPr>
        <w:pStyle w:val="Compact"/>
      </w:pPr>
      <w:r>
        <w:rPr>
          <w:bCs/>
          <w:b/>
        </w:rPr>
        <w:t xml:space="preserve">示范项目先行</w:t>
      </w:r>
      <w:r>
        <w:t xml:space="preserve">：在重点区域建设示范项目，树立行业标杆</w:t>
      </w:r>
    </w:p>
    <w:p>
      <w:pPr>
        <w:numPr>
          <w:ilvl w:val="0"/>
          <w:numId w:val="1023"/>
        </w:numPr>
        <w:pStyle w:val="Compact"/>
      </w:pPr>
      <w:r>
        <w:rPr>
          <w:bCs/>
          <w:b/>
        </w:rPr>
        <w:t xml:space="preserve">标准参与推动</w:t>
      </w:r>
      <w:r>
        <w:t xml:space="preserve">：参与行业标准制定，提升行业影响力</w:t>
      </w:r>
    </w:p>
    <w:p>
      <w:pPr>
        <w:numPr>
          <w:ilvl w:val="0"/>
          <w:numId w:val="1023"/>
        </w:numPr>
        <w:pStyle w:val="Compact"/>
      </w:pPr>
      <w:r>
        <w:rPr>
          <w:bCs/>
          <w:b/>
        </w:rPr>
        <w:t xml:space="preserve">政策对接跟进</w:t>
      </w:r>
      <w:r>
        <w:t xml:space="preserve">：密切关注政策动向，及时调整市场策略</w:t>
      </w:r>
    </w:p>
    <w:p>
      <w:pPr>
        <w:numPr>
          <w:ilvl w:val="0"/>
          <w:numId w:val="1023"/>
        </w:numPr>
        <w:pStyle w:val="Compact"/>
      </w:pPr>
      <w:r>
        <w:rPr>
          <w:bCs/>
          <w:b/>
        </w:rPr>
        <w:t xml:space="preserve">生态合作拓展</w:t>
      </w:r>
      <w:r>
        <w:t xml:space="preserve">：与设计院、施工单位、运营单位等建立合作关系</w:t>
      </w:r>
    </w:p>
    <w:bookmarkEnd w:id="147"/>
    <w:bookmarkStart w:id="148" w:name="实施时间规划"/>
    <w:p>
      <w:pPr>
        <w:pStyle w:val="4"/>
      </w:pPr>
      <w:r>
        <w:t xml:space="preserve">6.6.3 实施时间规划</w:t>
      </w:r>
    </w:p>
    <w:p>
      <w:pPr>
        <w:pStyle w:val="FirstParagraph"/>
      </w:pPr>
      <w:r>
        <w:rPr>
          <w:bCs/>
          <w:b/>
        </w:rPr>
        <w:t xml:space="preserve">第一阶段（2026年）</w:t>
      </w:r>
      <w:r>
        <w:t xml:space="preserve">：市场基础建设期</w:t>
      </w:r>
      <w:r>
        <w:t xml:space="preserve"> </w:t>
      </w:r>
      <w:r>
        <w:t xml:space="preserve">- Q1-Q2：重点区域示范项目建设</w:t>
      </w:r>
      <w:r>
        <w:t xml:space="preserve"> </w:t>
      </w:r>
      <w:r>
        <w:t xml:space="preserve">- Q3-Q4：合作伙伴体系初步建立</w:t>
      </w:r>
    </w:p>
    <w:p>
      <w:pPr>
        <w:pStyle w:val="BodyText"/>
      </w:pPr>
      <w:r>
        <w:rPr>
          <w:bCs/>
          <w:b/>
        </w:rPr>
        <w:t xml:space="preserve">第二阶段（2027年）</w:t>
      </w:r>
      <w:r>
        <w:t xml:space="preserve">：市场快速拓展期</w:t>
      </w:r>
      <w:r>
        <w:t xml:space="preserve"> </w:t>
      </w:r>
      <w:r>
        <w:t xml:space="preserve">- 市场覆盖率提升至30%</w:t>
      </w:r>
      <w:r>
        <w:t xml:space="preserve"> </w:t>
      </w:r>
      <w:r>
        <w:t xml:space="preserve">- 合作伙伴数量翻倍</w:t>
      </w:r>
    </w:p>
    <w:p>
      <w:pPr>
        <w:pStyle w:val="BodyText"/>
      </w:pPr>
      <w:r>
        <w:rPr>
          <w:bCs/>
          <w:b/>
        </w:rPr>
        <w:t xml:space="preserve">第三阶段（2028年）</w:t>
      </w:r>
      <w:r>
        <w:t xml:space="preserve">：市场领先地位巩固期</w:t>
      </w:r>
      <w:r>
        <w:t xml:space="preserve"> </w:t>
      </w:r>
      <w:r>
        <w:t xml:space="preserve">- 在重点细分市场占有率超过20%</w:t>
      </w:r>
      <w:r>
        <w:t xml:space="preserve"> </w:t>
      </w:r>
      <w:r>
        <w:t xml:space="preserve">- 建立完善的生态合作体系</w:t>
      </w:r>
    </w:p>
    <w:bookmarkEnd w:id="148"/>
    <w:bookmarkEnd w:id="149"/>
    <w:bookmarkStart w:id="152" w:name="风险分析与应对措施"/>
    <w:p>
      <w:pPr>
        <w:pStyle w:val="3"/>
      </w:pPr>
      <w:r>
        <w:t xml:space="preserve">6.7 风险分析与应对措施</w:t>
      </w:r>
    </w:p>
    <w:bookmarkStart w:id="150" w:name="主要风险识别"/>
    <w:p>
      <w:pPr>
        <w:pStyle w:val="4"/>
      </w:pPr>
      <w:r>
        <w:t xml:space="preserve">6.7.1 主要风险识别</w:t>
      </w:r>
    </w:p>
    <w:p>
      <w:pPr>
        <w:numPr>
          <w:ilvl w:val="0"/>
          <w:numId w:val="1024"/>
        </w:numPr>
        <w:pStyle w:val="Compact"/>
      </w:pPr>
      <w:r>
        <w:rPr>
          <w:bCs/>
          <w:b/>
        </w:rPr>
        <w:t xml:space="preserve">技术风险</w:t>
      </w:r>
      <w:r>
        <w:t xml:space="preserve">：新技术迭代速度快，现有技术可能被替代</w:t>
      </w:r>
    </w:p>
    <w:p>
      <w:pPr>
        <w:numPr>
          <w:ilvl w:val="0"/>
          <w:numId w:val="1024"/>
        </w:numPr>
        <w:pStyle w:val="Compact"/>
      </w:pPr>
      <w:r>
        <w:rPr>
          <w:bCs/>
          <w:b/>
        </w:rPr>
        <w:t xml:space="preserve">市场风险</w:t>
      </w:r>
      <w:r>
        <w:t xml:space="preserve">：市场竞争加剧，价格压力增大</w:t>
      </w:r>
    </w:p>
    <w:p>
      <w:pPr>
        <w:numPr>
          <w:ilvl w:val="0"/>
          <w:numId w:val="1024"/>
        </w:numPr>
        <w:pStyle w:val="Compact"/>
      </w:pPr>
      <w:r>
        <w:rPr>
          <w:bCs/>
          <w:b/>
        </w:rPr>
        <w:t xml:space="preserve">政策风险</w:t>
      </w:r>
      <w:r>
        <w:t xml:space="preserve">：政策变化可能影响市场需求</w:t>
      </w:r>
    </w:p>
    <w:p>
      <w:pPr>
        <w:numPr>
          <w:ilvl w:val="0"/>
          <w:numId w:val="1024"/>
        </w:numPr>
        <w:pStyle w:val="Compact"/>
      </w:pPr>
      <w:r>
        <w:rPr>
          <w:bCs/>
          <w:b/>
        </w:rPr>
        <w:t xml:space="preserve">合作风险</w:t>
      </w:r>
      <w:r>
        <w:t xml:space="preserve">：合作伙伴管理难度大，可能产生纠纷</w:t>
      </w:r>
    </w:p>
    <w:bookmarkEnd w:id="150"/>
    <w:bookmarkStart w:id="151" w:name="风险应对措施"/>
    <w:p>
      <w:pPr>
        <w:pStyle w:val="4"/>
      </w:pPr>
      <w:r>
        <w:t xml:space="preserve">6.7.2 风险应对措施</w:t>
      </w:r>
    </w:p>
    <w:p>
      <w:pPr>
        <w:numPr>
          <w:ilvl w:val="0"/>
          <w:numId w:val="1025"/>
        </w:numPr>
        <w:pStyle w:val="Compact"/>
      </w:pPr>
      <w:r>
        <w:rPr>
          <w:bCs/>
          <w:b/>
        </w:rPr>
        <w:t xml:space="preserve">技术风险应对</w:t>
      </w:r>
      <w:r>
        <w:t xml:space="preserve">：持续加大研发投入，保持技术领先；建立技术储备机制</w:t>
      </w:r>
    </w:p>
    <w:p>
      <w:pPr>
        <w:numPr>
          <w:ilvl w:val="0"/>
          <w:numId w:val="1025"/>
        </w:numPr>
        <w:pStyle w:val="Compact"/>
      </w:pPr>
      <w:r>
        <w:rPr>
          <w:bCs/>
          <w:b/>
        </w:rPr>
        <w:t xml:space="preserve">市场风险应对</w:t>
      </w:r>
      <w:r>
        <w:t xml:space="preserve">：差异化竞争，避免价格战；拓展多元化市场</w:t>
      </w:r>
    </w:p>
    <w:p>
      <w:pPr>
        <w:numPr>
          <w:ilvl w:val="0"/>
          <w:numId w:val="1025"/>
        </w:numPr>
        <w:pStyle w:val="Compact"/>
      </w:pPr>
      <w:r>
        <w:rPr>
          <w:bCs/>
          <w:b/>
        </w:rPr>
        <w:t xml:space="preserve">政策风险应对</w:t>
      </w:r>
      <w:r>
        <w:t xml:space="preserve">：密切关注政策动向，及时调整策略；参与政策制定</w:t>
      </w:r>
    </w:p>
    <w:p>
      <w:pPr>
        <w:numPr>
          <w:ilvl w:val="0"/>
          <w:numId w:val="1025"/>
        </w:numPr>
        <w:pStyle w:val="Compact"/>
      </w:pPr>
      <w:r>
        <w:rPr>
          <w:bCs/>
          <w:b/>
        </w:rPr>
        <w:t xml:space="preserve">合作风险应对</w:t>
      </w:r>
      <w:r>
        <w:t xml:space="preserve">：建立规范的合作伙伴管理制度；加强沟通和协调</w:t>
      </w:r>
    </w:p>
    <w:p>
      <w:r>
        <w:pict>
          <v:rect style="width:0;height:1.5pt" o:hralign="center" o:hrstd="t" o:hr="t"/>
        </w:pict>
      </w:r>
    </w:p>
    <w:p>
      <w:pPr>
        <w:pStyle w:val="FirstParagraph"/>
      </w:pPr>
      <w:r>
        <w:rPr>
          <w:bCs/>
          <w:b/>
        </w:rPr>
        <w:t xml:space="preserve">本章小结</w:t>
      </w:r>
      <w:r>
        <w:t xml:space="preserve">：本章通过深入分析国内基础设施安全监测市场规模、竞争格局、视频跟踪仪应用前景，结合HSM的成本优势和产品优势，提出了商业模式优化策略和长期战略合作伙伴关系构建方案。分析表明，视频跟踪仪在基础设施安全监测领域具有广阔的市场前景和显著的成本优势，通过标准化产品、服务模式创新和生态合作，HSM可以建立可持续的竞争优势，实现从设备供应商向解决方案提供商的战略转型。</w:t>
      </w:r>
    </w:p>
    <w:bookmarkEnd w:id="151"/>
    <w:bookmarkEnd w:id="152"/>
    <w:bookmarkEnd w:id="153"/>
    <w:bookmarkStart w:id="158" w:name="第七章-研究结论与建议"/>
    <w:p>
      <w:pPr>
        <w:pStyle w:val="2"/>
      </w:pPr>
      <w:r>
        <w:t xml:space="preserve">第七章 研究结论与建议</w:t>
      </w:r>
    </w:p>
    <w:bookmarkStart w:id="154" w:name="主要研究发现"/>
    <w:p>
      <w:pPr>
        <w:pStyle w:val="3"/>
      </w:pPr>
      <w:r>
        <w:t xml:space="preserve">7.1 主要研究发现</w:t>
      </w:r>
    </w:p>
    <w:p>
      <w:pPr>
        <w:pStyle w:val="FirstParagraph"/>
      </w:pPr>
      <w:r>
        <w:t xml:space="preserve">基于对HSM公司战略转型案例的深入分析，本研究得出以下具体发现：</w:t>
      </w:r>
    </w:p>
    <w:p>
      <w:pPr>
        <w:pStyle w:val="BodyText"/>
      </w:pPr>
      <w:r>
        <w:rPr>
          <w:bCs/>
          <w:b/>
        </w:rPr>
        <w:t xml:space="preserve">技术突破是转型成功的关键</w:t>
      </w:r>
      <w:r>
        <w:t xml:space="preserve">：HSM通过第三代DIC技术突破，实现了技术路线的根本性变革。该技术将测量精度从传统传感器的0.1%FS提升至亚像素级（0.01像素），采样频率达到1000Hz，满足了基础设施安全监测的精准要求。技术领先直接转化为产品优势，视频跟踪仪相比传统传感器方案可降低初始投资40-60%，年维护成本降低60-70%。</w:t>
      </w:r>
    </w:p>
    <w:p>
      <w:pPr>
        <w:pStyle w:val="BodyText"/>
      </w:pPr>
      <w:r>
        <w:rPr>
          <w:bCs/>
          <w:b/>
        </w:rPr>
        <w:t xml:space="preserve">市场战略调整成效显著</w:t>
      </w:r>
      <w:r>
        <w:t xml:space="preserve">：从科研市场向工业市场的战略调整，使HSM客户结构发生根本性变化。目前，HSM在桥梁监测市场渗透率达到15%，隧道监测10%，边坡监测12%。2025年视频跟踪仪市场规模预计达8.675亿元，HSM有望占据超过20%的市场份额。标准化产品战略使项目部署时间缩短50%，运营成本降低30%。</w:t>
      </w:r>
    </w:p>
    <w:p>
      <w:pPr>
        <w:pStyle w:val="BodyText"/>
      </w:pPr>
      <w:r>
        <w:rPr>
          <w:bCs/>
          <w:b/>
        </w:rPr>
        <w:t xml:space="preserve">组织变革支撑业务发展</w:t>
      </w:r>
      <w:r>
        <w:t xml:space="preserve">：扁平化组织架构使决策效率提升40%，矩阵式管理模式实现了研发、市场、服务的有效协同。公司研发人员占比从转型前的25%提升至40%，技术专家团队扩大3倍，为持续创新提供了人才保障。</w:t>
      </w:r>
    </w:p>
    <w:p>
      <w:pPr>
        <w:pStyle w:val="BodyText"/>
      </w:pPr>
      <w:r>
        <w:rPr>
          <w:bCs/>
          <w:b/>
        </w:rPr>
        <w:t xml:space="preserve">商业模式创新创造新价值</w:t>
      </w:r>
      <w:r>
        <w:t xml:space="preserve">：监测即服务（MaaS）模式降低了客户初始投资门槛，数据增值服务贡献了30%的营业收入。与系统集成商、地区合作伙伴构建的生态体系，使市场覆盖率在两年内提升至30%以上。</w:t>
      </w:r>
    </w:p>
    <w:bookmarkEnd w:id="154"/>
    <w:bookmarkStart w:id="155" w:name="管理实践建议"/>
    <w:p>
      <w:pPr>
        <w:pStyle w:val="3"/>
      </w:pPr>
      <w:r>
        <w:t xml:space="preserve">7.2 管理实践建议</w:t>
      </w:r>
    </w:p>
    <w:p>
      <w:pPr>
        <w:pStyle w:val="FirstParagraph"/>
      </w:pPr>
      <w:r>
        <w:rPr>
          <w:bCs/>
          <w:b/>
        </w:rPr>
        <w:t xml:space="preserve">技术战略实施</w:t>
      </w:r>
      <w:r>
        <w:t xml:space="preserve">：</w:t>
      </w:r>
      <w:r>
        <w:t xml:space="preserve"> </w:t>
      </w:r>
      <w:r>
        <w:t xml:space="preserve">1.</w:t>
      </w:r>
      <w:r>
        <w:t xml:space="preserve"> </w:t>
      </w:r>
      <w:r>
        <w:rPr>
          <w:bCs/>
          <w:b/>
        </w:rPr>
        <w:t xml:space="preserve">保持技术领先</w:t>
      </w:r>
      <w:r>
        <w:t xml:space="preserve">：持续投入研发，确保DIC技术迭代速度领先竞争对手至少1-2代。重点开发AI算法与DIC技术的融合应用，提升自动化分析能力。</w:t>
      </w:r>
      <w:r>
        <w:t xml:space="preserve"> </w:t>
      </w:r>
      <w:r>
        <w:t xml:space="preserve">2.</w:t>
      </w:r>
      <w:r>
        <w:t xml:space="preserve"> </w:t>
      </w:r>
      <w:r>
        <w:rPr>
          <w:bCs/>
          <w:b/>
        </w:rPr>
        <w:t xml:space="preserve">产品标准化</w:t>
      </w:r>
      <w:r>
        <w:t xml:space="preserve">：建立桥梁、隧道、边坡三大标准产品系列，通过模块化设计降低定制化成本。标准化产品应覆盖80%的应用场景，特殊需求通过配置调整实现。</w:t>
      </w:r>
    </w:p>
    <w:p>
      <w:pPr>
        <w:pStyle w:val="BodyText"/>
      </w:pPr>
      <w:r>
        <w:rPr>
          <w:bCs/>
          <w:b/>
        </w:rPr>
        <w:t xml:space="preserve">市场拓展策略</w:t>
      </w:r>
      <w:r>
        <w:t xml:space="preserve">：</w:t>
      </w:r>
      <w:r>
        <w:t xml:space="preserve"> </w:t>
      </w:r>
      <w:r>
        <w:t xml:space="preserve">1.</w:t>
      </w:r>
      <w:r>
        <w:t xml:space="preserve"> </w:t>
      </w:r>
      <w:r>
        <w:rPr>
          <w:bCs/>
          <w:b/>
        </w:rPr>
        <w:t xml:space="preserve">聚焦重点领域</w:t>
      </w:r>
      <w:r>
        <w:t xml:space="preserve">：优先发展桥梁监测（政策驱动明确）、隧道监测（新建项目多）、边坡监测（安全要求高）三大市场。建立示范项目库，每个重点区域至少建设3个标杆项目。</w:t>
      </w:r>
      <w:r>
        <w:t xml:space="preserve"> </w:t>
      </w:r>
      <w:r>
        <w:t xml:space="preserve">2.</w:t>
      </w:r>
      <w:r>
        <w:t xml:space="preserve"> </w:t>
      </w:r>
      <w:r>
        <w:rPr>
          <w:bCs/>
          <w:b/>
        </w:rPr>
        <w:t xml:space="preserve">构建合作伙伴生态</w:t>
      </w:r>
      <w:r>
        <w:t xml:space="preserve">：完善金牌、银牌、铜牌三级合作伙伴管理体系。金牌合作伙伴年项目能力应达到10个以上，给予技术支持和利润分成激励。</w:t>
      </w:r>
    </w:p>
    <w:p>
      <w:pPr>
        <w:pStyle w:val="BodyText"/>
      </w:pPr>
      <w:r>
        <w:rPr>
          <w:bCs/>
          <w:b/>
        </w:rPr>
        <w:t xml:space="preserve">组织能力建设</w:t>
      </w:r>
      <w:r>
        <w:t xml:space="preserve">：</w:t>
      </w:r>
      <w:r>
        <w:t xml:space="preserve"> </w:t>
      </w:r>
      <w:r>
        <w:t xml:space="preserve">1.</w:t>
      </w:r>
      <w:r>
        <w:t xml:space="preserve"> </w:t>
      </w:r>
      <w:r>
        <w:rPr>
          <w:bCs/>
          <w:b/>
        </w:rPr>
        <w:t xml:space="preserve">人才梯队培养</w:t>
      </w:r>
      <w:r>
        <w:t xml:space="preserve">：建立技术专家、项目经理、服务工程师三级人才梯队。实施”导师制”，新员工6个月内具备独立实施能力。</w:t>
      </w:r>
      <w:r>
        <w:t xml:space="preserve"> </w:t>
      </w:r>
      <w:r>
        <w:t xml:space="preserve">2.</w:t>
      </w:r>
      <w:r>
        <w:t xml:space="preserve"> </w:t>
      </w:r>
      <w:r>
        <w:rPr>
          <w:bCs/>
          <w:b/>
        </w:rPr>
        <w:t xml:space="preserve">绩效考核优化</w:t>
      </w:r>
      <w:r>
        <w:t xml:space="preserve">：研发团队考核应结合技术成果（专利、论文）和市场应用（产品转化率）；销售团队考核应兼顾项目数量（60%）和项目质量（客户满意度40%）。</w:t>
      </w:r>
    </w:p>
    <w:bookmarkEnd w:id="155"/>
    <w:bookmarkStart w:id="156" w:name="行业政策建议"/>
    <w:p>
      <w:pPr>
        <w:pStyle w:val="3"/>
      </w:pPr>
      <w:r>
        <w:t xml:space="preserve">7.3 行业政策建议</w:t>
      </w:r>
    </w:p>
    <w:p>
      <w:pPr>
        <w:pStyle w:val="FirstParagraph"/>
      </w:pPr>
      <w:r>
        <w:rPr>
          <w:bCs/>
          <w:b/>
        </w:rPr>
        <w:t xml:space="preserve">政府层面</w:t>
      </w:r>
      <w:r>
        <w:t xml:space="preserve">：</w:t>
      </w:r>
      <w:r>
        <w:t xml:space="preserve"> </w:t>
      </w:r>
      <w:r>
        <w:t xml:space="preserve">1.</w:t>
      </w:r>
      <w:r>
        <w:t xml:space="preserve"> </w:t>
      </w:r>
      <w:r>
        <w:rPr>
          <w:bCs/>
          <w:b/>
        </w:rPr>
        <w:t xml:space="preserve">专项政策支持</w:t>
      </w:r>
      <w:r>
        <w:t xml:space="preserve">：设立”视觉测量技术应用推广专项资金”，对采用DIC技术的监测项目给予设备投资30%的补贴。将视频跟踪仪纳入《首台（套）重大技术装备推广应用指导目录》。</w:t>
      </w:r>
      <w:r>
        <w:t xml:space="preserve"> </w:t>
      </w:r>
      <w:r>
        <w:t xml:space="preserve">2.</w:t>
      </w:r>
      <w:r>
        <w:t xml:space="preserve"> </w:t>
      </w:r>
      <w:r>
        <w:rPr>
          <w:bCs/>
          <w:b/>
        </w:rPr>
        <w:t xml:space="preserve">标准体系建设</w:t>
      </w:r>
      <w:r>
        <w:t xml:space="preserve">：牵头制定DIC技术在基础设施监测领域的国家标准，建立统一的性能测试方法和验收规范。推动视频跟踪仪在交通、水利、住建等行业的强制性应用标准。</w:t>
      </w:r>
    </w:p>
    <w:p>
      <w:pPr>
        <w:pStyle w:val="BodyText"/>
      </w:pPr>
      <w:r>
        <w:rPr>
          <w:bCs/>
          <w:b/>
        </w:rPr>
        <w:t xml:space="preserve">行业层面</w:t>
      </w:r>
      <w:r>
        <w:t xml:space="preserve">：</w:t>
      </w:r>
      <w:r>
        <w:t xml:space="preserve"> </w:t>
      </w:r>
      <w:r>
        <w:t xml:space="preserve">1.</w:t>
      </w:r>
      <w:r>
        <w:t xml:space="preserve"> </w:t>
      </w:r>
      <w:r>
        <w:rPr>
          <w:bCs/>
          <w:b/>
        </w:rPr>
        <w:t xml:space="preserve">产学研协同机制</w:t>
      </w:r>
      <w:r>
        <w:t xml:space="preserve">：建立”视觉测量技术产业创新联盟”，整合高校研发能力、企业工程化能力和用户应用需求。设立共性技术研发基金，支持前沿技术探索。</w:t>
      </w:r>
      <w:r>
        <w:t xml:space="preserve"> </w:t>
      </w:r>
      <w:r>
        <w:t xml:space="preserve">2.</w:t>
      </w:r>
      <w:r>
        <w:t xml:space="preserve"> </w:t>
      </w:r>
      <w:r>
        <w:rPr>
          <w:bCs/>
          <w:b/>
        </w:rPr>
        <w:t xml:space="preserve">人才培养体系</w:t>
      </w:r>
      <w:r>
        <w:t xml:space="preserve">：在相关高校增设”视觉测量技术”专业方向，每年培养专业人才不少于200人。建立行业技能认证体系，持证人员优先参与重点项目。</w:t>
      </w:r>
    </w:p>
    <w:p>
      <w:pPr>
        <w:pStyle w:val="BodyText"/>
      </w:pPr>
      <w:r>
        <w:rPr>
          <w:bCs/>
          <w:b/>
        </w:rPr>
        <w:t xml:space="preserve">企业层面</w:t>
      </w:r>
      <w:r>
        <w:t xml:space="preserve">：</w:t>
      </w:r>
      <w:r>
        <w:t xml:space="preserve"> </w:t>
      </w:r>
      <w:r>
        <w:t xml:space="preserve">1.</w:t>
      </w:r>
      <w:r>
        <w:t xml:space="preserve"> </w:t>
      </w:r>
      <w:r>
        <w:rPr>
          <w:bCs/>
          <w:b/>
        </w:rPr>
        <w:t xml:space="preserve">技术路线图制定</w:t>
      </w:r>
      <w:r>
        <w:t xml:space="preserve">：明确未来3-5年技术发展方向，重点突破多相机协同测量、大尺度变形监测、动态实时分析等关键技术。</w:t>
      </w:r>
      <w:r>
        <w:t xml:space="preserve"> </w:t>
      </w:r>
      <w:r>
        <w:t xml:space="preserve">2.</w:t>
      </w:r>
      <w:r>
        <w:t xml:space="preserve"> </w:t>
      </w:r>
      <w:r>
        <w:rPr>
          <w:bCs/>
          <w:b/>
        </w:rPr>
        <w:t xml:space="preserve">风险应对机制</w:t>
      </w:r>
      <w:r>
        <w:t xml:space="preserve">：建立技术、市场、政策三类风险预警指标体系。技术风险重点关注替代技术出现时间；市场风险监测竞争对手价格策略；政策风险跟踪行业标准更新。</w:t>
      </w:r>
    </w:p>
    <w:bookmarkEnd w:id="156"/>
    <w:bookmarkStart w:id="157" w:name="研究总结与展望"/>
    <w:p>
      <w:pPr>
        <w:pStyle w:val="3"/>
      </w:pPr>
      <w:r>
        <w:t xml:space="preserve">7.4 研究总结与展望</w:t>
      </w:r>
    </w:p>
    <w:p>
      <w:pPr>
        <w:pStyle w:val="FirstParagraph"/>
      </w:pPr>
      <w:r>
        <w:t xml:space="preserve">本研究通过HSM案例分析，验证了技术驱动型转型模式在硬科技企业的适用性。研究发现，成功转型需要技术突破、市场调整、组织变革、商业模式创新的系统配合。</w:t>
      </w:r>
    </w:p>
    <w:p>
      <w:pPr>
        <w:pStyle w:val="BodyText"/>
      </w:pPr>
      <w:r>
        <w:rPr>
          <w:bCs/>
          <w:b/>
        </w:rPr>
        <w:t xml:space="preserve">实践价值</w:t>
      </w:r>
      <w:r>
        <w:t xml:space="preserve">：为视觉力学传感器企业提供了可操作的转型路径。具体实施可分为三个阶段：技术突破期（6-12个月）、市场拓展期（12-24个月）、生态构建期（24-36个月）。每个阶段应有明确的里程碑和评估指标。</w:t>
      </w:r>
    </w:p>
    <w:p>
      <w:pPr>
        <w:pStyle w:val="BodyText"/>
      </w:pPr>
      <w:r>
        <w:rPr>
          <w:bCs/>
          <w:b/>
        </w:rPr>
        <w:t xml:space="preserve">研究展望</w:t>
      </w:r>
      <w:r>
        <w:t xml:space="preserve">：未来可从三个方向深化研究：一是多案例比较，分析不同规模、不同区域企业的转型差异；二是长期效果跟踪，评估转型成果的可持续性；三是数字化转型研究，探索AI、大数据与视觉测量技术的融合应用。</w:t>
      </w:r>
    </w:p>
    <w:p>
      <w:pPr>
        <w:pStyle w:val="BodyText"/>
      </w:pPr>
      <w:r>
        <w:t xml:space="preserve">随着新型基础设施建设的推进和智慧城市的发展，视觉力学传感器行业将迎来更广阔的应用空间。企业应把握技术发展趋势，构建可持续的竞争优势，为我国基础设施安全监测水平的提升贡献力量。</w:t>
      </w:r>
    </w:p>
    <w:bookmarkEnd w:id="157"/>
    <w:bookmarkEnd w:id="158"/>
    <w:bookmarkStart w:id="161" w:name="参考文献"/>
    <w:p>
      <w:pPr>
        <w:pStyle w:val="2"/>
      </w:pPr>
      <w:r>
        <w:t xml:space="preserve">参考文献</w:t>
      </w:r>
    </w:p>
    <w:bookmarkStart w:id="159"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159"/>
    <w:bookmarkStart w:id="160"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p>
    <w:bookmarkEnd w:id="160"/>
    <w:bookmarkEnd w:id="161"/>
    <w:bookmarkStart w:id="162"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62"/>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2026-02-25T03:01:26Z</dcterms:created>
  <dcterms:modified xsi:type="dcterms:W3CDTF">2026-02-25T03:01:26Z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