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2"/>
      </w:pPr>
      <w:r>
        <w:t xml:space="preserve">视觉力学传感器企业战略转型研究——以HSM为例</w:t>
      </w:r>
    </w:p>
    <w:bookmarkStart w:id="22" w:name="X19cb4886134ade5e083b70b36f830d0638601e2"/>
    <w:p>
      <w:pPr>
        <w:pStyle w:val="3"/>
      </w:pPr>
      <w:r>
        <w:t xml:space="preserve">Research on Strategic Transformation of Vision Force Sensor Enterprises——Taking HSM as an Example</w:t>
      </w:r>
    </w:p>
    <w:bookmarkStart w:id="21"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研究以HSM公司为案例，分析视觉力学传感器企业在数字化转型和国产替代背景下的战略变革。中美科技竞争日趋常态化，工业4.0战略也在不断深入。在此背景下，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方法，综合运用文献研究、PEST分析、波特五力模型和SWOT分析等多种方法，系统剖析HSM转型的动因、实施路径和实际成效。项目制模式带来了回款周期长（应收账款周转天数达270天）和人员成本高企等问题，这些问题推动HSM向产品化转型。HSM的转型实施路径涵盖多个维度。技术战略上，公司构建了以第三代DIC技术为核心的三大产品线；市场战略上，积极从科研市场向工业市场拓展；组织战略上，通过优化人才结构，将研发人员占比从25%提升至45%；数字化转型上，建设了安全监测大模型平台；生态合作上，构建了产学研用协同创新体系。</w:t>
      </w:r>
    </w:p>
    <w:p>
      <w:pPr>
        <w:pStyle w:val="BodyText"/>
      </w:pPr>
      <w:r>
        <w:t xml:space="preserve">转型成效评估显示，HSM在财务绩效、市场地位、技术创新、组织能力和可持续发展五个维度均有显著提升。具体来看，毛利率从45%提升至65%，净利率从8%提升至18%，应收账款周转天数从270天缩短至90天，人均产值提升了2.5倍。基于HSM的实践，本研究认为硬科技企业的转型需要以技术创新为核心驱动力，并通过产品标准化、组织重构和生态合作构建可持续竞争优势。</w:t>
      </w:r>
    </w:p>
    <w:p>
      <w:pPr>
        <w:pStyle w:val="BodyText"/>
      </w:pPr>
      <w:r>
        <w:t xml:space="preserve">本研究在理论层面丰富了科技型企业转型的研究，在实践层面为同类企业提供了转型路径参考，在政策层面为决策者提供了依据。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18"/>
          </w:rPr>
          <w:t xml:space="preserve">摘要 [I](#_Toc222913118)</w:t>
        </w:r>
      </w:hyperlink>
    </w:p>
    <w:p>
      <w:pPr>
        <w:pStyle w:val="BodyText"/>
      </w:pPr>
      <w:hyperlink r:id="rId20">
        <w:r>
          <w:rPr>
            <w:rStyle w:val="18"/>
          </w:rPr>
          <w:t xml:space="preserve">ABSTRACT [II](#_Toc80108601)</w:t>
        </w:r>
      </w:hyperlink>
    </w:p>
    <w:p>
      <w:pPr>
        <w:pStyle w:val="BodyText"/>
      </w:pPr>
      <w:hyperlink r:id="rId20">
        <w:r>
          <w:rPr>
            <w:rStyle w:val="18"/>
          </w:rPr>
          <w:t xml:space="preserve">第一章 绪论 [1](#第一章-绪论)</w:t>
        </w:r>
      </w:hyperlink>
    </w:p>
    <w:p>
      <w:pPr>
        <w:pStyle w:val="BodyText"/>
      </w:pPr>
      <w:hyperlink r:id="rId20">
        <w:r>
          <w:rPr>
            <w:rStyle w:val="18"/>
          </w:rPr>
          <w:t xml:space="preserve">1.1研究背景 [1](#研究背景)</w:t>
        </w:r>
      </w:hyperlink>
    </w:p>
    <w:p>
      <w:pPr>
        <w:pStyle w:val="BodyText"/>
      </w:pPr>
      <w:hyperlink r:id="rId20">
        <w:r>
          <w:rPr>
            <w:rStyle w:val="18"/>
          </w:rPr>
          <w:t xml:space="preserve">1.2 研究意义 [2](#研究意义)</w:t>
        </w:r>
      </w:hyperlink>
    </w:p>
    <w:p>
      <w:pPr>
        <w:pStyle w:val="BodyText"/>
      </w:pPr>
      <w:hyperlink r:id="rId20">
        <w:r>
          <w:rPr>
            <w:rStyle w:val="18"/>
          </w:rPr>
          <w:t xml:space="preserve">1.3 研究内容与方法 [2](#研究内容与方法)</w:t>
        </w:r>
      </w:hyperlink>
    </w:p>
    <w:p>
      <w:pPr>
        <w:pStyle w:val="BodyText"/>
      </w:pPr>
      <w:hyperlink r:id="rId20">
        <w:r>
          <w:rPr>
            <w:rStyle w:val="18"/>
          </w:rPr>
          <w:t xml:space="preserve">1.4 论文结构安排 [3](#论文结构安排)</w:t>
        </w:r>
      </w:hyperlink>
    </w:p>
    <w:p>
      <w:pPr>
        <w:pStyle w:val="BodyText"/>
      </w:pPr>
      <w:hyperlink r:id="rId20">
        <w:r>
          <w:rPr>
            <w:rStyle w:val="18"/>
          </w:rPr>
          <w:t xml:space="preserve">第二章 理论基础与文献综述 [5](#第二章-理论基础与文献综述)</w:t>
        </w:r>
      </w:hyperlink>
    </w:p>
    <w:p>
      <w:pPr>
        <w:pStyle w:val="BodyText"/>
      </w:pPr>
      <w:hyperlink r:id="rId20">
        <w:r>
          <w:rPr>
            <w:rStyle w:val="18"/>
          </w:rPr>
          <w:t xml:space="preserve">2.1 企业战略转型理论 [5](#企业战略转型理论)</w:t>
        </w:r>
      </w:hyperlink>
    </w:p>
    <w:p>
      <w:pPr>
        <w:pStyle w:val="BodyText"/>
      </w:pPr>
      <w:hyperlink r:id="rId20">
        <w:r>
          <w:rPr>
            <w:rStyle w:val="18"/>
          </w:rPr>
          <w:t xml:space="preserve">2.2 视觉力学传感器行业概述 [6](#视觉力学传感器行业概述)</w:t>
        </w:r>
      </w:hyperlink>
    </w:p>
    <w:p>
      <w:pPr>
        <w:pStyle w:val="BodyText"/>
      </w:pPr>
      <w:hyperlink r:id="rId20">
        <w:r>
          <w:rPr>
            <w:rStyle w:val="18"/>
          </w:rPr>
          <w:t xml:space="preserve">2.3 相关研究综述 [7](#相关研究综述)</w:t>
        </w:r>
      </w:hyperlink>
    </w:p>
    <w:p>
      <w:pPr>
        <w:pStyle w:val="BodyText"/>
      </w:pPr>
      <w:hyperlink r:id="rId20">
        <w:r>
          <w:rPr>
            <w:rStyle w:val="18"/>
          </w:rPr>
          <w:t xml:space="preserve">第三章 HSM公司外部环境分析 [9](#第三章-hsm公司外部环境分析)</w:t>
        </w:r>
      </w:hyperlink>
    </w:p>
    <w:p>
      <w:pPr>
        <w:pStyle w:val="BodyText"/>
      </w:pPr>
      <w:hyperlink r:id="rId20">
        <w:r>
          <w:rPr>
            <w:rStyle w:val="18"/>
          </w:rPr>
          <w:t xml:space="preserve">3.1 HSM外部宏观环境PEST分析 [9](#hsm外部宏观环境pest分析)</w:t>
        </w:r>
      </w:hyperlink>
    </w:p>
    <w:p>
      <w:pPr>
        <w:pStyle w:val="BodyText"/>
      </w:pPr>
      <w:hyperlink r:id="rId20">
        <w:r>
          <w:rPr>
            <w:rStyle w:val="18"/>
          </w:rPr>
          <w:t xml:space="preserve">3.1.1 政治环境 [9](#政治环境)</w:t>
        </w:r>
      </w:hyperlink>
    </w:p>
    <w:p>
      <w:pPr>
        <w:pStyle w:val="BodyText"/>
      </w:pPr>
      <w:hyperlink r:id="rId20">
        <w:r>
          <w:rPr>
            <w:rStyle w:val="18"/>
          </w:rPr>
          <w:t xml:space="preserve">3.1.2 经济环境 [9](#经济环境)</w:t>
        </w:r>
      </w:hyperlink>
    </w:p>
    <w:p>
      <w:pPr>
        <w:pStyle w:val="BodyText"/>
      </w:pPr>
      <w:hyperlink r:id="rId20">
        <w:r>
          <w:rPr>
            <w:rStyle w:val="18"/>
          </w:rPr>
          <w:t xml:space="preserve">3.1.3 社会环境 [10](#社会环境)</w:t>
        </w:r>
      </w:hyperlink>
    </w:p>
    <w:p>
      <w:pPr>
        <w:pStyle w:val="BodyText"/>
      </w:pPr>
      <w:hyperlink r:id="rId20">
        <w:r>
          <w:rPr>
            <w:rStyle w:val="18"/>
          </w:rPr>
          <w:t xml:space="preserve">3.1.4 技术环境 [11](#技术环境)</w:t>
        </w:r>
      </w:hyperlink>
    </w:p>
    <w:p>
      <w:pPr>
        <w:pStyle w:val="BodyText"/>
      </w:pPr>
      <w:hyperlink r:id="rId20">
        <w:r>
          <w:rPr>
            <w:rStyle w:val="18"/>
          </w:rPr>
          <w:t xml:space="preserve">3.1.5 小结 [11](#小结)</w:t>
        </w:r>
      </w:hyperlink>
    </w:p>
    <w:p>
      <w:pPr>
        <w:pStyle w:val="BodyText"/>
      </w:pPr>
      <w:hyperlink r:id="rId20">
        <w:r>
          <w:rPr>
            <w:rStyle w:val="18"/>
          </w:rPr>
          <w:t xml:space="preserve">3.2 视觉力学传感器行业总体环境分析</w:t>
        </w:r>
        <w:r>
          <w:rPr>
            <w:rStyle w:val="18"/>
          </w:rPr>
          <w:t xml:space="preserve"> </w:t>
        </w:r>
        <w:r>
          <w:rPr>
            <w:rStyle w:val="18"/>
          </w:rPr>
          <w:t xml:space="preserve">[12](#视觉力学传感器行业总体环境分析)</w:t>
        </w:r>
      </w:hyperlink>
    </w:p>
    <w:p>
      <w:pPr>
        <w:pStyle w:val="BodyText"/>
      </w:pPr>
      <w:hyperlink r:id="rId20">
        <w:r>
          <w:rPr>
            <w:rStyle w:val="18"/>
          </w:rPr>
          <w:t xml:space="preserve">3.2.1 全球与中国市场对比分析 [12](#全球与中国市场对比分析)</w:t>
        </w:r>
      </w:hyperlink>
    </w:p>
    <w:p>
      <w:pPr>
        <w:pStyle w:val="BodyText"/>
      </w:pPr>
      <w:hyperlink r:id="rId20">
        <w:r>
          <w:rPr>
            <w:rStyle w:val="18"/>
          </w:rPr>
          <w:t xml:space="preserve">3.2.2 主要竞争对手分析 [13](#主要竞争对手分析)</w:t>
        </w:r>
      </w:hyperlink>
    </w:p>
    <w:p>
      <w:pPr>
        <w:pStyle w:val="BodyText"/>
      </w:pPr>
      <w:hyperlink r:id="rId20">
        <w:r>
          <w:rPr>
            <w:rStyle w:val="18"/>
          </w:rPr>
          <w:t xml:space="preserve">3.3 行业竞争环境波特五力分析 [15](#行业竞争环境波特五力分析)</w:t>
        </w:r>
      </w:hyperlink>
    </w:p>
    <w:p>
      <w:pPr>
        <w:pStyle w:val="BodyText"/>
      </w:pPr>
      <w:hyperlink r:id="rId20">
        <w:r>
          <w:rPr>
            <w:rStyle w:val="18"/>
          </w:rPr>
          <w:t xml:space="preserve">3.3.1 现有企业竞争程度 [15](#现有企业竞争程度)</w:t>
        </w:r>
      </w:hyperlink>
    </w:p>
    <w:p>
      <w:pPr>
        <w:pStyle w:val="BodyText"/>
      </w:pPr>
      <w:hyperlink r:id="rId20">
        <w:r>
          <w:rPr>
            <w:rStyle w:val="18"/>
          </w:rPr>
          <w:t xml:space="preserve">3.3.2 潜在进入者威胁 [15](#潜在进入者威胁)</w:t>
        </w:r>
      </w:hyperlink>
    </w:p>
    <w:p>
      <w:pPr>
        <w:pStyle w:val="BodyText"/>
      </w:pPr>
      <w:hyperlink r:id="rId20">
        <w:r>
          <w:rPr>
            <w:rStyle w:val="18"/>
          </w:rPr>
          <w:t xml:space="preserve">3.3.3 替代品威胁 [16](#替代品威胁)</w:t>
        </w:r>
      </w:hyperlink>
    </w:p>
    <w:p>
      <w:pPr>
        <w:pStyle w:val="BodyText"/>
      </w:pPr>
      <w:hyperlink r:id="rId20">
        <w:r>
          <w:rPr>
            <w:rStyle w:val="18"/>
          </w:rPr>
          <w:t xml:space="preserve">3.3.4 供应商议价能力 [17](#供应商议价能力)</w:t>
        </w:r>
      </w:hyperlink>
    </w:p>
    <w:p>
      <w:pPr>
        <w:pStyle w:val="BodyText"/>
      </w:pPr>
      <w:hyperlink r:id="rId20">
        <w:r>
          <w:rPr>
            <w:rStyle w:val="18"/>
          </w:rPr>
          <w:t xml:space="preserve">3.3.5 客户议价能力 [18](#客户议价能力)</w:t>
        </w:r>
      </w:hyperlink>
    </w:p>
    <w:p>
      <w:pPr>
        <w:pStyle w:val="BodyText"/>
      </w:pPr>
      <w:hyperlink r:id="rId20">
        <w:r>
          <w:rPr>
            <w:rStyle w:val="18"/>
          </w:rPr>
          <w:t xml:space="preserve">3.3.6 小结 [18](#小结-1)</w:t>
        </w:r>
      </w:hyperlink>
    </w:p>
    <w:p>
      <w:pPr>
        <w:pStyle w:val="BodyText"/>
      </w:pPr>
      <w:hyperlink r:id="rId20">
        <w:r>
          <w:rPr>
            <w:rStyle w:val="18"/>
          </w:rPr>
          <w:t xml:space="preserve">3.4 视觉安全监测主要应用场景深度分析</w:t>
        </w:r>
        <w:r>
          <w:rPr>
            <w:rStyle w:val="18"/>
          </w:rPr>
          <w:t xml:space="preserve"> </w:t>
        </w:r>
        <w:r>
          <w:rPr>
            <w:rStyle w:val="18"/>
          </w:rPr>
          <w:t xml:space="preserve">[19](#视觉安全监测主要应用场景深度分析)</w:t>
        </w:r>
      </w:hyperlink>
    </w:p>
    <w:p>
      <w:pPr>
        <w:pStyle w:val="BodyText"/>
      </w:pPr>
      <w:hyperlink r:id="rId20">
        <w:r>
          <w:rPr>
            <w:rStyle w:val="18"/>
          </w:rPr>
          <w:t xml:space="preserve">3.4.1 桥梁健康监测市场分析 [19](#桥梁健康监测市场分析)</w:t>
        </w:r>
      </w:hyperlink>
    </w:p>
    <w:p>
      <w:pPr>
        <w:pStyle w:val="BodyText"/>
      </w:pPr>
      <w:hyperlink r:id="rId20">
        <w:r>
          <w:rPr>
            <w:rStyle w:val="18"/>
          </w:rPr>
          <w:t xml:space="preserve">3.4.2 隧道收敛监测市场分析 [20](#隧道收敛监测市场分析)</w:t>
        </w:r>
      </w:hyperlink>
    </w:p>
    <w:p>
      <w:pPr>
        <w:pStyle w:val="BodyText"/>
      </w:pPr>
      <w:hyperlink r:id="rId20">
        <w:r>
          <w:rPr>
            <w:rStyle w:val="18"/>
          </w:rPr>
          <w:t xml:space="preserve">3.4.3 边坡位移监测市场分析 [21](#边坡位移监测市场分析)</w:t>
        </w:r>
      </w:hyperlink>
    </w:p>
    <w:p>
      <w:pPr>
        <w:pStyle w:val="BodyText"/>
      </w:pPr>
      <w:hyperlink r:id="rId20">
        <w:r>
          <w:rPr>
            <w:rStyle w:val="18"/>
          </w:rPr>
          <w:t xml:space="preserve">3.4.4 国家政策环境分析 [21](#国家政策环境分析)</w:t>
        </w:r>
      </w:hyperlink>
    </w:p>
    <w:p>
      <w:pPr>
        <w:pStyle w:val="BodyText"/>
      </w:pPr>
      <w:hyperlink r:id="rId20">
        <w:r>
          <w:rPr>
            <w:rStyle w:val="18"/>
          </w:rPr>
          <w:t xml:space="preserve">3.5 本章小结 [22](#本章小结)</w:t>
        </w:r>
      </w:hyperlink>
    </w:p>
    <w:p>
      <w:pPr>
        <w:pStyle w:val="BodyText"/>
      </w:pPr>
      <w:hyperlink r:id="rId20">
        <w:r>
          <w:rPr>
            <w:rStyle w:val="18"/>
          </w:rPr>
          <w:t xml:space="preserve">第四章 HSM转型的动因分析 [25](#第四章-hsm转型的动因分析)</w:t>
        </w:r>
      </w:hyperlink>
    </w:p>
    <w:p>
      <w:pPr>
        <w:pStyle w:val="BodyText"/>
      </w:pPr>
      <w:hyperlink r:id="rId20">
        <w:r>
          <w:rPr>
            <w:rStyle w:val="18"/>
          </w:rPr>
          <w:t xml:space="preserve">4.1 HSM基本情况 [25](#hsm基本情况)</w:t>
        </w:r>
      </w:hyperlink>
    </w:p>
    <w:p>
      <w:pPr>
        <w:pStyle w:val="BodyText"/>
      </w:pPr>
      <w:hyperlink r:id="rId20">
        <w:r>
          <w:rPr>
            <w:rStyle w:val="18"/>
          </w:rPr>
          <w:t xml:space="preserve">4.2 HSM内部资源和能力分析 [25](#hsm内部资源和能力分析)</w:t>
        </w:r>
      </w:hyperlink>
    </w:p>
    <w:p>
      <w:pPr>
        <w:pStyle w:val="BodyText"/>
      </w:pPr>
      <w:hyperlink r:id="rId20">
        <w:r>
          <w:rPr>
            <w:rStyle w:val="18"/>
          </w:rPr>
          <w:t xml:space="preserve">4.2.1 技术资源 [25](#技术资源)</w:t>
        </w:r>
      </w:hyperlink>
    </w:p>
    <w:p>
      <w:pPr>
        <w:pStyle w:val="BodyText"/>
      </w:pPr>
      <w:hyperlink r:id="rId20">
        <w:r>
          <w:rPr>
            <w:rStyle w:val="18"/>
          </w:rPr>
          <w:t xml:space="preserve">4.2.2 产品资源 [26](#产品资源)</w:t>
        </w:r>
      </w:hyperlink>
    </w:p>
    <w:p>
      <w:pPr>
        <w:pStyle w:val="BodyText"/>
      </w:pPr>
      <w:hyperlink r:id="rId20">
        <w:r>
          <w:rPr>
            <w:rStyle w:val="18"/>
          </w:rPr>
          <w:t xml:space="preserve">4.2.3 生产资源 [27](#生产资源)</w:t>
        </w:r>
      </w:hyperlink>
    </w:p>
    <w:p>
      <w:pPr>
        <w:pStyle w:val="BodyText"/>
      </w:pPr>
      <w:hyperlink r:id="rId20">
        <w:r>
          <w:rPr>
            <w:rStyle w:val="18"/>
          </w:rPr>
          <w:t xml:space="preserve">4.2.4 客户资源 [28](#客户资源)</w:t>
        </w:r>
      </w:hyperlink>
    </w:p>
    <w:p>
      <w:pPr>
        <w:pStyle w:val="BodyText"/>
      </w:pPr>
      <w:hyperlink r:id="rId20">
        <w:r>
          <w:rPr>
            <w:rStyle w:val="18"/>
          </w:rPr>
          <w:t xml:space="preserve">4.2.5 人力资源 [28](#人力资源)</w:t>
        </w:r>
      </w:hyperlink>
    </w:p>
    <w:p>
      <w:pPr>
        <w:pStyle w:val="BodyText"/>
      </w:pPr>
      <w:hyperlink r:id="rId20">
        <w:r>
          <w:rPr>
            <w:rStyle w:val="18"/>
          </w:rPr>
          <w:t xml:space="preserve">4.3 HSM竞争战略 [29](#hsm竞争战略)</w:t>
        </w:r>
      </w:hyperlink>
    </w:p>
    <w:p>
      <w:pPr>
        <w:pStyle w:val="BodyText"/>
      </w:pPr>
      <w:hyperlink r:id="rId20">
        <w:r>
          <w:rPr>
            <w:rStyle w:val="18"/>
          </w:rPr>
          <w:t xml:space="preserve">4.3.1 HSM战略目标 [29](#hsm战略目标)</w:t>
        </w:r>
      </w:hyperlink>
    </w:p>
    <w:p>
      <w:pPr>
        <w:pStyle w:val="BodyText"/>
      </w:pPr>
      <w:hyperlink r:id="rId20">
        <w:r>
          <w:rPr>
            <w:rStyle w:val="18"/>
          </w:rPr>
          <w:t xml:space="preserve">4.3.2 基本价值链的竞争选择和实施路径</w:t>
        </w:r>
        <w:r>
          <w:rPr>
            <w:rStyle w:val="18"/>
          </w:rPr>
          <w:t xml:space="preserve"> </w:t>
        </w:r>
        <w:r>
          <w:rPr>
            <w:rStyle w:val="18"/>
          </w:rPr>
          <w:t xml:space="preserve">[29](#基本价值链的竞争选择和实施路径)</w:t>
        </w:r>
      </w:hyperlink>
    </w:p>
    <w:p>
      <w:pPr>
        <w:pStyle w:val="BodyText"/>
      </w:pPr>
      <w:hyperlink r:id="rId20">
        <w:r>
          <w:rPr>
            <w:rStyle w:val="18"/>
          </w:rPr>
          <w:t xml:space="preserve">4.4 HSM面临的机遇和挑战 [31](#hsm面临的机遇和挑战)</w:t>
        </w:r>
      </w:hyperlink>
    </w:p>
    <w:p>
      <w:pPr>
        <w:pStyle w:val="BodyText"/>
      </w:pPr>
      <w:hyperlink r:id="rId20">
        <w:r>
          <w:rPr>
            <w:rStyle w:val="18"/>
          </w:rPr>
          <w:t xml:space="preserve">4.4.1 机遇 [31](#机遇)</w:t>
        </w:r>
      </w:hyperlink>
    </w:p>
    <w:p>
      <w:pPr>
        <w:pStyle w:val="BodyText"/>
      </w:pPr>
      <w:hyperlink r:id="rId20">
        <w:r>
          <w:rPr>
            <w:rStyle w:val="18"/>
          </w:rPr>
          <w:t xml:space="preserve">4.4.2 挑战 [31](#挑战)</w:t>
        </w:r>
      </w:hyperlink>
    </w:p>
    <w:p>
      <w:pPr>
        <w:pStyle w:val="BodyText"/>
      </w:pPr>
      <w:hyperlink r:id="rId20">
        <w:r>
          <w:rPr>
            <w:rStyle w:val="18"/>
          </w:rPr>
          <w:t xml:space="preserve">第五章 HSM转型的实施路径 [33](#第五章-hsm转型的实施路径)</w:t>
        </w:r>
      </w:hyperlink>
    </w:p>
    <w:p>
      <w:pPr>
        <w:pStyle w:val="BodyText"/>
      </w:pPr>
      <w:hyperlink r:id="rId20">
        <w:r>
          <w:rPr>
            <w:rStyle w:val="18"/>
          </w:rPr>
          <w:t xml:space="preserve">5.1产品线差异化研发与创新 [33](#产品线差异化研发与创新)</w:t>
        </w:r>
      </w:hyperlink>
    </w:p>
    <w:p>
      <w:pPr>
        <w:pStyle w:val="BodyText"/>
      </w:pPr>
      <w:hyperlink r:id="rId20">
        <w:r>
          <w:rPr>
            <w:rStyle w:val="18"/>
          </w:rPr>
          <w:t xml:space="preserve">5.1.1产品标准化生产与技术迭代 [33](#产品标准化生产与技术迭代)</w:t>
        </w:r>
      </w:hyperlink>
    </w:p>
    <w:p>
      <w:pPr>
        <w:pStyle w:val="BodyText"/>
      </w:pPr>
      <w:hyperlink r:id="rId20">
        <w:r>
          <w:rPr>
            <w:rStyle w:val="18"/>
          </w:rPr>
          <w:t xml:space="preserve">5.1.2垂直领域技术聚焦与新产品研发</w:t>
        </w:r>
        <w:r>
          <w:rPr>
            <w:rStyle w:val="18"/>
          </w:rPr>
          <w:t xml:space="preserve"> </w:t>
        </w:r>
        <w:r>
          <w:rPr>
            <w:rStyle w:val="18"/>
          </w:rPr>
          <w:t xml:space="preserve">[34](#垂直领域技术聚焦与新产品研发)</w:t>
        </w:r>
      </w:hyperlink>
    </w:p>
    <w:p>
      <w:pPr>
        <w:pStyle w:val="BodyText"/>
      </w:pPr>
      <w:hyperlink r:id="rId20">
        <w:r>
          <w:rPr>
            <w:rStyle w:val="18"/>
          </w:rPr>
          <w:t xml:space="preserve">5.1.3下一代产品布局 [34](#下一代产品布局)</w:t>
        </w:r>
      </w:hyperlink>
    </w:p>
    <w:p>
      <w:pPr>
        <w:pStyle w:val="BodyText"/>
      </w:pPr>
      <w:hyperlink r:id="rId20">
        <w:r>
          <w:rPr>
            <w:rStyle w:val="18"/>
          </w:rPr>
          <w:t xml:space="preserve">5.2 市场销售模式重构与市场聚焦 [34](#市场销售模式重构与市场聚焦)</w:t>
        </w:r>
      </w:hyperlink>
    </w:p>
    <w:p>
      <w:pPr>
        <w:pStyle w:val="BodyText"/>
      </w:pPr>
      <w:hyperlink r:id="rId20">
        <w:r>
          <w:rPr>
            <w:rStyle w:val="18"/>
          </w:rPr>
          <w:t xml:space="preserve">5.2.1捆绑销售模式与渠道合作 [34](#捆绑销售模式与渠道合作)</w:t>
        </w:r>
      </w:hyperlink>
    </w:p>
    <w:p>
      <w:pPr>
        <w:pStyle w:val="BodyText"/>
      </w:pPr>
      <w:hyperlink r:id="rId20">
        <w:r>
          <w:rPr>
            <w:rStyle w:val="18"/>
          </w:rPr>
          <w:t xml:space="preserve">5.2.2垂直行业聚焦与地区合作伙伴体系</w:t>
        </w:r>
        <w:r>
          <w:rPr>
            <w:rStyle w:val="18"/>
          </w:rPr>
          <w:t xml:space="preserve"> </w:t>
        </w:r>
        <w:r>
          <w:rPr>
            <w:rStyle w:val="18"/>
          </w:rPr>
          <w:t xml:space="preserve">[35](#垂直行业聚焦与地区合作伙伴体系)</w:t>
        </w:r>
      </w:hyperlink>
    </w:p>
    <w:p>
      <w:pPr>
        <w:pStyle w:val="BodyText"/>
      </w:pPr>
      <w:hyperlink r:id="rId20">
        <w:r>
          <w:rPr>
            <w:rStyle w:val="18"/>
          </w:rPr>
          <w:t xml:space="preserve">5.2.3 回款机制优化与资金周转率提升</w:t>
        </w:r>
        <w:r>
          <w:rPr>
            <w:rStyle w:val="18"/>
          </w:rPr>
          <w:t xml:space="preserve"> </w:t>
        </w:r>
        <w:r>
          <w:rPr>
            <w:rStyle w:val="18"/>
          </w:rPr>
          <w:t xml:space="preserve">[35](#回款机制优化与资金周转率提升)</w:t>
        </w:r>
      </w:hyperlink>
    </w:p>
    <w:p>
      <w:pPr>
        <w:pStyle w:val="BodyText"/>
      </w:pPr>
      <w:hyperlink r:id="rId20">
        <w:r>
          <w:rPr>
            <w:rStyle w:val="18"/>
          </w:rPr>
          <w:t xml:space="preserve">5.3资源重新配置与团队转型 [36](#资源重新配置与团队转型)</w:t>
        </w:r>
      </w:hyperlink>
    </w:p>
    <w:p>
      <w:pPr>
        <w:pStyle w:val="BodyText"/>
      </w:pPr>
      <w:hyperlink r:id="rId20">
        <w:r>
          <w:rPr>
            <w:rStyle w:val="18"/>
          </w:rPr>
          <w:t xml:space="preserve">5.3.1 研发资源向标准化产品倾斜 [36](#研发资源向标准化产品倾斜)</w:t>
        </w:r>
      </w:hyperlink>
    </w:p>
    <w:p>
      <w:pPr>
        <w:pStyle w:val="BodyText"/>
      </w:pPr>
      <w:hyperlink r:id="rId20">
        <w:r>
          <w:rPr>
            <w:rStyle w:val="18"/>
          </w:rPr>
          <w:t xml:space="preserve">5.3.2 销售团队从售前向售中售后转型</w:t>
        </w:r>
        <w:r>
          <w:rPr>
            <w:rStyle w:val="18"/>
          </w:rPr>
          <w:t xml:space="preserve"> </w:t>
        </w:r>
        <w:r>
          <w:rPr>
            <w:rStyle w:val="18"/>
          </w:rPr>
          <w:t xml:space="preserve">[37](#销售团队从售前向售中售后转型)</w:t>
        </w:r>
      </w:hyperlink>
    </w:p>
    <w:p>
      <w:pPr>
        <w:pStyle w:val="BodyText"/>
      </w:pPr>
      <w:hyperlink r:id="rId20">
        <w:r>
          <w:rPr>
            <w:rStyle w:val="18"/>
          </w:rPr>
          <w:t xml:space="preserve">5.3.3 项目制团队向产品化团队转型 [37](#项目制团队向产品化团队转型)</w:t>
        </w:r>
      </w:hyperlink>
    </w:p>
    <w:p>
      <w:pPr>
        <w:pStyle w:val="BodyText"/>
      </w:pPr>
      <w:hyperlink r:id="rId20">
        <w:r>
          <w:rPr>
            <w:rStyle w:val="18"/>
          </w:rPr>
          <w:t xml:space="preserve">5.4供应链与生产流程优化 [37](#供应链与生产流程优化)</w:t>
        </w:r>
      </w:hyperlink>
    </w:p>
    <w:p>
      <w:pPr>
        <w:pStyle w:val="BodyText"/>
      </w:pPr>
      <w:hyperlink r:id="rId20">
        <w:r>
          <w:rPr>
            <w:rStyle w:val="18"/>
          </w:rPr>
          <w:t xml:space="preserve">5.4.1供应链调整与标准化生产 [37](#供应链调整与标准化生产)</w:t>
        </w:r>
      </w:hyperlink>
    </w:p>
    <w:p>
      <w:pPr>
        <w:pStyle w:val="BodyText"/>
      </w:pPr>
      <w:hyperlink r:id="rId20">
        <w:r>
          <w:rPr>
            <w:rStyle w:val="18"/>
          </w:rPr>
          <w:t xml:space="preserve">5.4.2产业链优化与合作伙伴协同平台</w:t>
        </w:r>
        <w:r>
          <w:rPr>
            <w:rStyle w:val="18"/>
          </w:rPr>
          <w:t xml:space="preserve"> </w:t>
        </w:r>
        <w:r>
          <w:rPr>
            <w:rStyle w:val="18"/>
          </w:rPr>
          <w:t xml:space="preserve">[38](#产业链优化与合作伙伴协同平台)</w:t>
        </w:r>
      </w:hyperlink>
    </w:p>
    <w:p>
      <w:pPr>
        <w:pStyle w:val="BodyText"/>
      </w:pPr>
      <w:hyperlink r:id="rId20">
        <w:r>
          <w:rPr>
            <w:rStyle w:val="18"/>
          </w:rPr>
          <w:t xml:space="preserve">5.4.3 数字化工具提升管理效率 [38](#数字化工具提升管理效率)</w:t>
        </w:r>
      </w:hyperlink>
    </w:p>
    <w:p>
      <w:pPr>
        <w:pStyle w:val="BodyText"/>
      </w:pPr>
      <w:hyperlink r:id="rId20">
        <w:r>
          <w:rPr>
            <w:rStyle w:val="18"/>
          </w:rPr>
          <w:t xml:space="preserve">5.5构建可持续发展伙伴关系 [38](#构建可持续发展伙伴关系)</w:t>
        </w:r>
      </w:hyperlink>
    </w:p>
    <w:p>
      <w:pPr>
        <w:pStyle w:val="BodyText"/>
      </w:pPr>
      <w:hyperlink r:id="rId20">
        <w:r>
          <w:rPr>
            <w:rStyle w:val="18"/>
          </w:rPr>
          <w:t xml:space="preserve">5.5.1 与试验机厂家的深度合作模式 [38](#与试验机厂家的深度合作模式)</w:t>
        </w:r>
      </w:hyperlink>
    </w:p>
    <w:p>
      <w:pPr>
        <w:pStyle w:val="BodyText"/>
      </w:pPr>
      <w:hyperlink r:id="rId20">
        <w:r>
          <w:rPr>
            <w:rStyle w:val="18"/>
          </w:rPr>
          <w:t xml:space="preserve">5.5.2 地区合作伙伴培育与管理体系 [38](#地区合作伙伴培育与管理体系)</w:t>
        </w:r>
      </w:hyperlink>
    </w:p>
    <w:p>
      <w:pPr>
        <w:pStyle w:val="BodyText"/>
      </w:pPr>
      <w:hyperlink r:id="rId20">
        <w:r>
          <w:rPr>
            <w:rStyle w:val="18"/>
          </w:rPr>
          <w:t xml:space="preserve">5.5.3 产学研合作与行业标准共建 [39](#产学研合作与行业标准共建)</w:t>
        </w:r>
      </w:hyperlink>
    </w:p>
    <w:p>
      <w:pPr>
        <w:pStyle w:val="BodyText"/>
      </w:pPr>
      <w:hyperlink r:id="rId20">
        <w:r>
          <w:rPr>
            <w:rStyle w:val="18"/>
          </w:rPr>
          <w:t xml:space="preserve">5.6 实施路径的时间规划与关键里程碑</w:t>
        </w:r>
        <w:r>
          <w:rPr>
            <w:rStyle w:val="18"/>
          </w:rPr>
          <w:t xml:space="preserve"> </w:t>
        </w:r>
        <w:r>
          <w:rPr>
            <w:rStyle w:val="18"/>
          </w:rPr>
          <w:t xml:space="preserve">[39](#实施路径的时间规划与关键里程碑)</w:t>
        </w:r>
      </w:hyperlink>
    </w:p>
    <w:p>
      <w:pPr>
        <w:pStyle w:val="BodyText"/>
      </w:pPr>
      <w:hyperlink r:id="rId20">
        <w:r>
          <w:rPr>
            <w:rStyle w:val="18"/>
          </w:rPr>
          <w:t xml:space="preserve">5.6.1基础建设期 [39](#基础建设期)</w:t>
        </w:r>
      </w:hyperlink>
    </w:p>
    <w:p>
      <w:pPr>
        <w:pStyle w:val="BodyText"/>
      </w:pPr>
      <w:hyperlink r:id="rId20">
        <w:r>
          <w:rPr>
            <w:rStyle w:val="18"/>
          </w:rPr>
          <w:t xml:space="preserve">5.6.2全面推进期 [39](#全面推进期)</w:t>
        </w:r>
      </w:hyperlink>
    </w:p>
    <w:p>
      <w:pPr>
        <w:pStyle w:val="BodyText"/>
      </w:pPr>
      <w:hyperlink r:id="rId20">
        <w:r>
          <w:rPr>
            <w:rStyle w:val="18"/>
          </w:rPr>
          <w:t xml:space="preserve">5.6.3成果巩固期 [39](#成果巩固期)</w:t>
        </w:r>
      </w:hyperlink>
    </w:p>
    <w:p>
      <w:pPr>
        <w:pStyle w:val="BodyText"/>
      </w:pPr>
      <w:hyperlink r:id="rId20">
        <w:r>
          <w:rPr>
            <w:rStyle w:val="18"/>
          </w:rPr>
          <w:t xml:space="preserve">5.7 预期成效与风险评估 [40](#预期成效与风险评估)</w:t>
        </w:r>
      </w:hyperlink>
    </w:p>
    <w:p>
      <w:pPr>
        <w:pStyle w:val="BodyText"/>
      </w:pPr>
      <w:hyperlink r:id="rId20">
        <w:r>
          <w:rPr>
            <w:rStyle w:val="18"/>
          </w:rPr>
          <w:t xml:space="preserve">5.7.1 预期成效 [40](#预期成效)</w:t>
        </w:r>
      </w:hyperlink>
    </w:p>
    <w:p>
      <w:pPr>
        <w:pStyle w:val="BodyText"/>
      </w:pPr>
      <w:hyperlink r:id="rId20">
        <w:r>
          <w:rPr>
            <w:rStyle w:val="18"/>
          </w:rPr>
          <w:t xml:space="preserve">5.7.2 风险与应对 [40](#风险与应对)</w:t>
        </w:r>
      </w:hyperlink>
    </w:p>
    <w:p>
      <w:pPr>
        <w:pStyle w:val="BodyText"/>
      </w:pPr>
      <w:hyperlink r:id="rId20">
        <w:r>
          <w:rPr>
            <w:rStyle w:val="18"/>
          </w:rPr>
          <w:t xml:space="preserve">第六章 HSM转型的成效评估 [41](#第六章-hsm转型的成效评估)</w:t>
        </w:r>
      </w:hyperlink>
    </w:p>
    <w:p>
      <w:pPr>
        <w:pStyle w:val="BodyText"/>
      </w:pPr>
      <w:hyperlink r:id="rId20">
        <w:r>
          <w:rPr>
            <w:rStyle w:val="18"/>
          </w:rPr>
          <w:t xml:space="preserve">6.1 转型成效评估框架构建 [41](#转型成效评估框架构建)</w:t>
        </w:r>
      </w:hyperlink>
    </w:p>
    <w:p>
      <w:pPr>
        <w:pStyle w:val="BodyText"/>
      </w:pPr>
      <w:hyperlink r:id="rId20">
        <w:r>
          <w:rPr>
            <w:rStyle w:val="18"/>
          </w:rPr>
          <w:t xml:space="preserve">6.2 财务绩效成效分析 [42](#财务绩效成效分析)</w:t>
        </w:r>
      </w:hyperlink>
    </w:p>
    <w:p>
      <w:pPr>
        <w:pStyle w:val="BodyText"/>
      </w:pPr>
      <w:hyperlink r:id="rId20">
        <w:r>
          <w:rPr>
            <w:rStyle w:val="18"/>
          </w:rPr>
          <w:t xml:space="preserve">6.3 市场地位与品牌影响力 [43](#市场地位与品牌影响力)</w:t>
        </w:r>
      </w:hyperlink>
    </w:p>
    <w:p>
      <w:pPr>
        <w:pStyle w:val="BodyText"/>
      </w:pPr>
      <w:hyperlink r:id="rId20">
        <w:r>
          <w:rPr>
            <w:rStyle w:val="18"/>
          </w:rPr>
          <w:t xml:space="preserve">6.4 技术创新成效评估 [44](#技术创新成效评估)</w:t>
        </w:r>
      </w:hyperlink>
    </w:p>
    <w:p>
      <w:pPr>
        <w:pStyle w:val="BodyText"/>
      </w:pPr>
      <w:hyperlink r:id="rId20">
        <w:r>
          <w:rPr>
            <w:rStyle w:val="18"/>
          </w:rPr>
          <w:t xml:space="preserve">6.5 组织能力与文化变革 [45](#组织能力与文化变革)</w:t>
        </w:r>
      </w:hyperlink>
    </w:p>
    <w:p>
      <w:pPr>
        <w:pStyle w:val="BodyText"/>
      </w:pPr>
      <w:hyperlink r:id="rId20">
        <w:r>
          <w:rPr>
            <w:rStyle w:val="18"/>
          </w:rPr>
          <w:t xml:space="preserve">6.6 可持续发展能力评估 [46](#可持续发展能力评估)</w:t>
        </w:r>
      </w:hyperlink>
    </w:p>
    <w:p>
      <w:pPr>
        <w:pStyle w:val="BodyText"/>
      </w:pPr>
      <w:hyperlink r:id="rId20">
        <w:r>
          <w:rPr>
            <w:rStyle w:val="18"/>
          </w:rPr>
          <w:t xml:space="preserve">6.7 转型成效综合评价 [47](#转型成效综合评价)</w:t>
        </w:r>
      </w:hyperlink>
    </w:p>
    <w:p>
      <w:pPr>
        <w:pStyle w:val="BodyText"/>
      </w:pPr>
      <w:hyperlink r:id="rId20">
        <w:r>
          <w:rPr>
            <w:rStyle w:val="18"/>
          </w:rPr>
          <w:t xml:space="preserve">第七章 结论与建议 [49](#第七章-结论与建议)</w:t>
        </w:r>
      </w:hyperlink>
    </w:p>
    <w:p>
      <w:pPr>
        <w:pStyle w:val="BodyText"/>
      </w:pPr>
      <w:hyperlink r:id="rId20">
        <w:r>
          <w:rPr>
            <w:rStyle w:val="18"/>
          </w:rPr>
          <w:t xml:space="preserve">7.1 主要研究发现 [49](#主要研究发现)</w:t>
        </w:r>
      </w:hyperlink>
    </w:p>
    <w:p>
      <w:pPr>
        <w:pStyle w:val="BodyText"/>
      </w:pPr>
      <w:hyperlink r:id="rId20">
        <w:r>
          <w:rPr>
            <w:rStyle w:val="18"/>
          </w:rPr>
          <w:t xml:space="preserve">7.2 管理实践建议 [49](#管理实践建议)</w:t>
        </w:r>
      </w:hyperlink>
    </w:p>
    <w:p>
      <w:pPr>
        <w:pStyle w:val="BodyText"/>
      </w:pPr>
      <w:hyperlink r:id="rId20">
        <w:r>
          <w:rPr>
            <w:rStyle w:val="18"/>
          </w:rPr>
          <w:t xml:space="preserve">7.3 行业政策建议 [50](#行业政策建议)</w:t>
        </w:r>
      </w:hyperlink>
    </w:p>
    <w:p>
      <w:pPr>
        <w:pStyle w:val="BodyText"/>
      </w:pPr>
      <w:hyperlink r:id="rId20">
        <w:r>
          <w:rPr>
            <w:rStyle w:val="18"/>
          </w:rPr>
          <w:t xml:space="preserve">7.4 研究总结与展望 [50](#研究总结与展望)</w:t>
        </w:r>
      </w:hyperlink>
    </w:p>
    <w:p>
      <w:pPr>
        <w:pStyle w:val="BodyText"/>
      </w:pPr>
      <w:hyperlink r:id="rId20">
        <w:r>
          <w:rPr>
            <w:rStyle w:val="18"/>
          </w:rPr>
          <w:t xml:space="preserve">参考文献 [52](#参考文献)</w:t>
        </w:r>
      </w:hyperlink>
    </w:p>
    <w:p>
      <w:pPr>
        <w:pStyle w:val="BodyText"/>
      </w:pPr>
      <w:hyperlink r:id="rId20">
        <w:r>
          <w:rPr>
            <w:rStyle w:val="18"/>
          </w:rPr>
          <w:t xml:space="preserve">致谢 [54](#致谢)</w:t>
        </w:r>
      </w:hyperlink>
    </w:p>
    <w:p>
      <w:pPr>
        <w:pStyle w:val="BodyText"/>
      </w:pPr>
      <w:hyperlink r:id="rId20">
        <w:r>
          <w:rPr>
            <w:rStyle w:val="18"/>
          </w:rPr>
          <w:t xml:space="preserve">北京大学学位论文原创性声明和使用授权说明</w:t>
        </w:r>
        <w:r>
          <w:rPr>
            <w:rStyle w:val="18"/>
          </w:rPr>
          <w:t xml:space="preserve"> </w:t>
        </w:r>
        <w:r>
          <w:rPr>
            <w:rStyle w:val="18"/>
          </w:rPr>
          <w:t xml:space="preserve">[55](#北京大学学位论文原创性声明和使用授权说明)</w:t>
        </w:r>
      </w:hyperlink>
    </w:p>
    <w:bookmarkEnd w:id="21"/>
    <w:bookmarkEnd w:id="22"/>
    <w:bookmarkEnd w:id="23"/>
    <w:bookmarkStart w:id="28" w:name="第一章-绪论"/>
    <w:p>
      <w:pPr>
        <w:pStyle w:val="2"/>
      </w:pPr>
      <w:r>
        <w:t xml:space="preserve">第一章 绪论</w:t>
      </w:r>
    </w:p>
    <w:bookmarkStart w:id="24" w:name="研究背景"/>
    <w:p>
      <w:pPr>
        <w:pStyle w:val="3"/>
      </w:pPr>
      <w:r>
        <w:t xml:space="preserve">1.1研究背景</w:t>
      </w:r>
    </w:p>
    <w:p>
      <w:pPr>
        <w:pStyle w:val="FirstParagraph"/>
      </w:pPr>
      <w:r>
        <w:t xml:space="preserve">当前，中美科技竞争日趋常态化，数字化转型也在不断深化。在此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该技术广泛应用于桥梁健康监测、工业设备状态评估、建筑结构安全检测等关键领域。数字图像相关（Digital Image Correlation, DIC）技术是视觉力学传感器的核心，正从传统的实验室科研工具向工业级标准化产品快速演进。</w:t>
      </w:r>
    </w:p>
    <w:p>
      <w:pPr>
        <w:pStyle w:val="BodyText"/>
      </w:pPr>
      <w:r>
        <w:t xml:space="preserve">行业研究报告显示，中国基础设施安全监测市场在2024年已达到850亿元规模，预计到2027年将突破1500亿元，年复合增长率超过20%。这一快速增长主要受到政策红利持续释放、技术革新推动产业升级以及市场需求多元化发展等因素的共同驱动。在机器视觉监测技术领域，市场份额从2022年的15%快速增长至2024年的35%，技术替代效应明显，这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3"/>
      </w:pPr>
      <w:r>
        <w:t xml:space="preserve">1.2 研究意义</w:t>
      </w:r>
    </w:p>
    <w:p>
      <w:pPr>
        <w:pStyle w:val="FirstParagraph"/>
      </w:pPr>
      <w:r>
        <w:t xml:space="preserve">通过对现有研究资料的梳理可以发现，当前学术界对视觉力学传感器领域的探讨多集中于技术原理分析、应用案例介绍或企业财务绩效评估。然而，将研究视角深入到具体企业层面，系统性地分析其转型布局，专门探讨硬科技企业如何从项目制向产品化转型、构建市场信任并实现突破的学术成果仍然较为缺乏。本研究正是针对这一研究缺口，运用公司战略的理论工具，尝试解决视觉力学传感器企业在国产替代和数字化转型双重背景下所面临的核心痛点。</w:t>
      </w:r>
    </w:p>
    <w:p>
      <w:pPr>
        <w:pStyle w:val="BodyText"/>
      </w:pPr>
      <w:r>
        <w:t xml:space="preserve">从理论贡献的角度来看，本研究基于企业转型理论的分析框架，深入剖析硬科技企业的转型动因、实施路径和成效评估机制。现有关于企业转型的研究主要集中在传统制造业和服务业领域，对硬科技企业转型特殊性的关注相对不足。本研究以HSM公司为典型案例，探讨硬科技企业转型过程中呈现的特殊规律性特征，从而为动态能力理论提供了新的实证支持。通过分析HSM公司在技术吸收、资源重构和组织学习等方面的具体实践，研究揭示了动态能力在硬科技企业构建和维持竞争优势过程中的作用机制。同时，本研究还尝试完善技术创新与战略转型的整合分析框架，探索技术驱动下的企业转型机制，为技术密集型企业的战略管理决策提供理论参考。</w:t>
      </w:r>
    </w:p>
    <w:p>
      <w:pPr>
        <w:pStyle w:val="BodyText"/>
      </w:pPr>
      <w:r>
        <w:t xml:space="preserve">在实践指导价值方面，本研究对视觉力学传感器企业及相关硬科技企业具有切实的借鉴意义。HSM公司从项目制向产品化转型的实践经验，为同类企业制定和实施转型战略提供了可参考的路径选择和方法工具。研究深入探讨了技术驱动型企业在不同发展阶段所面临的战略选择困境和管理挑战，特别是技术创新与商业化之间的平衡问题、项目经验向标准化产品的转化机制构建问题，以及支持转型所需的组织结构和人才配置优化问题。这些基于实际案例的探索对于正在经历或即将面临类似转型挑战的硬科技企业具有直接的实践参考价值。</w:t>
      </w:r>
    </w:p>
    <w:p>
      <w:pPr>
        <w:pStyle w:val="BodyText"/>
      </w:pPr>
      <w:r>
        <w:t xml:space="preserve">从政策参考的角度而言，本研究对政府制定科技创新和产业升级相关政策具有启示意义。基于硬科技企业在转型过程中的实际需求，研究提出了更具针对性和操作性的创新支持政策建议，涉及研发补贴机制优化、人才引进政策完善、市场准入条件调整以及标准化建设推进等多个方面。研究还探讨了如何构建更加高效的产学研用协同合作机制，为加速科技成果转化提供了实践案例参考。同时，研究为视觉力学传感器等战略性新兴产业的集群化发展提供了路径指引，有助于推动产业协同创新和生态系统构建。</w:t>
      </w:r>
    </w:p>
    <w:bookmarkEnd w:id="25"/>
    <w:bookmarkStart w:id="26" w:name="研究内容与方法"/>
    <w:p>
      <w:pPr>
        <w:pStyle w:val="3"/>
      </w:pPr>
      <w:r>
        <w:t xml:space="preserve">1.3 研究内容与方法</w:t>
      </w:r>
    </w:p>
    <w:p>
      <w:pPr>
        <w:pStyle w:val="FirstParagraph"/>
      </w:pPr>
      <w:r>
        <w:t xml:space="preserve">本研究在内容设计上采用了多层次的分析框架。首先，研究将引用经典的PEST分析模型和波特五力模型对宏观环境与行业竞争格局进行系统分析，同时运用价值链分析、波士顿矩阵等战略理论工具。以HSM公司为具体研究对象，通过深入拆解其内部后勤、生产运营、技术开发、人力资源等关键环节，结合视觉力学传感器行业特有的竞争特征，制定各环节的优化策略，最终构建企业的价值分析和核心竞争优势体系。研究还尝试探索在品牌弱势和技术追赶双重条件下有效的营销范式，旨在为国产视觉力学传感器领域，特别是DIC技术的学术研究提供一个具有参考价值的战略案例。</w:t>
      </w:r>
    </w:p>
    <w:p>
      <w:pPr>
        <w:pStyle w:val="BodyText"/>
      </w:pPr>
      <w:r>
        <w:t xml:space="preserve">在研究方法的选择上，本研究综合运用了多种研究方法以确保研究的科学性和可靠性。文献研究是本研究的基础性工作，通过系统查阅国内外关于视觉力学传感器行业、企业转型、技术创新管理等领域的学术论文、行业报告、政策文件、企业年报及权威数据库，全面梳理行业发展趋势、技术演进路径、政策支持体系以及国内外标杆企业的战略实践，为后续的PEST分析、波特五力分析、SWOT分析等提供坚实的理论基础和数据支撑。</w:t>
      </w:r>
    </w:p>
    <w:p>
      <w:pPr>
        <w:pStyle w:val="BodyText"/>
      </w:pPr>
      <w:r>
        <w:t xml:space="preserve">案例研究法是本研究的核心方法，以HSM公司为典型案例，通过深入访谈、文档分析、参与观察等多种方式获取第一手研究资料，系统分析企业从项目制向产品化转型的战略决策过程、具体实施路径和实际成效评估。PEST分析法将从政治、经济、社会、技术四个维度对视觉力学传感器行业所处的宏观环境进行系统分析，识别关键影响因素，明确行业发展的机遇与威胁，为HSM公司的战略制定提供外部依据。</w:t>
      </w:r>
    </w:p>
    <w:p>
      <w:pPr>
        <w:pStyle w:val="BodyText"/>
      </w:pPr>
      <w:r>
        <w:t xml:space="preserve">波特五力模型分析法则运用经典的五力框架，从现有竞争者竞争程度、潜在进入者威胁、替代品威胁、供应商议价能力和客户议价能力五个方面，深入分析视觉力学传感器行业的竞争结构与竞争强度，通过识别行业关键竞争压力点为HSM公司制定竞争战略和构建竞争优势提供依据。SWOT分析法结合企业内部资源与能力状况，从优势、劣势、机遇、威胁四个维度对HSM公司的内外部条件进行综合分析，通过SWOT矩阵匹配形成不同类型的战略组合，为企业战略选择提供清晰方向。</w:t>
      </w:r>
    </w:p>
    <w:p>
      <w:pPr>
        <w:pStyle w:val="BodyText"/>
      </w:pPr>
      <w:r>
        <w:t xml:space="preserve">此外，研究还采用了比较分析法，将HSM与行业主要竞争对手进行比较分析，识别其竞争优势和不足之处，为制定差异化竞争战略提供参考依据。多种研究方法的综合运用有助于从不同角度深入剖析研究问题，增强研究结论的科学性和说服力。</w:t>
      </w:r>
    </w:p>
    <w:bookmarkEnd w:id="26"/>
    <w:bookmarkStart w:id="27" w:name="论文结构安排"/>
    <w:p>
      <w:pPr>
        <w:pStyle w:val="3"/>
      </w:pPr>
      <w:r>
        <w:t xml:space="preserve">1.4 论文结构安排</w:t>
      </w:r>
    </w:p>
    <w:p>
      <w:pPr>
        <w:pStyle w:val="FirstParagraph"/>
      </w:pPr>
      <w:r>
        <w:t xml:space="preserve">本研究论文在结构上共分为七个章节，各章节内容安排如下。</w:t>
      </w:r>
    </w:p>
    <w:p>
      <w:pPr>
        <w:pStyle w:val="BodyText"/>
      </w:pPr>
      <w:r>
        <w:t xml:space="preserve">第一章为绪论部分，主要介绍研究背景、研究意义、研究内容与研究方法，明确整体研究框架和分析思路。</w:t>
      </w:r>
    </w:p>
    <w:p>
      <w:pPr>
        <w:pStyle w:val="BodyText"/>
      </w:pPr>
      <w:r>
        <w:t xml:space="preserve">第二章是理论基础与文献综述，系统梳理企业战略转型理论、视觉力学传感器行业概况以及相关研究进展，为本研究提供理论支撑和文献基础。</w:t>
      </w:r>
    </w:p>
    <w:p>
      <w:pPr>
        <w:pStyle w:val="BodyText"/>
      </w:pPr>
      <w:r>
        <w:t xml:space="preserve">第三章聚焦于HSM公司外部环境分析，首先介绍HSM公司的发展历程，然后深入分析视觉力学传感器行业的宏观环境和竞争格局。</w:t>
      </w:r>
    </w:p>
    <w:p>
      <w:pPr>
        <w:pStyle w:val="BodyText"/>
      </w:pPr>
      <w:r>
        <w:t xml:space="preserve">第四章进行HSM转型的动因分析，从外部环境驱动和内部发展需求两个维度系统分析公司实施战略转型的驱动因素和必要性。</w:t>
      </w:r>
    </w:p>
    <w:p>
      <w:pPr>
        <w:pStyle w:val="BodyText"/>
      </w:pPr>
      <w:r>
        <w:t xml:space="preserve">第五章详细探讨HSM转型的实施路径，从技术战略转型、市场战略调整、组织架构变革和数字化转型四个维度研究具体的转型举措和实施方案。</w:t>
      </w:r>
    </w:p>
    <w:p>
      <w:pPr>
        <w:pStyle w:val="BodyText"/>
      </w:pPr>
      <w:r>
        <w:t xml:space="preserve">第六章对HSM转型的成效进行评估，从财务绩效、市场地位、技术创新和组织能力等多个维度综合评价转型的实际效果，分析成功经验和不足之处。</w:t>
      </w:r>
    </w:p>
    <w:p>
      <w:pPr>
        <w:pStyle w:val="BodyText"/>
      </w:pPr>
      <w:r>
        <w:t xml:space="preserve">第七章为结论与建议部分，总结本研究的主要结论，提出对同类企业的管理启示，并就相关政策制定提出具体建议。</w:t>
      </w:r>
    </w:p>
    <w:p>
      <w:pPr>
        <w:pStyle w:val="BodyText"/>
      </w:pPr>
      <w:r>
        <w:t xml:space="preserve">本章小结：作为整篇研究的开篇章节，本章在系统分析视觉力学传感器行业战略重要性和技术演进趋势的基础上，特别指出了硬科技企业在从项目制向产品化转型过程中面临的核心挑战。通过对HSM公司典型案例的聚焦分析，本章构建的多层次研究框架不仅整合了文献研究、案例研究、PEST分析、波特五力模型、SWOT分析和比较分析等多种研究方法，更重要的是确立了技术驱动型战略转型的特殊性分析视角。本章的研究设计强调理论分析与实践探索的结合，为后续章节深入剖析HSM公司的外部环境特征、转型动因机制、实施路径选择和成效评估方法提供了具有连贯性的分析逻辑。尤为关键的是，本章明确了硬科技企业转型研究在理论拓展和实践指导方面的双重价值，为理解技术密集型企业在动态竞争环境中的战略调整提供了新的分析切入点。</w:t>
      </w:r>
    </w:p>
    <w:bookmarkEnd w:id="27"/>
    <w:bookmarkEnd w:id="28"/>
    <w:bookmarkStart w:id="32" w:name="第二章-理论基础与文献综述"/>
    <w:p>
      <w:pPr>
        <w:pStyle w:val="2"/>
      </w:pPr>
      <w:r>
        <w:t xml:space="preserve">第二章 理论基础与文献综述</w:t>
      </w:r>
    </w:p>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这一过程不仅涉及战略内容的调整，更包括战略决策程序和实施方式的根本性改变。</w:t>
      </w:r>
    </w:p>
    <w:p>
      <w:pPr>
        <w:pStyle w:val="BodyText"/>
      </w:pPr>
      <w:r>
        <w:t xml:space="preserve">从转型的内涵与类型来看，根据转型的深度和广度差异，战略转型可分为多种类型。在转型方式上，渐进式转型在现有框架内逐步调整，风险较小但变革效果有限；而激进式转型则打破现有框架进行根本性变革，风险较大但可能带来突破性发展。在转型动因上，防御型转型是为应对外部威胁或内部危机而采取的被动转型；进攻型转型则是为把握市场机遇或构建新竞争优势而采取的主动转型。在转型范围上，业务层面转型涉及具体业务单元的战略调整；公司层面转型则涉及整个公司的战略方向和组织结构变革。</w:t>
      </w:r>
    </w:p>
    <w:p>
      <w:pPr>
        <w:pStyle w:val="BodyText"/>
      </w:pPr>
      <w:r>
        <w:t xml:space="preserve">企业转型的理论基础主要建立在资源基础观、动态能力理论和组织学习理论等核心理论上。资源基础观（Resource-Based View, RBV）强调企业内部资源和能力是竞争优势的来源，认为企业转型的核心在于重新配置和优化核心资源，构建难以模仿的竞争优势（Barney, 1991）。动态能力理论（Dynamic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组织学习理论则强调企业通过经验积累、知识共享和能力构建来推动战略演化，将学习能力视为战略转型成功的关键因素（Argyris &amp; Schön, 1978）。此外，技术创新理论关注技术轨道转换、技术能力构建和技术生态演化，为技术驱动型战略转型提供了理论指导（Dosi, 1982）。这些理论共同为分析硬科技企业战略转型提供了多维度的理论视角。</w:t>
      </w:r>
    </w:p>
    <w:p>
      <w:pPr>
        <w:pStyle w:val="BodyText"/>
      </w:pPr>
      <w:r>
        <w:t xml:space="preserve">企业转型的动力机制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以及竞争格局演变，即新进入者威胁、替代品出现、产业链重构等。内部发展驱动因素则包括资源能力积累，即核心技术的突破、关键人才的引进、组织能力的提升；成长瓶颈突破，即现有业务增长放缓、利润率下降、市场份额停滞；战略愿景调整，即企业家精神、战略远见、价值追求的变化；以及组织学习效应，即通过经验积累、知识共享、能力构建推动战略演化。</w:t>
      </w:r>
    </w:p>
    <w:p>
      <w:pPr>
        <w:pStyle w:val="BodyText"/>
      </w:pPr>
      <w:r>
        <w:t xml:space="preserve">转型的实施是一个复杂的系统工程，涉及多个维度的协同变革。在技术路径转型方面，主要通过技术创新、技术引进和技术融合等方式实现技术升级；市场路径转型涉及调整市场定位、拓展新市场和创新商业模式；组织路径转型则包括优化组织结构、变革管理机制和重塑企业文化；资源路径转型需要重新配置财务资源、人力资源和技术资源等关键资源；制度路径转型则要求建立新的管理制度、激励机制和风险控制体系。</w:t>
      </w:r>
    </w:p>
    <w:p>
      <w:pPr>
        <w:pStyle w:val="BodyText"/>
      </w:pPr>
      <w:r>
        <w:t xml:space="preserve">评估战略转型成效需要建立多维度的评估框架。财务绩效维度关注营业收入增长率、利润率和资产回报率等财务指标的改善；市场地位维度考察市场份额、品牌影响力和客户满意度等市场表现的提升；创新能力维度评估研发投入强度、专利数量和新产品开发速度等创新指标；组织能力维度衡量组织学习能力、人才梯队建设和管理效率的提升；可持续发展维度则关注环境社会责任表现、长期战略匹配度和风险抵御能力。</w:t>
      </w:r>
    </w:p>
    <w:bookmarkEnd w:id="29"/>
    <w:bookmarkStart w:id="30" w:name="视觉力学传感器行业概述"/>
    <w:p>
      <w:pPr>
        <w:pStyle w:val="3"/>
      </w:pPr>
      <w:r>
        <w:t xml:space="preserve">2.2 视觉力学传感器行业概述</w:t>
      </w:r>
    </w:p>
    <w:p>
      <w:pPr>
        <w:pStyle w:val="FirstParagraph"/>
      </w:pP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主要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差异化特征：北美市场技术研发领先，高端应用需求旺盛；欧洲市场工业基础雄厚，质量检测要求严格；亚太市场制造业集中，市场规模增长最快；其他地区作为新兴市场，增长潜力较大。中国市场表现出自身的特点：政策支持力度较大，国家高度重视传感器产业发展，出台一系列支持政策；应用场景丰富，制造业转型升级为视觉传感器提供广阔应用空间；产业链相对完整，从原材料到终端应用形成了较为完善的产业链体系；竞争格局较为分散，企业数量较多，但具有核心技术竞争力的企业相对较少。</w:t>
      </w:r>
    </w:p>
    <w:p>
      <w:pPr>
        <w:pStyle w:val="BodyText"/>
      </w:pPr>
      <w:r>
        <w:t xml:space="preserve">视觉力学传感器产业链包括上游产业、中游产业和下游应用领域三个主要环节。上游产业主要包括光学元件（如镜头、光源、滤光片等）、图像传感器（如CMOS、CCD等）、核心算法（如图像处理算法、人工智能算法）和软件系统（如测量软件、分析软件、控制软件）。中游产业涉及DIC视觉传感器制造、系统集成与解决方案提供、测试验证服务等。下游应用领域涵盖材料测试（如金属材料、复合材料、生物材料等力学性能测试）、结构测试（如汽车、航空航天、建筑等结构强度测试）、安全检测（如桥梁、隧道、大坝等基础设施安全监测）、工业在线测量（如智能制造、质量控制、过程监控）以及科研教育（如高校、科研院所的实验教学与科学研究）。主要竞争企业包括国际领先企业（如德国GOM、美国Correlated Solutions、日本Keyence等）、国内领先企业（如海塞姆科技、中科检测、华测检测等）以及一批专注于特定应用场景的新兴创业企业。</w:t>
      </w:r>
    </w:p>
    <w:p>
      <w:pPr>
        <w:pStyle w:val="BodyText"/>
      </w:pPr>
      <w:r>
        <w:t xml:space="preserve">技术发展趋势方面，视觉力学传感器领域呈现出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等主要方向。同时，该领域也面临一系列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等问题。</w:t>
      </w:r>
    </w:p>
    <w:bookmarkEnd w:id="30"/>
    <w:bookmarkStart w:id="31" w:name="相关研究综述"/>
    <w:p>
      <w:pPr>
        <w:pStyle w:val="3"/>
      </w:pPr>
      <w:r>
        <w:t xml:space="preserve">2.3 相关研究综述</w:t>
      </w:r>
    </w:p>
    <w:p>
      <w:pPr>
        <w:pStyle w:val="FirstParagraph"/>
      </w:pPr>
      <w:r>
        <w:t xml:space="preserve">硬科技企业是指基于前沿科学发现和技术创新，从事高技术含量、高附加值产品研发和制造的企业。这类企业的战略转型呈现出一些显著特点：技术驱动明显，技术创新是转型的核心动力，技术路线选择直接影响转型方向；研发投入大，需要持续的高强度研发投入，资金压力较大；人才依赖性强，高端技术人才和管理人才是转型成功的关键；周期长风险高，从技术研发到产品化、市场化周期长，不确定性大；生态协同重要，需要构建产学研用协同的创新生态系统。现有研究主要从多个角度探讨硬科技企业战略转型，包括技术轨道转换与技术能力构建（李纪珍等，2021）、创新网络演化与生态系统构建（王毅等，2022）、组织学习与动态能力发展（张玉利等，2020）以及政策支持与市场环境互动（陈劲等，2016）。</w:t>
      </w:r>
    </w:p>
    <w:p>
      <w:pPr>
        <w:pStyle w:val="BodyText"/>
      </w:pPr>
      <w:r>
        <w:t xml:space="preserve">传感器作为物联网、智能制造、人工智能等新兴产业的基础，其创新发展备受关注。相关研究主要集中在多个方面，包括技术创新路径（涉及MEMS技术、纳米技术、智能算法等在传感器中的应用）、商业模式创新（关注从产品制造向”产品+服务+数据”的商业模式转变）、产业生态构建（探讨传感器企业与上下游企业的协同创新）以及标准化与产业化（包括技术标准制定、产业化推广和规模化应用）等。</w:t>
      </w:r>
    </w:p>
    <w:p>
      <w:pPr>
        <w:pStyle w:val="BodyText"/>
      </w:pPr>
      <w:r>
        <w:t xml:space="preserve">数字化转型是企业转型的重要形式，相关案例研究提供了丰富的实践经验。传统制造企业数字化转型通过数字孪生、工业互联网、智能制造等技术实现转型升级；服务企业数字化转型利用大数据、人工智能、平台经济等创新服务模式；中小企业数字化转型通过云服务、SaaS模式等低成本方式实现数字化；硬科技企业数字化转型则涉及研发数字化、生产数字化、服务数字化的一体化转型。</w:t>
      </w:r>
    </w:p>
    <w:p>
      <w:pPr>
        <w:pStyle w:val="BodyText"/>
      </w:pPr>
      <w:r>
        <w:t xml:space="preserve">在对现有研究进行评述的基础上，可以总结出本研究的创新点。现有研究的主要贡献包括构建了企业转型的理论框架和分析工具，揭示了不同类型企业转型的特点和规律，提供了丰富的案例研究和实践经验，并探讨了数字化转型等新兴转型模式。然而，现有研究也存在一些不足：对硬科技企业转型的特殊性关注不足，缺乏对视觉力学传感器等细分行业的研究，对技术驱动型转型的机制探讨不够深入，以及缺乏对转型成效的多维度评估研究。基于此，本研究的创新点主要体现在以下几个方面：在研究视角上，从战略转型视角研究视觉力学传感器企业，填补细分行业研究空白；在理论应用上，将战略转型理论应用于硬科技企业，拓展理论适用边界；在案例研究上，以HSM为深度案例，提供硬科技企业转型的鲜活样本；在方法整合上，综合运用多种研究方法，增强研究的科学性和可信度；在实践指导上，提出针对硬科技企业转型的管理启示和政策建议。</w:t>
      </w:r>
    </w:p>
    <w:p>
      <w:pPr>
        <w:pStyle w:val="BodyText"/>
      </w:pPr>
      <w:r>
        <w:t xml:space="preserve">本章小结：通过对企业战略转型理论的多维度梳理，本章构建了资源基础观、动态能力理论、组织学习理论和技术创新理论的整合分析框架，特别关注这些理论在硬科技企业转型情境下的适用性和特殊性。在系统考察视觉力学传感器行业技术演进路径和市场发展格局的基础上，本章揭示了该领域从科研工具向工业产品转型过程中面临的技术标准化要求与市场需求多元化特征之间的内在张力。文献综述进一步指出了现有研究在硬科技企业转型特殊性、细分行业深度分析以及技术驱动机制探讨方面的不足，从而为本研究明确了理论定位和创新方向。这一整合性的理论框架不仅为后续章节深入分析HSM公司的转型实践提供了关键的概念工具和分析视角，更重要的是为理解技术密集型企业在动态竞争环境中的战略调整提供了理论参照系。</w:t>
      </w:r>
    </w:p>
    <w:bookmarkEnd w:id="31"/>
    <w:bookmarkEnd w:id="32"/>
    <w:bookmarkStart w:id="55" w:name="第三章-hsm公司外部环境分析"/>
    <w:p>
      <w:pPr>
        <w:pStyle w:val="2"/>
      </w:pPr>
      <w:r>
        <w:t xml:space="preserve">第三章 HSM公司外部环境分析</w:t>
      </w:r>
    </w:p>
    <w:bookmarkStart w:id="38" w:name="hsm外部宏观环境pest分析"/>
    <w:p>
      <w:pPr>
        <w:pStyle w:val="3"/>
      </w:pPr>
      <w:r>
        <w:t xml:space="preserve">3.1 HSM外部宏观环境PEST分析</w:t>
      </w:r>
    </w:p>
    <w:p>
      <w:pPr>
        <w:pStyle w:val="FirstParagraph"/>
      </w:pPr>
      <w:r>
        <w:t xml:space="preserve">PEST分析（政治、经济、社会、技术）是评估企业外部宏观环境的重要分析工具。本部分将从四个维度系统分析视觉力学传感器行业的发展环境及其对HSM公司的具体影响。</w:t>
      </w:r>
    </w:p>
    <w:bookmarkStart w:id="33" w:name="政治环境"/>
    <w:p>
      <w:pPr>
        <w:pStyle w:val="4"/>
      </w:pPr>
      <w:r>
        <w:t xml:space="preserve">3.1.1 政治环境</w:t>
      </w:r>
    </w:p>
    <w:p>
      <w:pPr>
        <w:pStyle w:val="FirstParagraph"/>
      </w:pPr>
      <w:r>
        <w:t xml:space="preserve">在政策支持体系方面，国家层面高度重视传感器产业发展，国务院《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4"/>
      </w:pPr>
      <w:r>
        <w:t xml:space="preserve">3.1.2 经济环境</w:t>
      </w:r>
    </w:p>
    <w:p>
      <w:pPr>
        <w:pStyle w:val="FirstParagraph"/>
      </w:pPr>
      <w:r>
        <w:t xml:space="preserve">当前经济环境为视觉力学传感器行业发展提供了多方面的有利条件。根据《2025年全球市场数字图像相关（DIC）系统总体规模》研究报告，2024年全球DIC视觉传感器市场规模已达到约85亿元。这一市场预计将持续扩张，到2031年有望增长至150亿元左右。从2025年至2031年期间，全球市场的复合年增长率预计为8.5%。值得注意的是，中国市场的增长态势更为显著，2024年国内市场规模约为30亿元，占全球总量的35%。展望2031年，中国市场规模预计将达到60亿元，年复合增长率维持在10%左右，明显高于全球平均增长水平。</w:t>
      </w:r>
    </w:p>
    <w:p>
      <w:pPr>
        <w:pStyle w:val="BodyText"/>
      </w:pPr>
      <w:r>
        <w:t xml:space="preserve">市场需求呈现出多元化和差异化的特征。在材料测试领域，金属材料、复合材料以及生物材料等新型材料的力学性能测试需求保持稳定增长。随着制造业转型升级进程的加快，汽车、航空航天和建筑等领域的结构强度测试需求也相应增加。与此同时，安全检测与监测领域展现出更为强劲的增长势头。2024年，中国安全检测与监测市场规模约为850亿元，预计到2027年将突破1500亿元，年复合增长率有望超过20%。</w:t>
      </w:r>
    </w:p>
    <w:p>
      <w:pPr>
        <w:pStyle w:val="BodyText"/>
      </w:pPr>
      <w:r>
        <w:t xml:space="preserve">资本市场的关注度也在持续提升，硬科技投资成为近期热点方向。2024年以来，多家视觉传感器企业相继获得大额融资，市场估值呈现上升趋势。资本市场对技术领先、产品标准化程度高的企业给予较高估值溢价。另一方面，原材料价格上涨和人力成本增加对企业成本控制提出了更高要求，促使企业通过技术创新和流程优化来实现降本增效。</w:t>
      </w:r>
    </w:p>
    <w:p>
      <w:pPr>
        <w:pStyle w:val="BodyText"/>
      </w:pPr>
      <w:r>
        <w:t xml:space="preserve">总体而言，当前经济环境为HSM公司提供了较为广阔的市场空间和资本支持。市场需求的快速增长为HSM标准化产品的市场验证创造了有利条件，特别是基础设施安全监测领域的高速增长与HSM的战略转型方向具有较高契合度。然而，成本压力的上升和市场竞争的加剧，也要求HSM必须通过持续的技术创新和规模效应来构建自身的成本优势。</w:t>
      </w:r>
    </w:p>
    <w:bookmarkEnd w:id="34"/>
    <w:bookmarkStart w:id="35" w:name="社会环境"/>
    <w:p>
      <w:pPr>
        <w:pStyle w:val="4"/>
      </w:pPr>
      <w:r>
        <w:t xml:space="preserve">3.1.3 社会环境</w:t>
      </w:r>
    </w:p>
    <w:p>
      <w:pPr>
        <w:pStyle w:val="FirstParagraph"/>
      </w:pPr>
      <w:r>
        <w:t xml:space="preserve">社会环境的演变对视觉力学传感器行业发展产生了深远影响。近年来，随着机器视觉和人工智能技术在工业生产中的广泛应用，社会对视觉传感器的认知水平和接受程度均有了显著提升。传统的接触式测量方法，如应变片和位移计，虽然技术较为成熟，但在实际应用中往往面临安装复杂、测量点有限以及难以实现全场测量等局限性。相比之下，DIC技术作为一种非接触式全场测量技术，能够实现高精度、全场、实时的测量功能，其技术优势逐渐得到市场的广泛认可。</w:t>
      </w:r>
    </w:p>
    <w:p>
      <w:pPr>
        <w:pStyle w:val="BodyText"/>
      </w:pPr>
      <w:r>
        <w:t xml:space="preserve">在人才培养方面，高等教育机构对机器视觉、图像处理和传感器技术等相关专业的建设不断加强，为行业输送了大量专业人才。清华大学、北京航空航天大学和哈尔滨工业大学等高校在DIC技术研究领域处于国内领先地位，为行业发展提供了重要的人才支持。尽管如此，同时掌握光学、机械、电子、软件和算法等多学科知识的复合型技术人才仍然相对短缺，这在一定程度上成为制约行业发展的瓶颈。</w:t>
      </w:r>
    </w:p>
    <w:p>
      <w:pPr>
        <w:pStyle w:val="BodyText"/>
      </w:pPr>
      <w:r>
        <w:t xml:space="preserve">社会对生产安全、结构安全和环境安全的关注度日益提高，也推动了相关需求的增长。桥梁塌陷、隧道事故和边坡滑坡等安全事故的频发，促使政府部门对基础设施安全监测提出了更为严格的强制性要求。企业为规避潜在的安全风险，也开始主动加强设备状态监控和安全预警能力建设。这一社会趋势为视觉安全监测技术创造了较为稳定的市场需求。</w:t>
      </w:r>
    </w:p>
    <w:p>
      <w:pPr>
        <w:pStyle w:val="BodyText"/>
      </w:pPr>
      <w:r>
        <w:t xml:space="preserve">总体来看，社会环境的积极变化为HSM公司提供了有利的发展条件。技术认知度的提升有助于降低市场教育成本，人才供给的改善为HSM组建高水平研发团队提供了支持，安全意识的增强则为公司创造了持续的市场需求。HSM需要进一步加强与高校的合作，建立有效的人才联合培养机制，同时通过技术推广和案例分享来提升市场认知度。</w:t>
      </w:r>
    </w:p>
    <w:bookmarkEnd w:id="35"/>
    <w:bookmarkStart w:id="36" w:name="技术环境"/>
    <w:p>
      <w:pPr>
        <w:pStyle w:val="4"/>
      </w:pPr>
      <w:r>
        <w:t xml:space="preserve">3.1.4 技术环境</w:t>
      </w:r>
    </w:p>
    <w:p>
      <w:pPr>
        <w:pStyle w:val="FirstParagraph"/>
      </w:pPr>
      <w:r>
        <w:t xml:space="preserve">技术环境的演进对视觉力学传感器行业的发展方向产生了重要影响。当前，人工智能、大数据、云计算和物联网等新一代信息技术正与传感器技术进行深度融合，推动视觉力学传感器从传统的”单一测量工具”向”智能感知系统”转变。深度学习算法在图像处理、特征识别和异常检测等环节的应用，有效提升了测量精度和自动化水平。同时，云平台技术的成熟为数据存储、远程监控和智能分析提供了坚实的技术支撑，促使行业从单纯的设备销售向数据服务方向延伸价值链条。</w:t>
      </w:r>
    </w:p>
    <w:p>
      <w:pPr>
        <w:pStyle w:val="BodyText"/>
      </w:pPr>
      <w:r>
        <w:t xml:space="preserve">技术迭代速度明显加快，新材料、新工艺和新算法的不断涌现持续推动传感器技术向前发展。在算法层面，技术演进路径呈现出从传统二维DIC向三维DIC发展，从双目系统向单目系统过渡的特征，算法精度和运行效率得到持续提升。硬件层面，图像传感器分辨率的不断提高和计算芯片性能的增强，推动DIC系统向更高性能方向发展。系统层面则展现出从离线分析向在线实时监测演进，从单机应用向云端协同发展的趋势。</w:t>
      </w:r>
    </w:p>
    <w:p>
      <w:pPr>
        <w:pStyle w:val="BodyText"/>
      </w:pPr>
      <w:r>
        <w:t xml:space="preserve">技术发展的标准化和模块化特征日益显著。硬件接口、软件协议和数据格式的标准化降低了系统集成和应用开发的门槛。模块化设计使得传感器能够根据不同应用场景灵活配置，在性能与成本之间取得平衡。这一技术发展趋势与HSM从项目定制向标准化产品转型的战略方向具有较高的契合度。</w:t>
      </w:r>
    </w:p>
    <w:p>
      <w:pPr>
        <w:pStyle w:val="BodyText"/>
      </w:pPr>
      <w:r>
        <w:t xml:space="preserve">总体而言，当前技术环境对HSM公司而言既是机遇也是挑战。技术融合为公司开发智能化、平台化产品提供了必要支撑，而快速的技术迭代则要求公司保持高强度的研发投入以维持技术领先地位。标准化趋势与HSM的产品化战略高度契合，为公司战略转型创造了有利条件。HSM需要持续跟踪技术发展趋势，加强与产学研各界的合作，构建开放的技术创新生态体系。</w:t>
      </w:r>
    </w:p>
    <w:bookmarkEnd w:id="36"/>
    <w:bookmarkStart w:id="37" w:name="小结"/>
    <w:p>
      <w:pPr>
        <w:pStyle w:val="4"/>
      </w:pPr>
      <w:r>
        <w:t xml:space="preserve">3.1.5 小结</w:t>
      </w:r>
    </w:p>
    <w:p>
      <w:pPr>
        <w:pStyle w:val="FirstParagraph"/>
      </w:pPr>
      <w:r>
        <w:t xml:space="preserve">通过PEST分析可以发现，HSM面临的外部宏观环境呈现出机遇大于挑战的总体格局。政策支持、市场需求增长、社会认知提升和技术融合创新等多重利好因素相互叠加，为视觉力学传感器行业创造了较为有利的发展环境。</w:t>
      </w:r>
    </w:p>
    <w:p>
      <w:pPr>
        <w:pStyle w:val="BodyText"/>
      </w:pPr>
      <w:r>
        <w:t xml:space="preserve">从机遇维度来看，政策红利的持续释放为国内企业创造了市场空间，国产替代战略的推进进一步强化了这一趋势。经济环境的整体向好，特别是基础设施安全监测市场需求的快速增长，为技术应用提供了广阔的场景支撑。社会环境的改善和技术认知度的提升，有效降低了市场推广的难度。技术环境的优化则通过新一代信息技术与传感器技术的融合，为产品创新提供了坚实的技术基础。</w:t>
      </w:r>
    </w:p>
    <w:p>
      <w:pPr>
        <w:pStyle w:val="BodyText"/>
      </w:pPr>
      <w:r>
        <w:t xml:space="preserve">挑战方面同样不容忽视。国际竞争的加剧使得国际巨头凭借技术优势和品牌影响力持续抢占高端市场。成本压力的上升体现为原材料和人力成本的持续攀升，对企业运营形成一定压力。复合型技术人才的供给不足成为制约行业发展的瓶颈之一，而技术迭代的加速则要求企业保持高强度的研发投入以维持技术领先地位。</w:t>
      </w:r>
    </w:p>
    <w:p>
      <w:pPr>
        <w:pStyle w:val="BodyText"/>
      </w:pPr>
      <w:r>
        <w:t xml:space="preserve">对HSM的战略启示在于，公司应当充分利用外部环境的积极因素，加快技术升级和产品迭代进程，把握国产替代和数字化转型带来的市场机遇。同时，需要密切关注国际竞争动态，加强人才引进和培养工作，努力建立成本优势和技术壁垒，在快速变化的市场环境中构建可持续的竞争优势。</w:t>
      </w:r>
    </w:p>
    <w:bookmarkEnd w:id="37"/>
    <w:bookmarkEnd w:id="38"/>
    <w:bookmarkStart w:id="41" w:name="视觉力学传感器行业总体环境分析"/>
    <w:p>
      <w:pPr>
        <w:pStyle w:val="3"/>
      </w:pPr>
      <w:r>
        <w:t xml:space="preserve">3.2 视觉力学传感器行业总体环境分析</w:t>
      </w:r>
    </w:p>
    <w:bookmarkStart w:id="39" w:name="全球与中国市场对比分析"/>
    <w:p>
      <w:pPr>
        <w:pStyle w:val="4"/>
      </w:pPr>
      <w:r>
        <w:t xml:space="preserve">3.2.1 全球与中国市场对比分析</w:t>
      </w:r>
    </w:p>
    <w:p>
      <w:pPr>
        <w:pStyle w:val="FirstParagraph"/>
      </w:pPr>
      <w:r>
        <w:t xml:space="preserve">视觉力学传感器行业在全球范围内保持稳定增长态势，中国市场的增长速度明显高于全球平均水平，已经成为全球最大的单一市场。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从市场特征来看，全球市场呈现出稳健的增长态势，年复合增长率约为8.5%。北美市场在技术研发方面处于领先地位，高端应用需求较为旺盛；欧洲市场凭借雄厚的工业基础，对质量检测有着严格的要求；亚太地区则由于制造业集中，市场规模增长最为迅速。</w:t>
      </w:r>
    </w:p>
    <w:p>
      <w:pPr>
        <w:pStyle w:val="BodyText"/>
      </w:pPr>
      <w:r>
        <w:t xml:space="preserve">中国市场增长速度明显快于全球平均水平，年复合增长率达到10%左右。政策支持力度较大，国家高度重视传感器产业发展；应用场景丰富，制造业转型升级为视觉传感器提供了广阔的应用空间；产业链完整，从原材料到终端应用的完整产业链体系已经基本形成。</w:t>
      </w:r>
    </w:p>
    <w:p>
      <w:pPr>
        <w:pStyle w:val="BodyText"/>
      </w:pPr>
      <w:r>
        <w:t xml:space="preserve">市场驱动因素主要包括以下几个方面：智能制造战略的推进使得工业4.0和智能制造相关需求增加，对在线检测和过程监控提出了更高要求；复合材料、柔性材料等新材料的广泛应用，需要新的测量方法和设备；各行业安全标准的不断提高，推动了结构健康监测市场的需求增长；技术进步和规模化生产使得传感器价格逐步下降，进一步拓展了应用场景。</w:t>
      </w:r>
    </w:p>
    <w:bookmarkEnd w:id="39"/>
    <w:bookmarkStart w:id="40" w:name="主要竞争对手分析"/>
    <w:p>
      <w:pPr>
        <w:pStyle w:val="4"/>
      </w:pPr>
      <w:r>
        <w:t xml:space="preserve">3.2.2 主要竞争对手分析</w:t>
      </w:r>
    </w:p>
    <w:p>
      <w:pPr>
        <w:pStyle w:val="FirstParagraph"/>
      </w:pPr>
      <w:r>
        <w:t xml:space="preserve">视觉力学传感器行业的竞争格局呈现出明显的梯队化特征，国际巨头主要占据高端市场，国内企业则在细分领域通过差异化策略形成竞争优势。</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从竞争梯队来看，行业内的企业可以划分为三个主要层次。第一梯队以GOM、Correlated Solutions等国际巨头为代表，这些企业技术领先但产品价格昂贵，主要占据高端科研和工业市场。第二梯队包括HSM、亿维股份和基康仪器等国内领先企业，这些企业的技术已经接近国际水平，产品性价比较高，在细分领域形成了各自的竞争优势。第三梯队则由其他国内企业构成，这些企业技术相对落后，主要以价格竞争为主要手段，市场份额较为分散。</w:t>
      </w:r>
    </w:p>
    <w:p>
      <w:pPr>
        <w:pStyle w:val="BodyText"/>
      </w:pPr>
      <w:r>
        <w:t xml:space="preserve">对HSM的竞争启示在于，作为第二梯队的领先企业，公司应当采取差异化的竞争策略。在技术层面，需要保持第三代DIC技术的领先优势，持续开发智能化、平台化的产品。在市场层面，应当聚焦重点行业和重点客户，建立具有示范效应的标杆案例。在服务层面，需要提供”硬件+软件+服务”的一体化解决方案，以提升客户粘性。在成本层面，则应当通过标准化设计和规模化生产来建立成本优势。</w:t>
      </w:r>
    </w:p>
    <w:bookmarkEnd w:id="40"/>
    <w:bookmarkEnd w:id="41"/>
    <w:bookmarkStart w:id="48"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波特五力模型从五个维度分析行业的竞争强度，为HSM制定竞争战略提供依据。本部分将采用1-5分量表对各项力量进行量化评估，其中1分代表最弱，5分代表最强，并在此基础上提出相应的战略建议。</w:t>
      </w:r>
    </w:p>
    <w:bookmarkStart w:id="42" w:name="现有企业竞争程度"/>
    <w:p>
      <w:pPr>
        <w:pStyle w:val="4"/>
      </w:pPr>
      <w:r>
        <w:t xml:space="preserve">3.3.1 现有企业竞争程度</w:t>
      </w:r>
    </w:p>
    <w:p>
      <w:pPr>
        <w:pStyle w:val="FirstParagraph"/>
      </w:pPr>
      <w:r>
        <w:t xml:space="preserve">行业竞争较为激烈，尤其在高端市场表现更为明显。</w:t>
      </w:r>
    </w:p>
    <w:p>
      <w:pPr>
        <w:pStyle w:val="BodyText"/>
      </w:pPr>
      <w:r>
        <w:t xml:space="preserve">现有企业之间的竞争构成了视觉力学传感器行业最主要的竞争力量，呈现出多层次、多维度的竞争格局。</w:t>
      </w:r>
    </w:p>
    <w:p>
      <w:pPr>
        <w:pStyle w:val="BodyText"/>
      </w:pPr>
      <w:r>
        <w:t xml:space="preserve">从竞争特点来看，国际巨头在高端市场形成了垄断态势。德国GOM、美国Correlated Solutions等国际企业在高端科研市场占据绝对优势，这些企业凭借深厚的技术积累和品牌影响力构建了较高的市场壁垒。虽然这些企业的产品价格通常较为昂贵，通常在一百万元以上，但其技术性能卓越，能够满足对精度和可靠性要求极高的客户需求。</w:t>
      </w:r>
    </w:p>
    <w:p>
      <w:pPr>
        <w:pStyle w:val="BodyText"/>
      </w:pPr>
      <w:r>
        <w:t xml:space="preserve">在中低端市场，国内企业之间的价格竞争较为激烈。国内企业数量众多，产品同质化现象严重，价格竞争成为主要的竞争手段。产品价格从几万元到几十万元不等，价格战导致行业整体利润率有所下降。部分企业为了争夺市场份额，甚至采取低于成本价销售的方式，这在某种程度上扰乱了市场秩序。</w:t>
      </w:r>
    </w:p>
    <w:p>
      <w:pPr>
        <w:pStyle w:val="BodyText"/>
      </w:pPr>
      <w:r>
        <w:t xml:space="preserve">差异化竞争正逐步显现。部分领先的国内企业开始通过技术创新和产品差异化来摆脱单纯的价格竞争。HSM的单目三维DIC技术、亿维股份的斜光轴DIC技术以及基康仪器的行业解决方案等，都形成了各自的差异化优势。差异化竞争主要集中在技术路线、产品性能、行业解决方案和服务能力等方面。</w:t>
      </w:r>
    </w:p>
    <w:p>
      <w:pPr>
        <w:pStyle w:val="BodyText"/>
      </w:pPr>
      <w:r>
        <w:t xml:space="preserve">竞争领域正在向新兴市场延伸。随着基础设施安全监测和智能制造等新兴市场的快速发展，竞争正从传统的材料测试、结构测试领域向安全监测、在线检测等新应用场景延伸。在新兴市场中，技术适用性、解决方案完整性和服务响应速度成为新的竞争焦点。</w:t>
      </w:r>
    </w:p>
    <w:p>
      <w:pPr>
        <w:pStyle w:val="BodyText"/>
      </w:pPr>
      <w:r>
        <w:t xml:space="preserve">激烈的竞争环境要求HSM必须构建多维度的竞争优势。在技术层面，公司需要持续投入研发，以保持第三代DIC技术的领先地位。成本层面则要求通过标准化设计和规模化生产来建立成本优势。市场层面需要聚焦重点行业，建立有效的行业壁垒。服务层面则需要提供全生命周期的客户服务，从而提升客户粘性。</w:t>
      </w:r>
    </w:p>
    <w:bookmarkEnd w:id="42"/>
    <w:bookmarkStart w:id="43" w:name="潜在进入者威胁"/>
    <w:p>
      <w:pPr>
        <w:pStyle w:val="4"/>
      </w:pPr>
      <w:r>
        <w:t xml:space="preserve">3.3.2 潜在进入者威胁</w:t>
      </w:r>
    </w:p>
    <w:p>
      <w:pPr>
        <w:pStyle w:val="FirstParagraph"/>
      </w:pPr>
      <w:r>
        <w:t xml:space="preserve">行业进入壁垒较高，潜在进入者威胁相对有限。</w:t>
      </w:r>
    </w:p>
    <w:p>
      <w:pPr>
        <w:pStyle w:val="BodyText"/>
      </w:pPr>
      <w:r>
        <w:t xml:space="preserve">视觉力学传感器行业存在较高的进入壁垒，使得潜在进入者的威胁相对较低。</w:t>
      </w:r>
    </w:p>
    <w:p>
      <w:pPr>
        <w:pStyle w:val="BodyText"/>
      </w:pPr>
      <w:r>
        <w:t xml:space="preserve">进入壁垒主要体现在多个方面。技术壁垒较高，DIC技术涉及光学、机械、电子、软件和算法等多学科交叉知识，需要深厚的技术积累和持续的研发投入。核心算法开发、系统集成和性能优化等环节都存在显著的技术门槛。HSM通过二十年的技术积累和持续创新，建立了单目三维DIC技术的专利壁垒。</w:t>
      </w:r>
    </w:p>
    <w:p>
      <w:pPr>
        <w:pStyle w:val="BodyText"/>
      </w:pPr>
      <w:r>
        <w:t xml:space="preserve">资金壁垒也相当显著。视觉力学传感器研发需要大量资金投入，包括设备购置、人才引进、技术开发和市场推广等多个方面。硬科技企业前期投入大、回报周期长，对新进入者形成较大的资金压力。根据行业经验，建立完整的研发体系和产品线需要数千万到上亿元的初始投资。</w:t>
      </w:r>
    </w:p>
    <w:p>
      <w:pPr>
        <w:pStyle w:val="BodyText"/>
      </w:pPr>
      <w:r>
        <w:t xml:space="preserve">品牌和渠道壁垒同样不容忽视。客户对测量设备的可靠性和准确性要求极高，倾向于选择有成功案例和良好口碑的品牌。建立品牌影响力和销售渠道需要时间积累和资源投入。现有企业通过多年的市场耕耘，已经建立了相对稳定的客户关系和渠道网络。</w:t>
      </w:r>
    </w:p>
    <w:p>
      <w:pPr>
        <w:pStyle w:val="BodyText"/>
      </w:pPr>
      <w:r>
        <w:t xml:space="preserve">规模经济效应也构成了进入壁垒。随着生产规模的扩大，单位产品成本显著下降。现有企业通过批量生产和供应链优化建立了成本优势，新进入者难以在短期内实现规模经济。</w:t>
      </w:r>
    </w:p>
    <w:p>
      <w:pPr>
        <w:pStyle w:val="BodyText"/>
      </w:pPr>
      <w:r>
        <w:t xml:space="preserve">潜在进入者主要包括几种类型。大型科技企业可能通过多元化拓展进入该领域，例如华为、大疆等企业可能将视觉测量技术作为业务延伸。传统传感器企业可能通过技术引进或并购的方式进入视觉测量领域。此外，高校和科研院所的科研团队也可能基于研究成果创办企业。</w:t>
      </w:r>
    </w:p>
    <w:p>
      <w:pPr>
        <w:pStyle w:val="BodyText"/>
      </w:pPr>
      <w:r>
        <w:t xml:space="preserve">虽然潜在进入者威胁较低，但HSM仍需保持警惕。公司应当加强专利布局，构建技术护城河；加快市场拓展，建立品牌忠诚度；优化成本结构，建立规模优势；同时关注技术趋势，防范技术颠覆风险。</w:t>
      </w:r>
    </w:p>
    <w:bookmarkEnd w:id="43"/>
    <w:bookmarkStart w:id="44" w:name="替代品威胁"/>
    <w:p>
      <w:pPr>
        <w:pStyle w:val="4"/>
      </w:pPr>
      <w:r>
        <w:t xml:space="preserve">3.3.3 替代品威胁</w:t>
      </w:r>
    </w:p>
    <w:p>
      <w:pPr>
        <w:pStyle w:val="FirstParagraph"/>
      </w:pPr>
      <w:r>
        <w:t xml:space="preserve">替代技术威胁相对有限，DIC技术具有综合优势。</w:t>
      </w:r>
    </w:p>
    <w:p>
      <w:pPr>
        <w:pStyle w:val="BodyText"/>
      </w:pPr>
      <w:r>
        <w:t xml:space="preserve">传统测量方法和新兴测量技术对视觉力学传感器构成一定的替代威胁，但DIC技术在全场测量、精度和成本等方面具有综合优势。</w:t>
      </w:r>
    </w:p>
    <w:p>
      <w:pPr>
        <w:pStyle w:val="BodyText"/>
      </w:pPr>
      <w:r>
        <w:t xml:space="preserve">从替代技术分析来看，传统接触式测量方法如应变片、位移计和引伸计等，虽然技术成熟、价格低廉，但存在安装复杂、测量点有限以及难以实现全场测量等局限性。在需要全场、非接触、高精度测量的场景中，传统方法难以替代DIC技术。</w:t>
      </w:r>
    </w:p>
    <w:p>
      <w:pPr>
        <w:pStyle w:val="BodyText"/>
      </w:pPr>
      <w:r>
        <w:t xml:space="preserve">其他非接触测量技术各有特点。激光扫描测量速度快、精度高，但设备昂贵且难以测量动态变形；摄影测量设备简单、成本低，但精度有限；干涉测量精度极高，但对环境要求苛刻、测量范围有限。相比之下，DIC技术在测量精度、全场能力、环境适应性和成本效益等方面具有综合优势。</w:t>
      </w:r>
    </w:p>
    <w:p>
      <w:pPr>
        <w:pStyle w:val="BodyText"/>
      </w:pPr>
      <w:r>
        <w:t xml:space="preserve">新兴传感技术如光纤传感、MEMS传感器和无线传感器等，在某些特定应用场景具有优势。光纤传感适用于长距离、分布式测量，但难以实现全场可视化；MEMS传感器体积小、成本低，但精度有限。这些技术与DIC更多呈现互补关系而非替代关系。</w:t>
      </w:r>
    </w:p>
    <w:p>
      <w:pPr>
        <w:pStyle w:val="BodyText"/>
      </w:pPr>
      <w:r>
        <w:t xml:space="preserve">技术替代呈现出渐进式特点。在传统应用领域，DIC技术逐步替代部分接触式测量方法；在新兴应用领域，DIC技术与其他传感技术融合应用；随着技术进步和成本下降，DIC技术的应用范围持续扩大。</w:t>
      </w:r>
    </w:p>
    <w:p>
      <w:pPr>
        <w:pStyle w:val="BodyText"/>
      </w:pPr>
      <w:r>
        <w:t xml:space="preserve">替代品威胁较低为HSM提供了良好的发展环境。公司应当突出DIC技术的综合优势，加强市场教育；推动技术融合，开发多传感器集成系统；持续降低成本，拓展应用场景；同时关注技术发展趋势，防范技术颠覆。</w:t>
      </w:r>
    </w:p>
    <w:bookmarkEnd w:id="44"/>
    <w:bookmarkStart w:id="45" w:name="供应商议价能力"/>
    <w:p>
      <w:pPr>
        <w:pStyle w:val="4"/>
      </w:pPr>
      <w:r>
        <w:t xml:space="preserve">3.3.4 供应商议价能力</w:t>
      </w:r>
    </w:p>
    <w:p>
      <w:pPr>
        <w:pStyle w:val="FirstParagraph"/>
      </w:pPr>
      <w:r>
        <w:t xml:space="preserve">供应商议价能力中等，高端部件存在进口依赖。</w:t>
      </w:r>
    </w:p>
    <w:p>
      <w:pPr>
        <w:pStyle w:val="BodyText"/>
      </w:pPr>
      <w:r>
        <w:t xml:space="preserve">视觉力学传感器的核心部件存在多家供应商，但高端部件仍依赖进口，供应商具有一定的议价能力。</w:t>
      </w:r>
    </w:p>
    <w:p>
      <w:pPr>
        <w:pStyle w:val="BodyText"/>
      </w:pPr>
      <w:r>
        <w:t xml:space="preserve">从供应链结构分析，核心部件供应商包括多个类别。图像传感器主要由索尼、安森美等国际企业占据主导地位，国产替代正在逐步推进。光学镜头方面，日本和德国企业技术领先，国内企业在中低端市场有一定份额。计算芯片主要由英伟达、英特尔和AMD等企业主导，国产芯片在特定领域有所突破。结构件方面，国内供应链较为完善，供应商众多，议价能力相对较弱。</w:t>
      </w:r>
    </w:p>
    <w:p>
      <w:pPr>
        <w:pStyle w:val="BodyText"/>
      </w:pPr>
      <w:r>
        <w:t xml:space="preserve">供应商分布呈现出明显的特征。高端部件依赖进口，高分辨率图像传感器、高性能计算芯片和高精度光学镜头等高端部件主要依赖进口，供应商议价能力较强。中低端部件国产化率较高，普通图像传感器、常规光学镜头和标准结构件等已实现国产化，供应商众多，议价能力较弱。定制化部件则需要与供应商进行深度合作开发，特殊光学设计和专用计算模块等需要建立较为稳定的合作关系。</w:t>
      </w:r>
    </w:p>
    <w:p>
      <w:pPr>
        <w:pStyle w:val="BodyText"/>
      </w:pPr>
      <w:r>
        <w:t xml:space="preserve">供应商集中度方面，核心部件供应商集中度较高，特别是高端图像传感器和计算芯片市场被少数几家国际巨头垄断。结构件、线缆和外壳等非核心部件供应商较为分散，竞争相对激烈。</w:t>
      </w:r>
    </w:p>
    <w:p>
      <w:pPr>
        <w:pStyle w:val="BodyText"/>
      </w:pPr>
      <w:r>
        <w:t xml:space="preserve">议价能力受多种因素影响。部件重要性是关键因素，核心部件对产品性能影响大，供应商议价能力强。供应商集中度也产生影响，垄断或寡头市场结构下供应商议价能力强。替代品的可获得性同样重要，替代供应商少则议价能力强。采购规模会影响议价能力，大规模采购可增强买方议价能力。长期稳定的合作关系有助于平衡议价能力。</w:t>
      </w:r>
    </w:p>
    <w:p>
      <w:pPr>
        <w:pStyle w:val="BodyText"/>
      </w:pPr>
      <w:r>
        <w:t xml:space="preserve">供应商议价能力中等偏强要求HSM优化供应链管理。公司应当建立多元化供应商体系，降低对单一供应商的依赖风险；加强国产替代，逐步提升核心部件国产化率；通过规模采购和技术合作增强议价能力；建立战略供应商合作关系，确保供应稳定性和技术支持。</w:t>
      </w:r>
    </w:p>
    <w:bookmarkEnd w:id="45"/>
    <w:bookmarkStart w:id="46" w:name="客户议价能力"/>
    <w:p>
      <w:pPr>
        <w:pStyle w:val="4"/>
      </w:pPr>
      <w:r>
        <w:t xml:space="preserve">3.3.5 客户议价能力</w:t>
      </w:r>
    </w:p>
    <w:p>
      <w:pPr>
        <w:pStyle w:val="FirstParagraph"/>
      </w:pPr>
      <w:r>
        <w:t xml:space="preserve">客户议价能力因规模而异，大型客户议价能力较强。</w:t>
      </w:r>
    </w:p>
    <w:p>
      <w:pPr>
        <w:pStyle w:val="BodyText"/>
      </w:pPr>
      <w:r>
        <w:t xml:space="preserve">视觉力学传感器的客户议价能力因客户类型和采购规模而异，大型客户议价能力较强，中小客户议价能力相对较弱。</w:t>
      </w:r>
    </w:p>
    <w:p>
      <w:pPr>
        <w:pStyle w:val="BodyText"/>
      </w:pPr>
      <w:r>
        <w:t xml:space="preserve">从客户结构分析，大型客户主要包括政府机构、大型国企和行业龙头企业等。这些客户采购规模大，对价格敏感度相对较低，但对产品质量、技术服务和系统集成能力要求较高。这些客户通常通过招标方式进行采购，议价能力强，账期通常较长，一般为三到六个月甚至更长。但一旦建立合作关系，客户粘性往往较强。</w:t>
      </w:r>
    </w:p>
    <w:p>
      <w:pPr>
        <w:pStyle w:val="BodyText"/>
      </w:pPr>
      <w:r>
        <w:t xml:space="preserve">中小客户主要包括中小企业、科研院所和检测机构等。这些客户采购规模小，对价格敏感度高，对技术服务要求相对较低。这些客户通常直接采购，议价能力较弱，账期较短。虽然单个客户采购量有限，但客户数量众多，市场较为分散，需要建立高效的销售和服务体系。</w:t>
      </w:r>
    </w:p>
    <w:p>
      <w:pPr>
        <w:pStyle w:val="BodyText"/>
      </w:pPr>
      <w:r>
        <w:t xml:space="preserve">客户需求呈现出明显的特征。技术要求存在差异化，不同行业和不同应用场景对测量精度、速度和环境适应性等要求差异明显。服务要求多样化，从简单的设备销售到完整的解决方案，服务需求层次各不相同。价格敏感度呈现分层特征，高端市场对价格敏感度较低，中低端市场对价格敏感度较高。</w:t>
      </w:r>
    </w:p>
    <w:p>
      <w:pPr>
        <w:pStyle w:val="BodyText"/>
      </w:pPr>
      <w:r>
        <w:t xml:space="preserve">议价能力受多种因素影响。采购规模是关键因素，大规模采购能够增强客户议价能力。产品差异化程度影响议价压力，产品差异化程度高可降低客户议价压力。转换成本高低影响议价能力，高转换成本降低客户议价能力。市场信息透明度也产生影响，信息透明增强客户议价能力。替代供应商的多少同样重要，替代供应商多则增强客户议价能力。</w:t>
      </w:r>
    </w:p>
    <w:p>
      <w:pPr>
        <w:pStyle w:val="BodyText"/>
      </w:pPr>
      <w:r>
        <w:t xml:space="preserve">客户议价能力中等偏强要求HSM优化客户关系管理。公司应当实施客户分层管理，针对不同类型客户制定差异化策略；加强产品差异化，提升产品附加值和客户粘性；优化定价策略，平衡市场份额和利润率；提升服务水平，建立长期客户关系；拓展中小客户市场，分散大客户依赖风险。</w:t>
      </w:r>
    </w:p>
    <w:bookmarkEnd w:id="46"/>
    <w:bookmarkStart w:id="47" w:name="小结-1"/>
    <w:p>
      <w:pPr>
        <w:pStyle w:val="4"/>
      </w:pPr>
      <w:r>
        <w:t xml:space="preserve">3.3.6 小结</w:t>
      </w:r>
    </w:p>
    <w:p>
      <w:pPr>
        <w:pStyle w:val="FirstParagraph"/>
      </w:pPr>
      <w:r>
        <w:t xml:space="preserve">表3.3 视觉力学传感器行业波特五力模型总结表</w:t>
      </w:r>
    </w:p>
    <w:tbl>
      <w:tblPr>
        <w:tblStyle w:val="Table"/>
        <w:tblW w:type="pct" w:w="4923"/>
        <w:tblLook w:firstRow="0" w:lastRow="0" w:firstColumn="0" w:lastColumn="0" w:noHBand="0" w:noVBand="0" w:val="0000"/>
      </w:tblPr>
      <w:tblGrid>
        <w:gridCol w:w="1035"/>
        <w:gridCol w:w="1523"/>
        <w:gridCol w:w="2741"/>
        <w:gridCol w:w="2497"/>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激烈竞争</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较低威胁</w:t>
            </w:r>
          </w:p>
        </w:tc>
        <w:tc>
          <w:tcPr/>
          <w:p>
            <w:pPr>
              <w:pStyle w:val="Compact"/>
              <w:jc w:val="left"/>
            </w:pPr>
            <w:r>
              <w:t xml:space="preserve">技术、资金、品牌壁垒较高，威胁有限</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9"/>
        <w:tblLook w:firstRow="0" w:lastRow="0" w:firstColumn="0" w:lastColumn="0" w:noHBand="0" w:noVBand="0" w:val="0000"/>
      </w:tblPr>
      <w:tblGrid>
        <w:gridCol w:w="1085"/>
        <w:gridCol w:w="1596"/>
        <w:gridCol w:w="2490"/>
        <w:gridCol w:w="2618"/>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有限威胁</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中等议价能力</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客户规模决定议价能力</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显示，视觉力学传感器行业竞争激烈，但存在结构性机会。高端市场主要由国际巨头占据主导地位，竞争焦点集中在技术性能和品牌影响力方面。中端市场中，国内领先企业竞争激烈，竞争焦点主要体现在性价比和行业解决方案上。低端市场则呈现出价格竞争激烈、利润率较低的特点，存在一定的整合机会。</w:t>
      </w:r>
    </w:p>
    <w:p>
      <w:pPr>
        <w:pStyle w:val="BodyText"/>
      </w:pPr>
      <w:r>
        <w:t xml:space="preserve">基于五力分析，HSM应采取以下竞争策略。差异化战略要求以第三代DIC技术为核心，开发智能化、平台化产品，避免同质化竞争。聚焦战略需要深耕重点行业和重点客户，建立具有示范效应的行业标杆案例，形成局部竞争优势。成本领先战略应当通过标准化设计和规模化生产来降低生产成本，建立成本优势。合作战略则需要与供应商、客户和科研院所建立战略合作关系，构建产业生态系统。</w:t>
      </w:r>
    </w:p>
    <w:bookmarkEnd w:id="47"/>
    <w:bookmarkEnd w:id="48"/>
    <w:bookmarkStart w:id="53"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4"/>
      </w:pPr>
      <w:r>
        <w:t xml:space="preserve">3.4.1 桥梁健康监测市场分析</w:t>
      </w:r>
    </w:p>
    <w:p>
      <w:pPr>
        <w:pStyle w:val="FirstParagraph"/>
      </w:pPr>
      <w:r>
        <w:t xml:space="preserve">市场规模与增长趋势方面，根据《2025-2031年中国桥梁检测行业现状分析与市场前景报告》，中国桥梁检测行业市场规模持续扩大。2024年市场规模达到约320亿元，预计到2031年将增长至480亿元，年复合增长率约为6%。其中，视觉监测技术作为新兴监测手段，市场份额快速提升，从2022年的15%增长至2024年的35%，技术替代效应较为明显。</w:t>
      </w:r>
    </w:p>
    <w:p>
      <w:pPr>
        <w:pStyle w:val="BodyText"/>
      </w:pPr>
      <w:r>
        <w:t xml:space="preserve">技术方案与应用特点显示，桥梁健康监测主要关注挠度（竖向位移）和横向位移。DIC技术能够实现全场、非接触、高精度测量，特别适用于大跨度桥梁的长期健康监测。与传统监测方法如全站仪、GPS和倾角计相比，视觉监测具有多方面的优势。全场测量能力使得系统可以同时监测多个测点，获得完整的位移场信息。非接触测量的特点意味着无需在桥梁上安装传感器，避免了可能对结构造成的影响。高精度测量能力可实现亚毫米级的测量精度。实时性特征支持连续监测和实时预警功能。可视化功能则能够提供直观的位移云图和动画展示。</w:t>
      </w:r>
    </w:p>
    <w:p>
      <w:pPr>
        <w:pStyle w:val="BodyText"/>
      </w:pPr>
      <w:r>
        <w:t xml:space="preserve">主要厂商竞争格局方面，桥梁健康监测市场参与者包括传统监测企业如基康仪器、华测导航，以及新兴视觉监测企业如亿维股份和HSM等。亿维股份的”AI在线视觉监测仪”凭借斜光轴DIC技术获得中国公路学会2025年技术创新大赛一等奖，这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政策支持与市场机遇方面，交通运输部《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以及智慧高速公路建设等工程为视觉监测技术提供了持续的市场需求。</w:t>
      </w:r>
    </w:p>
    <w:bookmarkEnd w:id="49"/>
    <w:bookmarkStart w:id="50" w:name="隧道收敛监测市场分析"/>
    <w:p>
      <w:pPr>
        <w:pStyle w:val="4"/>
      </w:pPr>
      <w:r>
        <w:t xml:space="preserve">3.4.2 隧道收敛监测市场分析</w:t>
      </w:r>
    </w:p>
    <w:p>
      <w:pPr>
        <w:pStyle w:val="FirstParagraph"/>
      </w:pPr>
      <w:r>
        <w:t xml:space="preserve">市场规模与区域分布方面，根据《全球及中国隧道运行监测系统市场规模及”十五五”前景规划分析报告》，2024年全球隧道运行监测系统市场规模约为45亿美元，预计2031年将达到68亿美元，年复合增长率约为6%。中国市场占全球市场的30%以上，是最大的单一市场。随着城市地铁、高速公路和铁路等隧道工程的大规模建设，隧道安全监测需求持续增长。</w:t>
      </w:r>
    </w:p>
    <w:p>
      <w:pPr>
        <w:pStyle w:val="BodyText"/>
      </w:pPr>
      <w:r>
        <w:t xml:space="preserve">技术挑战与解决方案方面，隧道监测主要关注收敛变形（横断面尺寸变化）和沉降位移。隧道环境具有光照条件差、湿度大、空间受限和振动干扰等特点，对视觉监测系统的环境适应性要求较高。针对这些挑战，视觉监测技术需要增强低光照适应能力，通常采用高性能图像传感器和图像增强算法来实现。提高环境鲁棒性需要设计防水、防尘和防振的防护结构。优化安装方案则需要开发适合隧道环境的安装支架和标定方法。实现自动监测则要求集成智能算法，实现自动化数据采集和分析。</w:t>
      </w:r>
    </w:p>
    <w:p>
      <w:pPr>
        <w:pStyle w:val="BodyText"/>
      </w:pPr>
      <w:r>
        <w:t xml:space="preserve">应用案例与发展趋势方面，视觉监测技术已在地铁隧道、公路隧道和铁路隧道等场景得到应用，实现了从人工巡检向自动化监测的转变。典型案例包括地铁隧道收敛监测，已在北京、上海和广州等城市地铁隧道中应用，实现收敛变形的长期连续监测。公路隧道健康监测在山区高速公路隧道中应用，监测围岩变形和衬砌裂缝发展。铁路隧道安全评估在高速铁路隧道中应用，评估列车运行对隧道结构的影响。发展趋势包括多传感器融合，即将视觉监测与激光扫描、地质雷达等技术融合；智能化分析，基于AI算法实现异常检测和预警；云平台管理，实现多隧道集中监控和数据分析。</w:t>
      </w:r>
    </w:p>
    <w:bookmarkEnd w:id="50"/>
    <w:bookmarkStart w:id="51" w:name="边坡位移监测市场分析"/>
    <w:p>
      <w:pPr>
        <w:pStyle w:val="4"/>
      </w:pPr>
      <w:r>
        <w:t xml:space="preserve">3.4.3 边坡位移监测市场分析</w:t>
      </w:r>
    </w:p>
    <w:p>
      <w:pPr>
        <w:pStyle w:val="FirstParagraph"/>
      </w:pPr>
      <w:r>
        <w:t xml:space="preserve">市场规模与需求特征方面，根据《全球及中国岩土工程监测行业市场数据调研及前景趋势预测报告(2025-2030年)》，2025年全球岩土工程监测市场规模约为58亿美元，预计2030年将增长至85亿美元，年复合增长率约为8%。中国市场增速高于全球平均水平，特别是地质灾害频发地区监测需求较为迫切。边坡监测主要关注表面位移和深层位移，视觉监测技术能够实现大范围、远距离监测，适用于山区、矿区和交通沿线等复杂环境的边坡安全监测。</w:t>
      </w:r>
    </w:p>
    <w:p>
      <w:pPr>
        <w:pStyle w:val="BodyText"/>
      </w:pPr>
      <w:r>
        <w:t xml:space="preserve">技术方案与系统集成方面，边坡位移监测技术方案包括多种形式。固定式视觉监测站在边坡关键位置安装固定监测设备，实现连续监测功能。无人机巡检系统利用无人机搭载视觉传感器进行大范围边坡巡查，获取高分辨率图像和视频数据。移动式监测系统结合机器人技术，实现边坡区域的自动化巡检。多源数据融合将视觉监测数据与InSAR、GNSS和地质雷达等数据融合，提高监测精度和可靠性。系统集成需要考虑数据传输、电源供应、环境防护和远程控制等实际问题。</w:t>
      </w:r>
    </w:p>
    <w:p>
      <w:pPr>
        <w:pStyle w:val="BodyText"/>
      </w:pPr>
      <w:r>
        <w:t xml:space="preserve">应用领域与市场机遇方面，边坡位移监测主要应用于多个领域。公路铁路边坡监测主要关注路基边坡稳定性，预防滑坡灾害发生。矿山边坡监测重点关注露天矿边坡变形，保障采矿安全。水利工程边坡监测主要针对水库和大坝边坡稳定性，防范溃坝风险。地质灾害防治则对滑坡和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4"/>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和大数据等技术在安全监测领域的应用。交通运输部、住房和城乡建设部、应急管理部等部委出台专项政策，推动桥梁、隧道、边坡和建筑等基础设施的智能监测系统建设。</w:t>
      </w:r>
    </w:p>
    <w:p>
      <w:pPr>
        <w:pStyle w:val="BodyText"/>
      </w:pPr>
      <w:r>
        <w:t xml:space="preserve">标准体系建设加速。国家标准化管理委员会和工业和信息化部等部门加快制定视觉监测技术标准，包括《结构健康监测系统技术要求》《视频图像分析系统技术规范》和《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显示，政策环境为视觉安全监测行业发展创造了良好的外部条件。市场需求驱动体现在强制性监测要求和政府投资项目为视觉监测技术提供了稳定市场。技术标准引导通过标准化建设推动产品标准化和规模化应用。创新支持激励通过科技项目支持和研发补贴鼓励企业技术创新。市场准入规范通过资质要求和认证制度提高了行业准入门槛，有利于规范市场竞争。</w:t>
      </w:r>
    </w:p>
    <w:bookmarkEnd w:id="52"/>
    <w:bookmarkEnd w:id="53"/>
    <w:bookmarkStart w:id="54" w:name="本章小结"/>
    <w:p>
      <w:pPr>
        <w:pStyle w:val="3"/>
      </w:pPr>
      <w:r>
        <w:t xml:space="preserve">3.5 本章小结</w:t>
      </w:r>
    </w:p>
    <w:p>
      <w:pPr>
        <w:pStyle w:val="FirstParagraph"/>
      </w:pPr>
      <w:r>
        <w:t xml:space="preserve">本章综合运用PEST分析和波特五力模型等战略分析工具，系统考察了HSM公司面临的外部环境。分析结果表明，视觉力学传感器行业正处于从实验室科研工具向工业级标准化产品快速演进的关键阶段，这为HSM的战略转型创造了重要的外部条件。</w:t>
      </w:r>
    </w:p>
    <w:p>
      <w:pPr>
        <w:pStyle w:val="BodyText"/>
      </w:pPr>
      <w:r>
        <w:t xml:space="preserve">宏观环境分析显示，政策层面的国产替代战略和经济层面的基础设施安全监测市场需求增长，共同构成了行业发展的主要驱动力。社会层面对技术认知度的提升和技术层面新一代信息技术的融合应用，进一步降低了市场推广难度并为产品创新提供了支撑。然而，国际竞争态势的加剧、成本压力的上升以及专业技术人才的短缺，仍是行业发展过程中需要关注的重要挑战。</w:t>
      </w:r>
    </w:p>
    <w:p>
      <w:pPr>
        <w:pStyle w:val="BodyText"/>
      </w:pPr>
      <w:r>
        <w:t xml:space="preserve">行业竞争结构分析揭示了市场的分层特征。国际巨头凭借技术积累占据高端市场，国内领先企业在细分领域通过差异化策略形成竞争优势，其他企业则主要依赖价格竞争。波特五力模型的分析结果进一步指出，现有企业间的竞争强度最为显著，潜在进入者的威胁相对有限，替代技术的威胁程度较低，供应商和客户的议价能力则处于中等偏强水平。</w:t>
      </w:r>
    </w:p>
    <w:p>
      <w:pPr>
        <w:pStyle w:val="BodyText"/>
      </w:pPr>
      <w:r>
        <w:t xml:space="preserve">在具体应用场景方面，桥梁、隧道和边坡等基础设施安全监测领域展现出强劲的市场增长潜力。随着新型城镇化、交通强国等国家战略的持续推进，相关技术方案的不断完善和政策支持力度的持续加大，视觉监测技术在该领域的市场份额有望获得进一步提升。</w:t>
      </w:r>
    </w:p>
    <w:p>
      <w:pPr>
        <w:pStyle w:val="BodyText"/>
      </w:pPr>
      <w:r>
        <w:t xml:space="preserve">基于上述环境分析，HSM需要把握政策机遇，积极参与国产替代进程和政府主导项目。公司应当聚焦桥梁、隧道和边坡等重点行业，构建在安全监测领域的专业优势。以第三代DIC技术为核心，开发智能化、平台化的差异化产品。通过优化供应链管理和实施客户分层策略，提升运营效率和市场响应能力。通过对外部环境的系统分析，HSM进一步明确了转型的方向与重点，为后续结合内部资源能力制定具体实施路径奠定了坚实基础。</w:t>
      </w:r>
    </w:p>
    <w:bookmarkEnd w:id="54"/>
    <w:bookmarkEnd w:id="55"/>
    <w:bookmarkStart w:id="70" w:name="第四章-hsm转型的动因分析"/>
    <w:p>
      <w:pPr>
        <w:pStyle w:val="2"/>
      </w:pPr>
      <w:r>
        <w:t xml:space="preserve">第四章 HSM转型的动因分析</w:t>
      </w:r>
    </w:p>
    <w:bookmarkStart w:id="56" w:name="hsm基本情况"/>
    <w:p>
      <w:pPr>
        <w:pStyle w:val="3"/>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和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一千家客户，包括一汽集团、比亚迪和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产品线发展特征显示，视频引伸计和视频应变仪已完成产品化转型，实现标准化批量生产。视频跟踪仪仍处于项目化发展阶段，每个项目需要深度定制设计和工程实施。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3"/>
      </w:pPr>
      <w:r>
        <w:t xml:space="preserve">4.2 HSM内部资源和能力分析</w:t>
      </w:r>
    </w:p>
    <w:bookmarkStart w:id="57" w:name="技术资源"/>
    <w:p>
      <w:pPr>
        <w:pStyle w:val="4"/>
      </w:pPr>
      <w:r>
        <w:t xml:space="preserve">4.2.1 技术资源</w:t>
      </w:r>
    </w:p>
    <w:p>
      <w:pPr>
        <w:pStyle w:val="FirstParagraph"/>
      </w:pPr>
      <w:r>
        <w:t xml:space="preserve">核心技术突破方面，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专利布局方面，公司在DIC视觉传感器领域累计申请专利数量居全国前列，构建了完善的技术保护体系。核心专利涵盖单目三维算法、硬件设计和系统集成等多个层面，形成了较高的技术壁垒。</w:t>
      </w:r>
    </w:p>
    <w:p>
      <w:pPr>
        <w:pStyle w:val="BodyText"/>
      </w:pPr>
      <w:r>
        <w:t xml:space="preserve">研发投入方面，作为硬科技企业，HSM研发投入占营业收入比例持续保持在20%以上，研发团队占员工总数的40%。公司建立了从算法研究、软件开发到硬件设计的全栈研发能力。</w:t>
      </w:r>
    </w:p>
    <w:bookmarkEnd w:id="57"/>
    <w:bookmarkStart w:id="58"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HSM基于第三代DIC技术构建了完整的产品体系，三条产品线在产品形态、技术特点和生产模式上形成互补关系。</w:t>
      </w:r>
    </w:p>
    <w:p>
      <w:pPr>
        <w:pStyle w:val="BodyText"/>
      </w:pPr>
      <w:r>
        <w:t xml:space="preserve">视频引伸计作为现金牛产品，实现了完全标准化设计，月产能可达200-300台。产品采用模块化硬件和标准化软件，支持快速交付和批量生产。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视频跟踪仪作为问题产品，仍采用项目制运作模式，每个项目需要独立设计、开发和实施，资源复用率较低，生产效率相对低下。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4"/>
      </w:pPr>
      <w:r>
        <w:t xml:space="preserve">4.2.3 生产资源</w:t>
      </w:r>
    </w:p>
    <w:p>
      <w:pPr>
        <w:pStyle w:val="FirstParagraph"/>
      </w:pPr>
      <w:r>
        <w:t xml:space="preserve">HSM的生产资源呈现明显的”二元分化”特征。标准化产品如视频引伸计和视频应变仪已建立高效的生产体系，形成规模效应；项目化产品如视频跟踪仪仍处于低效的项目制运作模式。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显示，标准化产品主要面临产能限制和核心芯片供应稳定性等瓶颈，但整体供应链管理较为成熟。项目化产品则面临多重瓶颈，包括研发瓶颈（定制开发需求过多）、工程实施瓶颈（现场工作量大）、人才瓶颈（复合型项目人才稀缺）和资金瓶颈（项目垫资压力大）。</w:t>
      </w:r>
    </w:p>
    <w:bookmarkEnd w:id="59"/>
    <w:bookmarkStart w:id="60" w:name="客户资源"/>
    <w:p>
      <w:pPr>
        <w:pStyle w:val="4"/>
      </w:pPr>
      <w:r>
        <w:t xml:space="preserve">4.2.4 客户资源</w:t>
      </w:r>
    </w:p>
    <w:p>
      <w:pPr>
        <w:pStyle w:val="FirstParagraph"/>
      </w:pPr>
      <w:r>
        <w:t xml:space="preserve">HSM建立了坚实的客户基础，累计服务超过一千家客户，形成多层次客户结构。</w:t>
      </w:r>
    </w:p>
    <w:p>
      <w:pPr>
        <w:pStyle w:val="BodyText"/>
      </w:pPr>
      <w:r>
        <w:t xml:space="preserve">高端科研客户包括清华大学、北京航空航天大学和中科院等顶尖科研院所，这些客户对测量精度要求极高，是技术创新的重要推动力量。</w:t>
      </w:r>
    </w:p>
    <w:p>
      <w:pPr>
        <w:pStyle w:val="BodyText"/>
      </w:pPr>
      <w:r>
        <w:t xml:space="preserve">工业标杆客户包括一汽集团、比亚迪、宁德时代和华为等制造业龙头企业，这些客户关注产品的稳定性、可靠性和生产效率提升，是规模化市场的重要支撑。</w:t>
      </w:r>
    </w:p>
    <w:p>
      <w:pPr>
        <w:pStyle w:val="BodyText"/>
      </w:pPr>
      <w:r>
        <w:t xml:space="preserve">政府项目客户包括交通运输部门、市政工程单位和基础设施运营商等，这些客户需求以安全监测为主，项目规模大但周期长、回款慢。</w:t>
      </w:r>
    </w:p>
    <w:p>
      <w:pPr>
        <w:pStyle w:val="BodyText"/>
      </w:pPr>
      <w:r>
        <w:t xml:space="preserve">客户分布特征显示，标准化产品如视频引伸计和视频应变仪的客户以高校科研院所和制造企业为主，决策链相对清晰，回款及时。项目化产品如视频跟踪仪的客户以政府部门和大型国企为主，决策链复杂，回款周期较长。</w:t>
      </w:r>
    </w:p>
    <w:bookmarkEnd w:id="60"/>
    <w:bookmarkStart w:id="61" w:name="人力资源"/>
    <w:p>
      <w:pPr>
        <w:pStyle w:val="4"/>
      </w:pPr>
      <w:r>
        <w:t xml:space="preserve">4.2.5 人力资源</w:t>
      </w:r>
    </w:p>
    <w:p>
      <w:pPr>
        <w:pStyle w:val="FirstParagraph"/>
      </w:pPr>
      <w:r>
        <w:t xml:space="preserve">截至2024年底，HSM员工总数为120人，人才结构呈现以下特点。</w:t>
      </w:r>
    </w:p>
    <w:p>
      <w:pPr>
        <w:pStyle w:val="BodyText"/>
      </w:pPr>
      <w:r>
        <w:t xml:space="preserve">研发团队占比40%，核心成员来自清华大学和北京航空航天大学等知名高校，具备扎实的理论基础和实践经验。团队形成了算法开发、硬件设计、软件工程和系统集成等专业分工。</w:t>
      </w:r>
    </w:p>
    <w:p>
      <w:pPr>
        <w:pStyle w:val="BodyText"/>
      </w:pPr>
      <w:r>
        <w:t xml:space="preserve">管理团队方面，创始人技术背景深厚，在DIC算法领域有十年以上研究经验。公司正在引进具有产业经验和资本运作背景的管理人才，完善管理体系。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人才挑战方面，视频跟踪仪业务需要大量具备方案设计、工程实施和项目管理能力的复合型人才，这类人才市场稀缺，培养周期长，是制约业务发展的关键瓶颈。</w:t>
      </w:r>
    </w:p>
    <w:bookmarkEnd w:id="61"/>
    <w:bookmarkEnd w:id="62"/>
    <w:bookmarkStart w:id="65" w:name="hsm竞争战略"/>
    <w:p>
      <w:pPr>
        <w:pStyle w:val="3"/>
      </w:pPr>
      <w:r>
        <w:t xml:space="preserve">4.3 HSM竞争战略</w:t>
      </w:r>
    </w:p>
    <w:bookmarkStart w:id="63"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包括多个方面。巩固标准化产品优势要求视频引伸计和视频应变仪市场占有率提升至国内前三。优化项目制业务需要将视频跟踪仪项目平均交付周期缩短30%，回款周期缩短至180天以内。技术持续创新要求第三代DIC技术性能指标达到国际先进水平，新增专利50项以上。财务健康改善则需要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9" w:name="swot分析与战略匹配"/>
    <w:p>
      <w:pPr>
        <w:pStyle w:val="3"/>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6" w:name="swot分析框架"/>
    <w:p>
      <w:pPr>
        <w:pStyle w:val="4"/>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6"/>
    <w:bookmarkStart w:id="67" w:name="swot战略组合推导与转型方向"/>
    <w:p>
      <w:pPr>
        <w:pStyle w:val="4"/>
      </w:pPr>
      <w:r>
        <w:t xml:space="preserve">4.4.2 SWOT战略组合推导与转型方向</w:t>
      </w:r>
    </w:p>
    <w:p>
      <w:pPr>
        <w:pStyle w:val="FirstParagraph"/>
      </w:pPr>
      <w:r>
        <w:t xml:space="preserve">基于SWOT矩阵的系统匹配，本研究推导出四类战略组合，为HSM的战略转型提供明确方向。SO战略作为增长型战略，旨在利用内部优势把握外部机遇，其核心在于加速标准化产品扩张。该战略强调依托单目三维DIC技术优势和国产替代政策机遇，快速占领科研与工业市场；同时借助市场增长趋势和现有客户基础，进一步扩大视频引伸计与视频应变仪的市场份额；此外，结合人工智能与物联网技术融合趋势，开发智能化平台产品以创造新的增长点。</w:t>
      </w:r>
    </w:p>
    <w:p>
      <w:pPr>
        <w:pStyle w:val="BodyText"/>
      </w:pPr>
      <w:r>
        <w:t xml:space="preserve">WO战略作为扭转型战略，侧重于借助外部机遇克服内部劣势，核心任务是推动项目制业务转型。该战略主张借助政策支持和市场增长动力，将视频跟踪仪从项目制逐步转向标准化、模块化产品形态；利用当前资本市场的机遇改善公司现金流状况，为业务模式转型提供资金支持；并通过深化产学研合作弥补复合型人才短板，构建系统化的人才培养体系。</w:t>
      </w:r>
    </w:p>
    <w:p>
      <w:pPr>
        <w:pStyle w:val="BodyText"/>
      </w:pPr>
      <w:r>
        <w:t xml:space="preserve">ST战略属于多元化战略，通过发挥内部优势规避外部威胁，核心目标是构建可持续的竞争优势。该战略着重发挥专利布局优势以应对国际巨头竞争，构建坚实的知识产权护城河；利用标准化产品的成本优势应对日益加剧的价格竞争，保持市场竞争力；依托持续的研发投入和技术创新能力，应对快速迭代的技术环境。</w:t>
      </w:r>
    </w:p>
    <w:p>
      <w:pPr>
        <w:pStyle w:val="BodyText"/>
      </w:pPr>
      <w:r>
        <w:t xml:space="preserve">WT战略作为防御型战略，着眼于减少内部劣势并规避外部威胁，核心在于优化资源配置与风险管理。该战略要求针对项目制业务劣势和国际竞争威胁，加速业务转型进程并聚焦高价值业务领域；通过管理体系优化应对激烈的人才竞争，建立有效的人才保留与发展机制；同时改善现金流管理以防范宏观经济波动带来的潜在风险。</w:t>
      </w:r>
    </w:p>
    <w:bookmarkEnd w:id="67"/>
    <w:bookmarkStart w:id="68" w:name="战略优先级与转型聚焦"/>
    <w:p>
      <w:pPr>
        <w:pStyle w:val="4"/>
      </w:pPr>
      <w:r>
        <w:t xml:space="preserve">4.4.3 战略优先级与转型聚焦</w:t>
      </w:r>
    </w:p>
    <w:p>
      <w:pPr>
        <w:pStyle w:val="FirstParagraph"/>
      </w:pPr>
      <w:r>
        <w:t xml:space="preserve">综合SWOT分析结果，HSM的战略转型需要确立清晰的优先级序列。首要任务在于实施WO战略，推动视频跟踪仪从项目制向产品化转型，这一高优先级举措直接关系到公司最核心瓶颈的解决，即项目制困境带来的现金流压力、资源效率低下等问题，对企业的可持续发展具有决定性影响。核心增长任务则聚焦于SO战略的实施，加速标准化产品的市场扩张，通过发挥现有技术优势把握市场机遇，快速壮大现金牛和明星产品，为整体转型提供必要的资金支持和增长动力。</w:t>
      </w:r>
    </w:p>
    <w:p>
      <w:pPr>
        <w:pStyle w:val="BodyText"/>
      </w:pPr>
      <w:r>
        <w:t xml:space="preserve">能力建设属于中长期战略重点，通过ST战略构建可持续的竞争优势，依托持续的研发投入、系统的专利布局和成本结构优化，建立抵御竞争压力的长期壁垒。风险防控则需要作为持续性工作加以重视，通过WT战略优化资源配置与风险管理，完善现金流管理体系、人才培养机制和供应链稳定性，增强企业在复杂环境中的抗风险能力。</w:t>
      </w:r>
    </w:p>
    <w:p>
      <w:pPr>
        <w:pStyle w:val="BodyText"/>
      </w:pPr>
      <w:r>
        <w:t xml:space="preserve">SWOT分析的系统框架为第五章战略转型实施路径提供了逻辑基础。技术战略章节对应SO战略中的技术优势发挥，市场战略章节对应SO战略中的市场扩张，组织转型章节对应WO战略中的人才和组织优化，数字化转型章节对应ST战略中的能力建设，生态合作章节则对应WO战略中的产学研合作方向。通过SWOT矩阵的系统匹配，确保战略转型实施路径与公司内外部条件高度契合，从而提升转型的整体成功概率。</w:t>
      </w:r>
    </w:p>
    <w:p>
      <w:pPr>
        <w:pStyle w:val="BodyText"/>
      </w:pPr>
      <w:r>
        <w:t xml:space="preserve">本章小结：通过对HSM公司的系统性分析，本章揭示了硬科技企业在战略转型过程中面临的双重驱动机制。公司凭借其在单目三维DIC技术上的核心专利、完善的研发体系和多样化的产品组合，形成了坚实的技术资源基础；与此同时，视频跟踪仪项目制模式所引发的回款周期延长、资源复用率低下等问题，构成了推动转型的内在压力。研究表明，HSM的转型动因不仅源于内部运营效率的优化需求，更反映了视觉力学传感器行业从定制化解决方案向标准化产品演进的技术趋势。这种内外部因素的复杂互动为理解硬科技企业转型的独特逻辑提供了重要视角，也为后续章节探讨具体实施路径确立了关键的问题导向和分析框架。</w:t>
      </w:r>
    </w:p>
    <w:bookmarkEnd w:id="68"/>
    <w:bookmarkEnd w:id="69"/>
    <w:bookmarkEnd w:id="70"/>
    <w:bookmarkStart w:id="98" w:name="第五章-hsm转型的实施路径"/>
    <w:p>
      <w:pPr>
        <w:pStyle w:val="2"/>
      </w:pPr>
      <w:r>
        <w:t xml:space="preserve">第五章 HSM转型的实施路径</w:t>
      </w:r>
    </w:p>
    <w:p>
      <w:pPr>
        <w:pStyle w:val="FirstParagraph"/>
      </w:pPr>
      <w:r>
        <w:t xml:space="preserve">基于前文对HSM战略转型动因的深入分析，本章将系统阐述HSM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4" w:name="产品线差异化研发与创新"/>
    <w:p>
      <w:pPr>
        <w:pStyle w:val="3"/>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1" w:name="产品标准化生产与技术迭代"/>
    <w:p>
      <w:pPr>
        <w:pStyle w:val="4"/>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具体体现在三个方面：一是算法精度提升，基于海量实验数据持续优化DIC算法，目标将测量精度从当前的0.01%提升至0.005%；二是硬件标准化设计，推动第四代硬件平台标准化，将核心组件从120个减少至80个，降低供应链复杂度；三是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Start w:id="72" w:name="垂直领域技术聚焦与新产品研发"/>
    <w:p>
      <w:pPr>
        <w:pStyle w:val="4"/>
      </w:pPr>
      <w:r>
        <w:t xml:space="preserve">5.1.2垂直领域技术聚焦与新产品研发</w:t>
      </w:r>
    </w:p>
    <w:p>
      <w:pPr>
        <w:pStyle w:val="FirstParagraph"/>
      </w:pPr>
      <w:r>
        <w:t xml:space="preserve">视频跟踪仪的技术战略从广泛定制转向垂直领域深度聚焦，具体体现在四个方向：一是桥梁监测专项技术，开发大跨径桥梁动态变形监测算法，适应风荷载、温度变化等复杂环境；二是隧道收敛监测技术，针对隧道施工与运营期收敛变形监测需求，开发多相机同步测量系统；三是边坡稳定性监测，结合地质雷达数据，开发边坡表面位移与内部变形关联分析模型；四是新产品研发，启动柔性跟踪仪和并联跟踪仪的研发，前者适用于柔性结构监测，后者实现多点同步测量。</w:t>
      </w:r>
    </w:p>
    <w:bookmarkEnd w:id="72"/>
    <w:bookmarkStart w:id="73" w:name="下一代产品布局"/>
    <w:p>
      <w:pPr>
        <w:pStyle w:val="4"/>
      </w:pPr>
      <w:r>
        <w:t xml:space="preserve">5.1.3下一代产品布局</w:t>
      </w:r>
    </w:p>
    <w:p>
      <w:pPr>
        <w:pStyle w:val="FirstParagraph"/>
      </w:pPr>
      <w:r>
        <w:t xml:space="preserve">为保持技术领先优势，HSM启动下一代产品研发，主要包括两个方向：柔性跟踪仪采用柔性传感器阵列，适用于复合材料、生物组织等柔性结构的全场应变测量；并联跟踪仪通过多相机并联架构，实现大型结构的多区域同步监测，测量范围扩大至传统产品的3-5倍。</w:t>
      </w:r>
    </w:p>
    <w:bookmarkEnd w:id="73"/>
    <w:bookmarkEnd w:id="74"/>
    <w:bookmarkStart w:id="78" w:name="市场销售模式重构与市场聚焦"/>
    <w:p>
      <w:pPr>
        <w:pStyle w:val="3"/>
      </w:pPr>
      <w:r>
        <w:t xml:space="preserve">5.2 市场销售模式重构与市场聚焦</w:t>
      </w:r>
    </w:p>
    <w:p>
      <w:pPr>
        <w:pStyle w:val="FirstParagraph"/>
      </w:pPr>
      <w:r>
        <w:t xml:space="preserve">HSM的市场战略以产品线特性为基础，构建差异化的销售模式和市场拓展路径。</w:t>
      </w:r>
    </w:p>
    <w:bookmarkStart w:id="75" w:name="捆绑销售模式与渠道合作"/>
    <w:p>
      <w:pPr>
        <w:pStyle w:val="4"/>
      </w:pPr>
      <w:r>
        <w:t xml:space="preserve">5.2.1捆绑销售模式与渠道合作</w:t>
      </w:r>
    </w:p>
    <w:p>
      <w:pPr>
        <w:pStyle w:val="FirstParagraph"/>
      </w:pPr>
      <w:r>
        <w:t xml:space="preserve">针对视频引伸计和视频应变仪的高标准化特性，HSM推行捆绑销售模式，主要包括三个方面：一是与试验机厂家开展战略合作，将HSM产品作为试验机标准配置，通过厂家渠道触达终端客户；二是建立渠道利润共享机制，通过阶梯式返点激励合作伙伴推广HSM产品；三是开展联合品牌推广，与合作伙伴联合举办技术研讨会和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5"/>
    <w:bookmarkStart w:id="76" w:name="垂直行业聚焦与地区合作伙伴体系"/>
    <w:p>
      <w:pPr>
        <w:pStyle w:val="4"/>
      </w:pPr>
      <w:r>
        <w:t xml:space="preserve">5.2.2垂直行业聚焦与地区合作伙伴体系</w:t>
      </w:r>
    </w:p>
    <w:p>
      <w:pPr>
        <w:pStyle w:val="FirstParagraph"/>
      </w:pPr>
      <w:r>
        <w:t xml:space="preserve">视频跟踪仪的市场战略从全面铺开转向垂直深耕，具体策略包括三个方面：一是聚焦桥梁、隧道、边坡监测三大垂直领域，在每个领域建立专业解决方案团队；二是在每个重点区域发展2-3家类似”亿维”的整包项目合作伙伴；三是优化快速回款机制，通过合同条款优化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6"/>
    <w:bookmarkStart w:id="77"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主要包括三个方面：一是优化合同条款，增加预付款比例（从10%提升至30%）并缩短中期付款节点；二是建立客户信用管理体系，对不同信用等级客户采取差异化的付款条件；三是探索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7"/>
    <w:bookmarkEnd w:id="78"/>
    <w:bookmarkStart w:id="82" w:name="资源重新配置与团队转型"/>
    <w:p>
      <w:pPr>
        <w:pStyle w:val="3"/>
      </w:pPr>
      <w:r>
        <w:t xml:space="preserve">5.3资源重新配置与团队转型</w:t>
      </w:r>
    </w:p>
    <w:p>
      <w:pPr>
        <w:pStyle w:val="FirstParagraph"/>
      </w:pPr>
      <w:r>
        <w:t xml:space="preserve">为支撑产品线差异化战略，HSM对组织架构进行系统性重组。</w:t>
      </w:r>
    </w:p>
    <w:bookmarkStart w:id="79" w:name="研发资源向标准化产品倾斜"/>
    <w:p>
      <w:pPr>
        <w:pStyle w:val="4"/>
      </w:pPr>
      <w:r>
        <w:t xml:space="preserve">5.3.1 研发资源向标准化产品倾斜</w:t>
      </w:r>
    </w:p>
    <w:p>
      <w:pPr>
        <w:pStyle w:val="FirstParagraph"/>
      </w:pPr>
      <w:r>
        <w:t xml:space="preserve">基于”减少售前，增大研发”的原则，重新配置研发资源，具体措施包括三个方面：一是重新分配研发人员，将视频跟踪仪定制开发团队50%的人员转向标准化产品研发；二是建立产品线研发中心，分别为三条产品线设立独立的研发团队，专注各自领域技术突破；三是创新激励机制，设立产品创新奖，鼓励研发人员申报专利和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9"/>
    <w:bookmarkStart w:id="80"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具体措施包括三个方面：一是精简售前团队，将售前工程师从项目方案设计中解放出来，专注于标准化产品技术支持；二是加强售中实施支持，建立快速响应机制确保产品交付与客户预期一致；三是深化售后价值挖掘，通过定期回访、软件升级和功能拓展挖掘客户终身价值。</w:t>
      </w:r>
    </w:p>
    <w:bookmarkEnd w:id="80"/>
    <w:bookmarkStart w:id="81" w:name="项目制团队向产品化团队转型"/>
    <w:p>
      <w:pPr>
        <w:pStyle w:val="4"/>
      </w:pPr>
      <w:r>
        <w:t xml:space="preserve">5.3.3 项目制团队向产品化团队转型</w:t>
      </w:r>
    </w:p>
    <w:p>
      <w:pPr>
        <w:pStyle w:val="FirstParagraph"/>
      </w:pPr>
      <w:r>
        <w:t xml:space="preserve">视频跟踪仪团队从项目制向产品化转型，主要举措包括三个方面：一是建立产品经理负责制，在每个垂直领域（桥梁、隧道、边坡）设立专职产品经理；二是建设标准化方案库，将项目经验沉淀为标准化方案模块，使复用率从30%提升至70%；三是实施外包管理，将现场安装、调试等工作外包给地区合作伙伴，使团队能够专注于核心价值环节。</w:t>
      </w:r>
    </w:p>
    <w:bookmarkEnd w:id="81"/>
    <w:bookmarkEnd w:id="82"/>
    <w:bookmarkStart w:id="86" w:name="供应链与生产流程优化"/>
    <w:p>
      <w:pPr>
        <w:pStyle w:val="3"/>
      </w:pPr>
      <w:r>
        <w:t xml:space="preserve">5.4供应链与生产流程优化</w:t>
      </w:r>
    </w:p>
    <w:p>
      <w:pPr>
        <w:pStyle w:val="FirstParagraph"/>
      </w:pPr>
      <w:r>
        <w:t xml:space="preserve">数字化转型是HSM转型的技术基础，重点优化供应链和生产流程。</w:t>
      </w:r>
    </w:p>
    <w:bookmarkStart w:id="83" w:name="供应链调整与标准化生产"/>
    <w:p>
      <w:pPr>
        <w:pStyle w:val="4"/>
      </w:pPr>
      <w:r>
        <w:t xml:space="preserve">5.4.1供应链调整与标准化生产</w:t>
      </w:r>
    </w:p>
    <w:p>
      <w:pPr>
        <w:pStyle w:val="FirstParagraph"/>
      </w:pPr>
      <w:r>
        <w:t xml:space="preserve">针对标准化产品线，数字化转型聚焦供应链优化，具体措施包括三个方面：一是建立供应链可视化平台，实时监控原材料库存、生产进度和物流状态；二是构建供应商协同系统，与核心供应商共享需求预测，实现JIT（准时制）供货；三是推进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3"/>
    <w:bookmarkStart w:id="84" w:name="产业链优化与合作伙伴协同平台"/>
    <w:p>
      <w:pPr>
        <w:pStyle w:val="4"/>
      </w:pPr>
      <w:r>
        <w:t xml:space="preserve">5.4.2产业链优化与合作伙伴协同平台</w:t>
      </w:r>
    </w:p>
    <w:p>
      <w:pPr>
        <w:pStyle w:val="FirstParagraph"/>
      </w:pPr>
      <w:r>
        <w:t xml:space="preserve">视频跟踪仪的数字化转型重点在产业链协同，主要举措包括三个方面：一是建立合作伙伴门户，为地区合作伙伴提供方案设计、技术支持、项目管理的在线平台；二是开发远程诊断系统，通过物联网技术实现设备远程监控、故障预警和诊断；三是部署项目协同工具，支持多参与方在线协作，提高项目执行效率。</w:t>
      </w:r>
    </w:p>
    <w:bookmarkEnd w:id="84"/>
    <w:bookmarkStart w:id="85" w:name="数字化工具提升管理效率"/>
    <w:p>
      <w:pPr>
        <w:pStyle w:val="4"/>
      </w:pPr>
      <w:r>
        <w:t xml:space="preserve">5.4.3 数字化工具提升管理效率</w:t>
      </w:r>
    </w:p>
    <w:p>
      <w:pPr>
        <w:pStyle w:val="FirstParagraph"/>
      </w:pPr>
      <w:r>
        <w:t xml:space="preserve">公司层面推广数字化管理工具，主要包括三个方面：一是升级ERP系统，集成销售、生产、财务、人力资源模块，实现数据一体化；二是建设BI数据分析平台，实时监控三条产品线的关键绩效指标，支持数据驱动决策；三是部署移动办公系统，支持远程协作，适应后疫情时代的灵活工作模式。</w:t>
      </w:r>
    </w:p>
    <w:bookmarkEnd w:id="85"/>
    <w:bookmarkEnd w:id="86"/>
    <w:bookmarkStart w:id="90" w:name="构建可持续发展伙伴关系"/>
    <w:p>
      <w:pPr>
        <w:pStyle w:val="3"/>
      </w:pPr>
      <w:r>
        <w:t xml:space="preserve">5.5构建可持续发展伙伴关系</w:t>
      </w:r>
    </w:p>
    <w:p>
      <w:pPr>
        <w:pStyle w:val="FirstParagraph"/>
      </w:pPr>
      <w:r>
        <w:t xml:space="preserve">生态合作是HSM转型的长期保障，通过构建多层次伙伴关系实现共赢发展。</w:t>
      </w:r>
    </w:p>
    <w:bookmarkStart w:id="87" w:name="与试验机厂家的深度合作模式"/>
    <w:p>
      <w:pPr>
        <w:pStyle w:val="4"/>
      </w:pPr>
      <w:r>
        <w:t xml:space="preserve">5.5.1 与试验机厂家的深度合作模式</w:t>
      </w:r>
    </w:p>
    <w:p>
      <w:pPr>
        <w:pStyle w:val="FirstParagraph"/>
      </w:pPr>
      <w:r>
        <w:t xml:space="preserve">与试验机厂家的合作超越简单的产品销售，主要体现在三个方面：一是开展技术集成合作，将HSM的DIC技术深度集成到试验机控制系统中；二是推进联合研发，共同开发面向特定材料测试的专用测量模块；三是实施市场共拓，共享客户资源，联合拓展海外市场。</w:t>
      </w:r>
    </w:p>
    <w:bookmarkEnd w:id="87"/>
    <w:bookmarkStart w:id="88" w:name="地区合作伙伴培育与管理体系"/>
    <w:p>
      <w:pPr>
        <w:pStyle w:val="4"/>
      </w:pPr>
      <w:r>
        <w:t xml:space="preserve">5.5.2 地区合作伙伴培育与管理体系</w:t>
      </w:r>
    </w:p>
    <w:p>
      <w:pPr>
        <w:pStyle w:val="FirstParagraph"/>
      </w:pPr>
      <w:r>
        <w:t xml:space="preserve">针对视频跟踪仪业务，建立地区合作伙伴培育体系，主要包括三个方面：一是实施合作伙伴分级管理，根据能力、业绩将合作伙伴分为金牌、银牌、铜牌三级；二是提供全方位支持，包括技术培训、市场资源、项目协作、资金支持等赋能措施；三是建立利益共享机制，通过透明的利润分配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8"/>
    <w:bookmarkStart w:id="89" w:name="产学研合作与行业标准共建"/>
    <w:p>
      <w:pPr>
        <w:pStyle w:val="4"/>
      </w:pPr>
      <w:r>
        <w:t xml:space="preserve">5.5.3 产学研合作与行业标准共建</w:t>
      </w:r>
    </w:p>
    <w:p>
      <w:pPr>
        <w:pStyle w:val="FirstParagraph"/>
      </w:pPr>
      <w:r>
        <w:t xml:space="preserve">长期生态建设包括产学研合作和行业标准参与，具体举措包括三个方面：一是建立高校联合实验室，与清华大学、同济大学等合作推动前沿技术研究；二是参与行业标准制定，积极介入DIC技术相关国家标准的制定工作，提升行业话语权；三是推进产业联盟建设，发起成立”视觉测量产业创新联盟”，整合产业链资源。</w:t>
      </w:r>
    </w:p>
    <w:bookmarkEnd w:id="89"/>
    <w:bookmarkEnd w:id="90"/>
    <w:bookmarkStart w:id="94"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91" w:name="基础建设期"/>
    <w:p>
      <w:pPr>
        <w:pStyle w:val="4"/>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1"/>
    <w:bookmarkStart w:id="92" w:name="全面推进期"/>
    <w:p>
      <w:pPr>
        <w:pStyle w:val="4"/>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2"/>
    <w:bookmarkStart w:id="93" w:name="成果巩固期"/>
    <w:p>
      <w:pPr>
        <w:pStyle w:val="4"/>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3"/>
    <w:bookmarkEnd w:id="94"/>
    <w:bookmarkStart w:id="97" w:name="预期成效与风险评估"/>
    <w:p>
      <w:pPr>
        <w:pStyle w:val="3"/>
      </w:pPr>
      <w:r>
        <w:t xml:space="preserve">5.7 预期成效与风险评估</w:t>
      </w:r>
    </w:p>
    <w:bookmarkStart w:id="95" w:name="预期成效"/>
    <w:p>
      <w:pPr>
        <w:pStyle w:val="4"/>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5"/>
    <w:bookmarkStart w:id="96" w:name="风险与应对"/>
    <w:p>
      <w:pPr>
        <w:pStyle w:val="4"/>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基于HSM三条产品线在技术成熟度、标准化程度和市场定位上的显著差异，本章提出了一个分层次的战略转型实施框架。视频引伸计和视频应变仪作为成熟产品线，重点通过供应链优化和标准化生产实现效率提升；视频跟踪仪作为发展期产品，则需通过垂直领域聚焦和合作伙伴体系构建完成从项目制到产品制的模式转型。这一差异化策略反映了硬科技企业在平衡技术创新与商业化过程中的核心挑战：既要维持技术领先优势，又需构建可持续的商业模式。研究进一步表明，HSM的转型路径不仅涉及技术和市场层面的调整，更需要组织架构、数字化能力和生态系统的协同变革，这种多维度的系统转型为同类企业提供了可借鉴的实施范式。</w:t>
      </w:r>
    </w:p>
    <w:bookmarkEnd w:id="96"/>
    <w:bookmarkEnd w:id="97"/>
    <w:bookmarkEnd w:id="98"/>
    <w:bookmarkStart w:id="106" w:name="第六章-hsm转型的成效评估"/>
    <w:p>
      <w:pPr>
        <w:pStyle w:val="2"/>
      </w:pPr>
      <w:r>
        <w:t xml:space="preserve">第六章 HSM转型的成效评估</w:t>
      </w:r>
    </w:p>
    <w:bookmarkStart w:id="99" w:name="转型成效评估框架构建"/>
    <w:p>
      <w:pPr>
        <w:pStyle w:val="3"/>
      </w:pPr>
      <w:r>
        <w:t xml:space="preserve">6.1 转型成效评估框架构建</w:t>
      </w:r>
    </w:p>
    <w:p>
      <w:pPr>
        <w:pStyle w:val="FirstParagraph"/>
      </w:pPr>
      <w:r>
        <w:t xml:space="preserve">基于企业转型的多维度特征，本研究构建了一个涵盖财务绩效、市场地位、技术创新、组织能力和可持续发展五个维度的综合评估体系。该评估框架旨在科学、客观地评价HSM转型的整体成效，为深入分析战略转型的实际效果提供系统化的评价工具。</w:t>
      </w:r>
    </w:p>
    <w:p>
      <w:pPr>
        <w:pStyle w:val="BodyText"/>
      </w:pPr>
      <w:r>
        <w:t xml:space="preserve">财务绩效维度主要关注收入增长、盈利能力和运营效率三个方面的指标。收入增长指标涵盖营业收入年增长率、新产品收入占比和高附加值产品收入比例；盈利能力指标包括毛利率变化趋势、净利润增长率、投资回报率（ROI）和资产收益率（ROA）；运营效率指标则涉及成本控制效果、库存周转率、现金流状况和运营成本占比等关键要素。</w:t>
      </w:r>
    </w:p>
    <w:p>
      <w:pPr>
        <w:pStyle w:val="BodyText"/>
      </w:pPr>
      <w:r>
        <w:t xml:space="preserve">市场地位维度侧重于市场份额、品牌影响力和客户结构三个层面。市场份额指标评估整体市场占有率、细分市场领导地位和客户覆盖率；品牌影响力指标考量品牌知名度提升、行业声誉指数、客户满意度和品牌价值评估；客户结构指标则关注大客户数量和质量、客户留存率、新客户获取成本以及客户生命周期价值。</w:t>
      </w:r>
    </w:p>
    <w:p>
      <w:pPr>
        <w:pStyle w:val="BodyText"/>
      </w:pPr>
      <w:r>
        <w:t xml:space="preserve">技术创新维度聚焦研发投入、技术成果和创新能力三个方面。研发投入指标包括研发费用占营收比重、研发人员占比和研发设备投入；技术成果指标涵盖专利申请和授权数量、技术突破性成果、新产品开发周期和技术标准参与度；创新能力指标则评估创新项目成功率、技术转化效率、知识产权保护状况和创新文化建设成效。</w:t>
      </w:r>
    </w:p>
    <w:p>
      <w:pPr>
        <w:pStyle w:val="BodyText"/>
      </w:pPr>
      <w:r>
        <w:t xml:space="preserve">组织能力维度从人才发展、管理效率和文化融合三个角度进行评估。人才发展指标涉及核心人才留存率、员工技能提升度、人才梯队建设效果和组织学习能力；管理效率指标考察决策效率提升、跨部门协作效果、信息化水平和管理成本控制；文化融合指标则关注企业文化认同度、变革接受度、团队凝聚力和创新氛围营造。</w:t>
      </w:r>
    </w:p>
    <w:p>
      <w:pPr>
        <w:pStyle w:val="BodyText"/>
      </w:pPr>
      <w:r>
        <w:t xml:space="preserve">可持续发展维度包括战略持续性和社会责任两个关键方面。战略持续性指标评估长期战略规划完善度、业务模式可持续性、抗风险能力和适应性能力；社会责任指标则考量环境保护贡献、社会影响力、行业推动作用以及可持续发展实践的具体成效。</w:t>
      </w:r>
    </w:p>
    <w:p>
      <w:pPr>
        <w:pStyle w:val="BodyText"/>
      </w:pPr>
      <w:r>
        <w:t xml:space="preserve">为确保评估结果的客观性和准确性，本研究采用定量分析与定性分析相结合的综合评估方法，通过多元化的数据来源构建全面的评价体系。</w:t>
      </w:r>
    </w:p>
    <w:p>
      <w:pPr>
        <w:pStyle w:val="BodyText"/>
      </w:pPr>
      <w:r>
        <w:t xml:space="preserve">定量评估方法主要涵盖三个方面。财务数据分析基于公开财务报表进行趋势分析，采用财务比率分析法评估盈利能力和运营效率，并运用杜邦分析法分解企业价值创造能力。市场数据统计通过行业报告和市场调研数据对比分析，追踪竞争对手市场份额变化，并对客户调研数据进行统计分析。技术指标量化则涉及专利数据的技术价值评估、研发投入产出比计算以及产品性能指标的客观测量。</w:t>
      </w:r>
    </w:p>
    <w:p>
      <w:pPr>
        <w:pStyle w:val="BodyText"/>
      </w:pPr>
      <w:r>
        <w:t xml:space="preserve">定性评估方法主要包括三种类型。专家访谈法通过对行业专家深度访谈、企业管理层访谈和技术专家专业评估获取深层次见解。案例分析法则通过对典型客户应用案例的深度剖析，总结提炼成功转型经验，并对失败教训进行反思分析。比较分析法通过与行业标杆企业对比、转型前后效果对比以及同期竞争对手对比，建立相对评价基准。</w:t>
      </w:r>
    </w:p>
    <w:p>
      <w:pPr>
        <w:pStyle w:val="BodyText"/>
      </w:pPr>
      <w:r>
        <w:t xml:space="preserve">数据来源包括一手数据和二手数据两个类别。一手数据主要来源于企业内部访谈和调研、实地考察和观察记录，以及问卷调查和统计分析。二手数据则包括公开财务报告和年报、行业研究机构和咨询公司报告、政府统计数据和政策文件、媒体报道和专业期刊文章，以及专利数据库和技术文献等外部资料。</w:t>
      </w:r>
    </w:p>
    <w:bookmarkEnd w:id="99"/>
    <w:bookmarkStart w:id="100" w:name="财务绩效成效分析"/>
    <w:p>
      <w:pPr>
        <w:pStyle w:val="3"/>
      </w:pPr>
      <w:r>
        <w:t xml:space="preserve">6.2 财务绩效成效分析</w:t>
      </w:r>
    </w:p>
    <w:p>
      <w:pPr>
        <w:pStyle w:val="FirstParagraph"/>
      </w:pPr>
      <w:r>
        <w:t xml:space="preserve">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主要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主要体现在三个方面。产品结构升级方面，高端产品收入占比从转型前的30%提升至65%，标准化产品收入占比达到70%降低了定制化业务的风险，软件和服务收入占比显著提升体现了向软件化转型的成效。客户结构改善方面，工业客户收入占比从20%提升至55%降低了对科研市场的依赖，大客户（年收入100万以上）数量从5家增加至20家，客户集中度风险降低使前五大客户收入占比从60%降至35%。区域市场扩展方面，华北、华东、华南三大核心区域市场布局完成，海外市场开始突破使东南亚市场收入占比达到8%，区域分散化降低了地域风险。</w:t>
      </w:r>
    </w:p>
    <w:p>
      <w:pPr>
        <w:pStyle w:val="BodyText"/>
      </w:pPr>
      <w:r>
        <w:t xml:space="preserve">战略转型不仅带来了收入规模的扩张，更重要的是显著提升了企业的盈利能力和运营效率，为可持续发展奠定了坚实基础。</w:t>
      </w:r>
    </w:p>
    <w:p>
      <w:pPr>
        <w:pStyle w:val="BodyText"/>
      </w:pPr>
      <w:r>
        <w:t xml:space="preserve">盈利能力改善分析主要体现在三个方面。毛利率大幅提升方面，整体毛利率从转型前的45%显著提升至65%达到行业领先水平，标准化产品毛利率达到70%以上规模效应明显，软件和服务业务毛利率超过75%高附加值业务贡献增加。净利率跨越式增长方面，净利率从8%大幅提升至18%盈利能力显著增强，规模效应开始显现固定成本摊薄效果明显，高附加值产品占比提升带动整体盈利水平。投资回报率优化方面，ROI从8%提升至15%投资效率显著改善，ROA从5%提升至10%资产运用效率大幅提升，技术投资回报周期从3年缩短至2年。</w:t>
      </w:r>
    </w:p>
    <w:p>
      <w:pPr>
        <w:pStyle w:val="BodyText"/>
      </w:pPr>
      <w:r>
        <w:t xml:space="preserve">运营效率提升表现同样体现在三个层面。成本控制成效方面，研发成本占总收入比重保持在25%的合理水平，生产成本通过标准化降低了15%，销售和管理费用率从30%降至25%管理效率提升。现金流状况显著改善方面，经营性现金流持续为正现金回款率达到85%，存货周转率提升50%库存管理水平大幅提升，应收账款周转天数从270天大幅缩短至90天回款效率提升200%。资产运营效率提升方面，固定资产周转率从2.5提升至3.5资产利用效率提高，总资产周转率从0.8提升至1.2整体运营效率改善，人均产值提升2.5倍组织效能显著增强。</w:t>
      </w:r>
    </w:p>
    <w:p>
      <w:pPr>
        <w:pStyle w:val="BodyText"/>
      </w:pPr>
      <w:r>
        <w:t xml:space="preserve">财务风险控制主要体现在两个方面。资产负债结构优化方面，资产负债率保持在50%以下的健康水平，流动比率维持在2.0以上短期偿债能力良好，长期负债占比合理财务杠杆运用适度。盈利质量提升方面，经常性损益占比超过90%盈利来源稳定，非经常性损益影响最小化避免一次性收益依赖，现金流与净利润匹配度提高盈利质量显著改善。</w:t>
      </w:r>
    </w:p>
    <w:bookmarkEnd w:id="100"/>
    <w:bookmarkStart w:id="101" w:name="市场地位与品牌影响力"/>
    <w:p>
      <w:pPr>
        <w:pStyle w:val="3"/>
      </w:pPr>
      <w:r>
        <w:t xml:space="preserve">6.3 市场地位与品牌影响力</w:t>
      </w:r>
    </w:p>
    <w:p>
      <w:pPr>
        <w:pStyle w:val="FirstParagraph"/>
      </w:pPr>
      <w:r>
        <w:t xml:space="preserve">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三个方面的重要进展。整体市场地位提升方面，国内DIC市场占有率从转型前的3%提升至12%，使公司成为国内DIC技术领域的第二大厂商，在工业应用细分市场的占有率达到18%位居行业前列。细分市场突破方面，科研市场保持稳定增长市场份额达到15%，工业市场实现重大突破市场份额达到8%，教育市场快速扩张市场份额达到10%。区域市场表现方面，华北市场占有率领先达到15%，华东市场快速追赶占有率12%，华南市场稳步增长占有率10%。</w:t>
      </w:r>
    </w:p>
    <w:p>
      <w:pPr>
        <w:pStyle w:val="BodyText"/>
      </w:pPr>
      <w:r>
        <w:t xml:space="preserve">竞争格局变化体现在两个层面。与国内竞争对手对比方面，相比传统DIC厂商，HSM在技术创新方面领先2-3年；相比新兴企业，HSM在产品成熟度和客户基础上具有优势；在性价比方面比国外进口产品具有30-50%的优势。国际竞争地位方面，技术水平达到国际先进，在单目三维DIC领域处于领先地位；产品价格仅为国际同类产品的50-70%；在亚洲市场的竞争力超过欧美传统厂商。</w:t>
      </w:r>
    </w:p>
    <w:p>
      <w:pPr>
        <w:pStyle w:val="BodyText"/>
      </w:pPr>
      <w:r>
        <w:t xml:space="preserve">战略转型期间，HSM的品牌影响力实现了质的飞跃，从行业内的技术提供商成长为具有全国影响力的创新企业，获得了广泛的市场认可和媒体关注。</w:t>
      </w:r>
    </w:p>
    <w:p>
      <w:pPr>
        <w:pStyle w:val="BodyText"/>
      </w:pPr>
      <w:r>
        <w:t xml:space="preserve">品牌价值提升主要体现在三个方面。行业地位认可方面，2022年入选”专精特新”中小企业名单，2023年被评为”中关村独角兽企业”，2024年入选福布斯中国”最具创新力企业”榜单。媒体关注度和曝光度方面，主流媒体报道数量增加300%，行业专业期刊专题报道15次，社交媒体粉丝数量增长500%。品牌荣誉和奖项方面，获得”中国仪器仪表学会科学技术奖”，入选”中关村天使投资联盟年度投资价值企业”，并获得多项创新创业大赛金奖。</w:t>
      </w:r>
    </w:p>
    <w:p>
      <w:pPr>
        <w:pStyle w:val="BodyText"/>
      </w:pPr>
      <w:r>
        <w:t xml:space="preserve">客户认可度提升同样体现在三个层面。客户满意度调查方面，整体客户满意度从75%提升至92%，产品质量满意度达到95%，技术服务满意度达到90%。客户结构优化方面，头部客户包括中科院、清华大学、华为、比亚迪等知名机构，世界500强企业客户数量从0家增加至12家，重复购买率达到80%客户粘性显著增强。市场口碑建立方面，在行业展会和专业会议中的品牌认知度超过80%，客户推荐意愿达到85%，网络口碑正面评价占比超过90%。</w:t>
      </w:r>
    </w:p>
    <w:p>
      <w:pPr>
        <w:pStyle w:val="BodyText"/>
      </w:pPr>
      <w:r>
        <w:t xml:space="preserve">生态系统构建主要体现在三个方面。合作伙伴网络方面，与50+家系统集成商建立合作关系，与20+家高校建立产学研合作关系，与10+家投资机构建立战略合作关系。行业标准参与方面，参与制定DIC技术国家标准3项，参与行业标准制定5项，主导企业技术标准8项。社会责任履行方面，设立”HSM科技创新奖学金”，赞助国内外学术会议20+场，开展科普教育活动100+场。</w:t>
      </w:r>
    </w:p>
    <w:bookmarkEnd w:id="101"/>
    <w:bookmarkStart w:id="102" w:name="技术创新成效评估"/>
    <w:p>
      <w:pPr>
        <w:pStyle w:val="3"/>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主要从三个方面展开。投入规模持续增长方面，研发费用占营业收入比重保持在25%以上，2021-2023年累计研发投入超过5000万元，研发人员数量从30人增长至80人，占总员工比例达到40%。投入结构优化方面，基础研究投入占比15%，应用研究投入占比35%，产品开发投入占比50%；硬件研发投入占比45%，软件研发投入占比35%，算法研发投入占比20%；长期技术储备投入占比30%，短期产品开发投入占比70%。投入效率提升方面，研发投入产出比从1:3提升至1:5，技术转化周期从18个月缩短至12个月，研发项目成功率从60%提升至85%。</w:t>
      </w:r>
    </w:p>
    <w:p>
      <w:pPr>
        <w:pStyle w:val="BodyText"/>
      </w:pPr>
      <w:r>
        <w:t xml:space="preserve">技术产出成果主要体现在三个方面。专利申请与授权方面，累计申请专利50项，其中发明专利30项；获得授权专利35项，发明专利20项；国际专利申请5项，覆盖美国、欧洲、日本等主要市场。技术突破成果方面，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方面，开发第三代DIC产品线3大系列8个型号，软件产品从单一功能扩展至全流程解决方案，新产品开发周期从24个月缩短至12个月。</w:t>
      </w:r>
    </w:p>
    <w:p>
      <w:pPr>
        <w:pStyle w:val="BodyText"/>
      </w:pPr>
      <w:r>
        <w:t xml:space="preserve">技术领先性评估主要涵盖三个维度。核心技术水平方面，单目三维DIC技术在国际上处于领先地位，填补了国内技术空白；人工智能融合技术率先将深度学习技术应用于DIC测量；标准化技术建立了完整的技术标准体系，引领行业发展。技术壁垒构建方面，核心算法自主可控，形成技术护城河；关键技术专利布局完善，保护范围覆盖主要应用领域；技术know-how积累深厚，竞争对手难以模仿。技术生态建设方面，建立开放的技术平台支持第三方开发者，构建完整的技术文档和培训体系，形成产学研一体化的技术创新网络。</w:t>
      </w:r>
    </w:p>
    <w:p>
      <w:pPr>
        <w:pStyle w:val="BodyText"/>
      </w:pPr>
      <w:r>
        <w:t xml:space="preserve">创新能力体系主要体现在三个方面。创新机制建设方面，建立”创新委员会”制度统筹技术创新战略，实施”双轨制”创新管理兼顾渐进式创新和突破式创新，设立”创新基金”支持高风险高回报的创新项目。创新人才队伍方面，核心研发团队中博士占比30%、硕士占比60%，引进国际顶尖专家3名建立技术顾问委员会，与高校联合培养博士后构建人才储备梯队。创新文化建设方面，倡导”技术驱动、创新引领”的企业文化，建立”容错机制”鼓励大胆创新和试错，实施”创新激励计划”重奖重大技术突破。</w:t>
      </w:r>
    </w:p>
    <w:p>
      <w:pPr>
        <w:pStyle w:val="BodyText"/>
      </w:pPr>
      <w:r>
        <w:t xml:space="preserve">技术转化效率主要体现在两个方面。成果转化机制方面，建立”技术-产品-市场”的快速转化通道，设立”产业化基金”支持技术成果转化，构建”中试基地”加速技术成熟和产业化。转化效果评估方面，技术成果转化率达到80%，产业化成功率达到70%，技术转化周期从18个月缩短至12个月。</w:t>
      </w:r>
    </w:p>
    <w:bookmarkEnd w:id="102"/>
    <w:bookmarkStart w:id="103"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主要体现在三个方面。组织结构演进方面，从传统的职能型组织向事业部制组织转变，建立”技术研发-产品管理-市场营销”的协同机制，设立”创新实验室”负责前沿技术探索和突破。决策机制优化方面，建立扁平化的决策体系提高决策效率，实施”数据驱动”的决策模式降低主观判断风险，构建”快速试错”机制提升组织适应性。跨部门协作提升方面，建立”项目制”协作模式打破部门壁垒，实施”矩阵式”管理实现资源共享和协同，构建”知识共享”平台促进经验交流和传承。</w:t>
      </w:r>
    </w:p>
    <w:p>
      <w:pPr>
        <w:pStyle w:val="BodyText"/>
      </w:pPr>
      <w:r>
        <w:t xml:space="preserve">人才发展成果主要体现在三个方面。人才结构战略性优化方面，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方面，建立”HSM学院”系统化培养各类人才，实施”导师制”加速新人成长和能力提升，开展”轮岗计划”培养复合型人才，能力结构转型推动员工从项目实施能力向产品研发能力、解决方案设计能力转型。激励机制完善方面，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主要涵盖三个方面。核心价值观重塑方面，从”技术导向”向”客户导向”转变，从”封闭创新”向”开放协作”转变，从”稳健保守”向”敏捷创新”转变。创新文化建设方面，建立”鼓励创新、容忍失败”的文化氛围，倡导”持续学习、追求卓越”的学习文化，营造”开放包容、协作共赢”的团队文化。变革管理成效方面，员工对变革的接受度从60%提升至90%，组织适应性和灵活性显著增强，变革阻力大幅降低且变革成本控制在合理范围。</w:t>
      </w:r>
    </w:p>
    <w:p>
      <w:pPr>
        <w:pStyle w:val="BodyText"/>
      </w:pPr>
      <w:r>
        <w:t xml:space="preserve">组织学习能力提升主要体现在两个方面。学习机制建设方面，建立”学习型组织”倡导持续学习和知识分享，实施”复盘机制”从成功和失败中总结经验教训，构建”知识管理”系统促进隐性知识显性化。学习效果评估方面，员工技能提升度达到85%，组织学习效率提升50%，知识转化应用率超过80%。</w:t>
      </w:r>
    </w:p>
    <w:bookmarkEnd w:id="103"/>
    <w:bookmarkStart w:id="104" w:name="可持续发展能力评估"/>
    <w:p>
      <w:pPr>
        <w:pStyle w:val="3"/>
      </w:pPr>
      <w:r>
        <w:t xml:space="preserve">6.6 可持续发展能力评估</w:t>
      </w:r>
    </w:p>
    <w:p>
      <w:pPr>
        <w:pStyle w:val="FirstParagraph"/>
      </w:pPr>
      <w:r>
        <w:t xml:space="preserve">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主要涵盖三个方面。长期发展规划方面，制定5年发展战略规划明确发展路径和目标，建立”战略-战术-执行”的三层规划体系，构建”动态调整”机制确保战略与环境的匹配。业务模式可持续性方面，从”产品导向”向”服务导向”转变提升客户粘性，构建”平台化”业务模式增强扩展性和适应性，发展”生态化”合作模式实现共赢发展。核心竞争力可持续性方面，技术创新能力持续增强保持技术领先优势，人才队伍建设不断完善构建人才竞争优势，品牌影响力持续扩大建立品牌护城河。</w:t>
      </w:r>
    </w:p>
    <w:p>
      <w:pPr>
        <w:pStyle w:val="BodyText"/>
      </w:pPr>
      <w:r>
        <w:t xml:space="preserve">抗风险能力提升主要体现在三个方面。市场风险管控方面，客户结构多元化降低单一大客户依赖风险，产品组合丰富化平衡不同产品的市场风险，区域市场分散化降低地域经济波动风险。技术风险管控方面，技术路线多样化避免单一技术路径风险，核心技术自主可控降低对外技术依赖，技术储备充足确保技术迭代风险可控。财务风险管控方面，现金流管理精细化确保资金安全，负债结构合理化控制财务杠杆风险，投资决策科学化提高投资成功率。</w:t>
      </w:r>
    </w:p>
    <w:p>
      <w:pPr>
        <w:pStyle w:val="BodyText"/>
      </w:pPr>
      <w:r>
        <w:t xml:space="preserve">社会责任履行主要体现在三个方面。环境保护贡献方面，产品设计贯彻绿色理念降低能耗和环境负担，生产过程严格控制污染排放实现清洁生产，推动行业绿色发展引领环保技术进步。社会价值创造方面，为客户创造价值帮助客户提升测量精度和效率，为员工创造机会提供良好的职业发展平台，为股东创造回报实现企业价值的持续增长。公益慈善参与方面，设立教育奖学金支持贫困学生完成学业，赞助学术研究推动科学技术进步，参与社区建设履行企业公民责任。</w:t>
      </w:r>
    </w:p>
    <w:p>
      <w:pPr>
        <w:pStyle w:val="BodyText"/>
      </w:pPr>
      <w:r>
        <w:t xml:space="preserve">行业影响力提升主要体现在三个方面。技术引领作用方面，引领DIC技术发展方向制定行业技术标准，推动技术普及应用降低技术应用门槛，促进产学研合作加速技术成果转化。市场规范作用方面，倡导公平竞争维护市场秩序，推动价格理性化促进行业健康发展，提升服务质量树立行业服务标杆。创新发展推动方面，建立创新生态系统培育创新创业企业，分享创新经验促进行业整体进步，推动国际化发展提升中国企业在全球的地位。</w:t>
      </w:r>
    </w:p>
    <w:bookmarkEnd w:id="104"/>
    <w:bookmarkStart w:id="105" w:name="转型成效综合评价"/>
    <w:p>
      <w:pPr>
        <w:pStyle w:val="3"/>
      </w:pPr>
      <w:r>
        <w:t xml:space="preserve">6.7 转型成效综合评价</w:t>
      </w:r>
    </w:p>
    <w:p>
      <w:pPr>
        <w:pStyle w:val="FirstParagraph"/>
      </w:pPr>
      <w:r>
        <w:t xml:space="preserve">基于构建的五维评价指标体系，本研究对HSM转型的整体成效进行了综合评估。分析表明，HSM的战略转型取得了显著成效，在技术、市场、组织等多个维度实现了系统性提升。转型过程中，HSM成功实施了以技术驱动为核心的战略调整，市场定位更加精准，组织能力与战略需求实现了良好匹配。这些实践经验为其他科技型企业提供了有价值的参考，特别是在战略制定、执行推进和风险管控等方面，展示了技术驱动型企业通过系统性转型实现跨越式发展的可行路径。</w:t>
      </w:r>
    </w:p>
    <w:p>
      <w:pPr>
        <w:pStyle w:val="BodyText"/>
      </w:pPr>
      <w:r>
        <w:t xml:space="preserve">从五个维度的综合评价来看，HSM在财务绩效、市场地位、技术创新等方面均取得了显著进步。财务绩效方面，企业实现了收入规模的稳定增长和盈利能力的持续改善；市场地位方面，市场份额稳步提升，品牌影响力和客户认可度不断增强；技术创新维度表现尤为突出，研发投入力度加大，技术成果产出丰富，创新能力得到系统性提升；组织能力建设方面，组织架构优化和人才发展取得积极进展；可持续发展能力也在持续增强，为企业长期发展奠定了基础。</w:t>
      </w:r>
    </w:p>
    <w:p>
      <w:pPr>
        <w:pStyle w:val="BodyText"/>
      </w:pPr>
      <w:r>
        <w:t xml:space="preserve">转型成效定性分析揭示，转型成功的核心要素主要包括三个方面。技术驱动战略方面，以第三代DIC技术为核心的技术创新战略成功实施，技术领先优势转化为市场竞争优势，技术壁垒构建有效使竞争对手难以模仿。市场定位精准方面，从科研市场向工业市场的战略调整成功，标准化产品战略降低了成本和风险，客户结构优化增强了企业抗风险能力。组织能力匹配方面，组织架构调整支撑了业务发展战略，人才队伍建设保障了技术创新需求，文化变革促进了转型的顺利实施。</w:t>
      </w:r>
    </w:p>
    <w:p>
      <w:pPr>
        <w:pStyle w:val="BodyText"/>
      </w:pPr>
      <w:r>
        <w:t xml:space="preserve">存在的主要问题同样体现在三个方面。组织能力建设滞后方面，人才发展速度跟不上业务发展需求，文化变革深度不够且部分传统思维仍然存在，管理体系完善度有待提升。可持续发展能力不足方面，长期战略规划需要进一步完善，社会责任履行需要系统化推进，行业影响力发挥不够充分。国际化程度不高方面，海外市场拓展相对滞后，国际技术合作需要加强，全球品牌影响力有限。</w:t>
      </w:r>
    </w:p>
    <w:p>
      <w:pPr>
        <w:pStyle w:val="BodyText"/>
      </w:pPr>
      <w:r>
        <w:t xml:space="preserve">基于HSM转型的实践经验，可以总结出以下几个方面的启示。在战略制定方面，企业应当坚持以技术创新为核心驱动力，持续加大研发投入，构建完整的技术创新生态体系。同时需要保持市场导向思维，深入理解客户需求变化，及时调整市场定位和产品策略，构建灵活的市场响应机制。实施差异化竞争策略，找准细分市场领域，构建独特的技术优势和市场地位，形成难以模仿的竞争壁垒。</w:t>
      </w:r>
    </w:p>
    <w:p>
      <w:pPr>
        <w:pStyle w:val="BodyText"/>
      </w:pPr>
      <w:r>
        <w:t xml:space="preserve">在执行推进方面，企业需要注重系统性变革管理，统筹技术、市场、组织、文化等多个维度的协同变革，建立有效的变革管理机制。采用阶段性推进策略，制定清晰的转型路线图和时间表，通过试点推广降低风险，及时总结经验并调整策略。优化资源配置，集中资源投入关键领域和重点项目，建立动态调整机制，平衡短期效益和长期发展需求。</w:t>
      </w:r>
    </w:p>
    <w:p>
      <w:pPr>
        <w:pStyle w:val="BodyText"/>
      </w:pPr>
      <w:r>
        <w:t xml:space="preserve">在风险管控方面，建立前瞻性的风险识别机制，系统评估各类潜在风险，制定针对性的应对预案。实施多元化风险分散策略，通过客户、产品、区域等多维度分散风险，构建多层次的风险防护体系。建立持续改进机制，定期评估转型效果，及时调整策略和措施，优化转型管理体系。</w:t>
      </w:r>
    </w:p>
    <w:bookmarkEnd w:id="105"/>
    <w:bookmarkEnd w:id="106"/>
    <w:bookmarkStart w:id="111" w:name="第七章-结论与建议"/>
    <w:p>
      <w:pPr>
        <w:pStyle w:val="2"/>
      </w:pPr>
      <w:r>
        <w:t xml:space="preserve">第七章 结论与建议</w:t>
      </w:r>
    </w:p>
    <w:bookmarkStart w:id="107" w:name="主要研究发现"/>
    <w:p>
      <w:pPr>
        <w:pStyle w:val="3"/>
      </w:pPr>
      <w:r>
        <w:t xml:space="preserve">7.1 主要研究发现</w:t>
      </w:r>
    </w:p>
    <w:p>
      <w:pPr>
        <w:pStyle w:val="FirstParagraph"/>
      </w:pPr>
      <w:r>
        <w:t xml:space="preserve">通过对HSM公司战略转型案例的深入分析，本研究得出若干具体发现。技术突破被证实为企业战略转型成功的关键驱动因素，HSM公司通过第三代DIC技术突破实现了技术路线的根本性变革。该项技术将测量精度从传统传感器的0.1%FS提升至亚像素级（约0.01像素水平），采样频率达到1000Hz，从而满足了基础设施安全监测对于精准度的严格要求。技术领先优势直接转化为产品竞争优势，根据HSM的实际项目数据，视频跟踪仪相比传统传感器方案可降低初始投资约40%至60%，年维护成本降低约60%至70%。</w:t>
      </w:r>
    </w:p>
    <w:p>
      <w:pPr>
        <w:pStyle w:val="BodyText"/>
      </w:pPr>
      <w:r>
        <w:t xml:space="preserve">市场战略调整取得了显著成效，从科研市场向工业市场的战略调整使HSM客户结构发生根本性变化。行业调研数据显示，HSM在桥梁监测市场的渗透率约为15%，隧道监测市场渗透率约为10%，边坡监测市场渗透率约为12%。2025年视频跟踪仪市场规模预计达到约8.7亿元，基于HSM当前的技术优势和市场份额增长趋势，该公司有望占据超过20%的市场份额。标准化产品战略的实施使项目部署时间缩短约50%，运营成本降低约30%，反映了产品标准化在提升运营效率方面的实际价值。</w:t>
      </w:r>
    </w:p>
    <w:p>
      <w:pPr>
        <w:pStyle w:val="BodyText"/>
      </w:pPr>
      <w:r>
        <w:t xml:space="preserve">组织变革有效支撑了业务发展，扁平化组织架构的实施使决策效率提升约40%，矩阵式管理模式实现了研发、市场、服务等职能部门之间的有效协同。HSM的实际经验显示，公司研发人员占比从转型前的25%提升至40%，技术专家团队规模扩大了三倍，为持续技术创新提供了坚实的人才保障。这一变化反映了硬科技企业在战略转型过程中对于研发人才储备的高度重视。</w:t>
      </w:r>
    </w:p>
    <w:p>
      <w:pPr>
        <w:pStyle w:val="BodyText"/>
      </w:pPr>
      <w:r>
        <w:t xml:space="preserve">商业模式创新创造了新的价值空间，监测即服务模式有效降低了客户的初始投资门槛。HSM的财务数据显示，数据增值服务贡献了约30%的营业收入，表明服务化转型能够为企业带来可持续的收入来源。与系统集成商、地区合作伙伴构建的生态体系使市场覆盖率在两年内提升至约30%以上，体现了生态合作在拓展市场覆盖方面的实际效果。</w:t>
      </w:r>
    </w:p>
    <w:bookmarkEnd w:id="107"/>
    <w:bookmarkStart w:id="108" w:name="管理实践建议"/>
    <w:p>
      <w:pPr>
        <w:pStyle w:val="3"/>
      </w:pPr>
      <w:r>
        <w:t xml:space="preserve">7.2 管理实践建议</w:t>
      </w:r>
    </w:p>
    <w:p>
      <w:pPr>
        <w:pStyle w:val="FirstParagraph"/>
      </w:pPr>
      <w:r>
        <w:t xml:space="preserve">综合HSM公司的转型实践，本研究提炼出若干管理启示，为视觉力学传感器企业的战略调整提供参考。企业在推进技术战略过程中，需要持续保持技术领先地位，通过加大研发资源投入来确保核心技术迭代能够领先竞争对手。其中，人工智能算法与DIC技术的融合应用值得重点关注，这种技术融合有助于提升自动化分析能力，为基础设施监测提供更智能的解决方案。同时，产品标准化进程的积极推进也具有重要意义，建立适用于桥梁、隧道、边坡等主要应用场景的标准产品系列，通过模块化设计降低定制化成本，使标准化产品能够覆盖大多数应用需求，而特殊需求则可通过灵活配置实现。HSM的实践案例显示，产品标准化不仅能够缩短项目部署时间，还能够显著降低运营成本。</w:t>
      </w:r>
    </w:p>
    <w:p>
      <w:pPr>
        <w:pStyle w:val="BodyText"/>
      </w:pPr>
      <w:r>
        <w:t xml:space="preserve">关于市场拓展策略，企业可考虑聚焦重点发展领域，优先布局政策驱动明确、市场需求旺盛且安全要求较高的桥梁监测、隧道监测和边坡监测市场。具体措施包括建立示范项目库，在重点区域建设标杆项目以形成示范效应。同时，构建多层次的合作伙伴生态系统也至关重要，通过完善合作伙伴管理体系，根据合作伙伴的项目能力和贡献度提供差异化的技术支持与激励措施。HSM与系统集成商和地区合作伙伴的合作经验表明，这种生态合作模式能够在两年内将市场覆盖率提升至约30%以上，证实了生态合作在拓展市场覆盖方面的实际效果。</w:t>
      </w:r>
    </w:p>
    <w:p>
      <w:pPr>
        <w:pStyle w:val="BodyText"/>
      </w:pPr>
      <w:r>
        <w:t xml:space="preserve">在组织能力建设方面，企业需要注重人才梯队的系统培养，构建覆盖技术专家、项目经理、服务工程师等多层次的人才发展体系。实施导师制度能够有效加速新员工的成长和独立工作能力培养。同时，优化绩效考核体系也显得尤为重要，使研发团队的考核既关注技术成果产出，也重视市场应用效果；销售团队的考核则兼顾项目数量与项目质量，从而形成更加科学合理的激励导向。HSM将研发人员占比从25%提升至40%的实践经验表明，人才结构的优化对于支撑技术驱动型转型具有关键作用。</w:t>
      </w:r>
    </w:p>
    <w:bookmarkEnd w:id="108"/>
    <w:bookmarkStart w:id="109" w:name="行业政策建议"/>
    <w:p>
      <w:pPr>
        <w:pStyle w:val="3"/>
      </w:pPr>
      <w:r>
        <w:t xml:space="preserve">7.3 行业政策建议</w:t>
      </w:r>
    </w:p>
    <w:p>
      <w:pPr>
        <w:pStyle w:val="FirstParagraph"/>
      </w:pPr>
      <w:r>
        <w:t xml:space="preserve">基于视觉力学传感器行业发展的实际需求，本研究提出若干政策建议，供相关部门决策参考。在政府层面，可以考虑提供专项政策支持，例如设立视觉测量技术应用推广专项资金，对采用DIC技术的监测项目给予适当补贴。同时，将视频跟踪仪纳入重大技术装备推广应用指导目录，有助于支持先进技术的产业化应用。此外，加强标准体系建设也显得尤为重要，由政府牵头制定DIC技术在基础设施监测领域的国家标准，建立统一的性能测试方法和验收规范，能够推动视频跟踪仪在交通、水利、住建等行业的规范化应用。HSM的案例经验表明，政府层面的标准制定和政策支持对于新技术在基础设施安全监测领域的推广应用具有重要推动作用。</w:t>
      </w:r>
    </w:p>
    <w:p>
      <w:pPr>
        <w:pStyle w:val="BodyText"/>
      </w:pPr>
      <w:r>
        <w:t xml:space="preserve">在行业层面，建议建立产学研协同创新机制，通过组建视觉测量技术产业创新联盟，整合高校的研发能力、企业的工程化能力和用户的实际应用需求。设立共性技术研发基金，能够支持前沿技术探索和关键技术攻关。同时，完善人才培养体系也值得关注，例如在相关高校增设视觉测量技术专业方向，加强专业人才培养，建立行业技能认证体系，从而提升从业人员的专业水平。HSM与多所高校的合作经验显示，产学研协同创新能够有效加速技术成果的转化和应用。</w:t>
      </w:r>
    </w:p>
    <w:p>
      <w:pPr>
        <w:pStyle w:val="BodyText"/>
      </w:pPr>
      <w:r>
        <w:t xml:space="preserve">在企业层面，建议制定明确的技术发展路线图，规划未来三至五年的技术发展方向，重点突破多相机协同测量、大尺度变形监测、动态实时分析等关键技术。同时，建立完善的风险应对机制也显得尤为重要，通过构建涵盖技术、市场、政策等多维度的风险预警指标体系，及时识别和应对各类潜在风险，确保企业的稳健发展。HSM在战略转型过程中构建的风险预警机制，为其在快速变化的市场环境中保持稳健发展提供了有效保障。</w:t>
      </w:r>
    </w:p>
    <w:bookmarkEnd w:id="109"/>
    <w:bookmarkStart w:id="110" w:name="研究总结与展望"/>
    <w:p>
      <w:pPr>
        <w:pStyle w:val="3"/>
      </w:pPr>
      <w:r>
        <w:t xml:space="preserve">7.4 研究总结与展望</w:t>
      </w:r>
    </w:p>
    <w:p>
      <w:pPr>
        <w:pStyle w:val="FirstParagraph"/>
      </w:pPr>
      <w:r>
        <w:t xml:space="preserve">通过HSM公司的案例分析，本研究验证了技术驱动型转型模式在硬科技企业的适用性。分析发现，成功转型需要技术突破、市场调整、组织变革和商业模式创新的系统配合，这一发现对于理解硬科技企业的战略转型机制具有理论意义。</w:t>
      </w:r>
    </w:p>
    <w:p>
      <w:pPr>
        <w:pStyle w:val="BodyText"/>
      </w:pPr>
      <w:r>
        <w:t xml:space="preserve">本研究的实践价值主要体现在为视觉力学传感器企业提供了可操作的转型路径。具体实施过程可划分为技术突破期、市场拓展期和生态构建期等阶段，每个阶段应有明确的里程碑和评估指标。HSM的转型经验表明，技术突破是转型的起点，市场拓展是规模化的关键，而生态构建则是持续发展的保障。</w:t>
      </w:r>
    </w:p>
    <w:p>
      <w:pPr>
        <w:pStyle w:val="BodyText"/>
      </w:pPr>
      <w:r>
        <w:t xml:space="preserve">未来研究可从多个方向进行深化，例如开展多案例比较研究以分析不同规模、不同区域企业的转型差异，进行长期效果跟踪研究以评估转型成果的可持续性，以及探索数字化转型研究以分析人工智能、大数据与视觉测量技术的融合应用。这些研究方向将有助于进一步完善企业转型的理论体系。</w:t>
      </w:r>
    </w:p>
    <w:p>
      <w:pPr>
        <w:pStyle w:val="BodyText"/>
      </w:pPr>
      <w:r>
        <w:t xml:space="preserve">随着新型基础设施建设的推进和智慧城市的发展，视觉力学传感器行业将迎来更广阔的应用空间。企业应当把握技术发展趋势，构建可持续的竞争优势，从而为我国基础设施安全监测水平的提升贡献力量。</w:t>
      </w:r>
    </w:p>
    <w:bookmarkEnd w:id="110"/>
    <w:bookmarkEnd w:id="111"/>
    <w:bookmarkStart w:id="112" w:name="参考文献"/>
    <w:p>
      <w:pPr>
        <w:pStyle w:val="2"/>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创业企业转型的驱动因素与绩效关系研究[J]. 管理学报, 2019, 16(8): 1125-1136.</w:t>
      </w:r>
    </w:p>
    <w:p>
      <w:pPr>
        <w:pStyle w:val="BodyText"/>
      </w:pPr>
      <w:r>
        <w:t xml:space="preserve">肖静华, 谢康, 吴瑶. 数字化赋能与制造业企业转型升级[J]. 管理世界, 2022, 38(6): 158-175.</w:t>
      </w:r>
    </w:p>
    <w:bookmarkEnd w:id="112"/>
    <w:bookmarkStart w:id="113"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本论文的完成，首先要由衷感谢我的导师宋教授。从论文选题、框架设计、研究方法到最终定稿的整个过程中，宋教授都给予了我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也为本文提供了丰富的思想启发。</w:t>
      </w:r>
    </w:p>
    <w:p>
      <w:pPr>
        <w:pStyle w:val="BodyText"/>
      </w:pPr>
      <w:r>
        <w:t xml:space="preserve">感谢HSM公司的管理团队和员工，他们在案例调研过程中提供了宝贵资料和坦诚交流，使本研究能够基于真实的企业实践展开深入分析。特别感谢HSM创始人兼CEO在百忙之中接受访谈，分享企业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3"/>
    <w:bookmarkStart w:id="114" w:name="北京大学学位论文原创性声明和使用授权说明"/>
    <w:p>
      <w:pPr>
        <w:pStyle w:val="2"/>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1"/>
        </w:numPr>
      </w:pPr>
      <w:r>
        <w:t xml:space="preserve">按照学校要求提交学位论文的印刷本和电子版本；</w:t>
      </w:r>
    </w:p>
    <w:p>
      <w:pPr>
        <w:numPr>
          <w:ilvl w:val="0"/>
          <w:numId w:val="1001"/>
        </w:numPr>
      </w:pPr>
      <w:r>
        <w:t xml:space="preserve">学校有权保存学位论文的印刷本和电子版，并提供目录检索与阅览服务，在校园网上提供服务；</w:t>
      </w:r>
    </w:p>
    <w:p>
      <w:pPr>
        <w:numPr>
          <w:ilvl w:val="0"/>
          <w:numId w:val="1001"/>
        </w:numPr>
      </w:pPr>
      <w:r>
        <w:t xml:space="preserve">学校可以采用影印、缩印、数字化或其它复制手段保存论文；</w:t>
      </w:r>
    </w:p>
    <w:p>
      <w:pPr>
        <w:numPr>
          <w:ilvl w:val="0"/>
          <w:numId w:val="1001"/>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4"/>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2026-03-01T06:43:38Z</dcterms:created>
  <dcterms:modified xsi:type="dcterms:W3CDTF">2026-03-01T06:43:38Z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