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3" w:name="视觉力学传感器企业战略转型研究以hsm为例"/>
    <w:p>
      <w:pPr>
        <w:pStyle w:val="2"/>
      </w:pPr>
      <w:r>
        <w:t xml:space="preserve">视觉力学传感器企业战略转型研究——以HSM为例</w:t>
      </w:r>
    </w:p>
    <w:bookmarkStart w:id="22" w:name="X19cb4886134ade5e083b70b36f830d0638601e2"/>
    <w:p>
      <w:pPr>
        <w:pStyle w:val="3"/>
      </w:pPr>
      <w:r>
        <w:t xml:space="preserve">Research on Strategic Transformation of Vision Force Sensor Enterprises——Taking HSM as an Example</w:t>
      </w:r>
    </w:p>
    <w:bookmarkStart w:id="21"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p>
      <w:pPr>
        <w:pStyle w:val="FirstParagraph"/>
      </w:pPr>
      <w:r>
        <w:t xml:space="preserve">硕士研究生学位论文</w:t>
      </w:r>
    </w:p>
    <w:tbl>
      <w:tblPr>
        <w:tblStyle w:val="Table"/>
        <w:tblW w:type="pct" w:w="4865"/>
        <w:tblLook w:firstRow="0" w:lastRow="0" w:firstColumn="0" w:lastColumn="0" w:noHBand="0" w:noVBand="0" w:val="0000"/>
      </w:tblPr>
      <w:tblGrid>
        <w:gridCol w:w="1498"/>
        <w:gridCol w:w="6207"/>
      </w:tblGrid>
      <w:tr>
        <w:tc>
          <w:tcPr/>
          <w:p>
            <w:pPr>
              <w:pStyle w:val="Compact"/>
              <w:jc w:val="left"/>
            </w:pPr>
            <w:r>
              <w:t xml:space="preserve">题目：</w:t>
            </w:r>
          </w:p>
        </w:tc>
        <w:tc>
          <w:tcPr/>
          <w:p>
            <w:pPr>
              <w:pStyle w:val="Compact"/>
              <w:jc w:val="left"/>
            </w:pPr>
            <w:r>
              <w:t xml:space="preserve">视觉力学传感器企业战略</w:t>
            </w:r>
          </w:p>
        </w:tc>
      </w:tr>
      <w:tr>
        <w:tc>
          <w:tcPr/>
          <w:p>
            <w:pPr>
              <w:pStyle w:val="Compact"/>
            </w:pPr>
          </w:p>
        </w:tc>
        <w:tc>
          <w:tcPr/>
          <w:p>
            <w:pPr>
              <w:pStyle w:val="Compact"/>
              <w:jc w:val="left"/>
            </w:pPr>
            <w:r>
              <w:t xml:space="preserve">转型研究以HSM为例</w:t>
            </w:r>
          </w:p>
        </w:tc>
      </w:tr>
    </w:tbl>
    <w:p/>
    <w:tbl>
      <w:tblPr>
        <w:tblStyle w:val="Table"/>
        <w:tblW w:type="pct" w:w="4865"/>
        <w:tblLook w:firstRow="0" w:lastRow="0" w:firstColumn="0" w:lastColumn="0" w:noHBand="0" w:noVBand="0" w:val="0000"/>
      </w:tblPr>
      <w:tblGrid>
        <w:gridCol w:w="2247"/>
        <w:gridCol w:w="5458"/>
      </w:tblGrid>
      <w:tr>
        <w:tc>
          <w:tcPr/>
          <w:p>
            <w:pPr>
              <w:pStyle w:val="Compact"/>
              <w:jc w:val="left"/>
            </w:pPr>
            <w:r>
              <w:t xml:space="preserve">姓 名：</w:t>
            </w:r>
          </w:p>
        </w:tc>
        <w:tc>
          <w:tcPr/>
          <w:p>
            <w:pPr>
              <w:pStyle w:val="Compact"/>
              <w:jc w:val="left"/>
            </w:pPr>
            <w:r>
              <w:t xml:space="preserve">毕胜昔</w:t>
            </w:r>
          </w:p>
        </w:tc>
      </w:tr>
      <w:tr>
        <w:tc>
          <w:tcPr/>
          <w:p>
            <w:pPr>
              <w:pStyle w:val="Compact"/>
              <w:jc w:val="left"/>
            </w:pPr>
            <w:r>
              <w:t xml:space="preserve">学 号：</w:t>
            </w:r>
          </w:p>
        </w:tc>
        <w:tc>
          <w:tcPr/>
          <w:p>
            <w:pPr>
              <w:pStyle w:val="Compact"/>
              <w:jc w:val="left"/>
            </w:pPr>
            <w:r>
              <w:t xml:space="preserve">2401221616</w:t>
            </w:r>
          </w:p>
        </w:tc>
      </w:tr>
      <w:tr>
        <w:tc>
          <w:tcPr/>
          <w:p>
            <w:pPr>
              <w:pStyle w:val="Compact"/>
              <w:jc w:val="left"/>
            </w:pPr>
            <w:r>
              <w:t xml:space="preserve">院 系：</w:t>
            </w:r>
          </w:p>
        </w:tc>
        <w:tc>
          <w:tcPr/>
          <w:p>
            <w:pPr>
              <w:pStyle w:val="Compact"/>
              <w:jc w:val="left"/>
            </w:pPr>
            <w:r>
              <w:t xml:space="preserve">汇丰商学院</w:t>
            </w:r>
          </w:p>
        </w:tc>
      </w:tr>
      <w:tr>
        <w:tc>
          <w:tcPr/>
          <w:p>
            <w:pPr>
              <w:pStyle w:val="Compact"/>
              <w:jc w:val="left"/>
            </w:pPr>
            <w:r>
              <w:t xml:space="preserve">专 业：</w:t>
            </w:r>
          </w:p>
        </w:tc>
        <w:tc>
          <w:tcPr/>
          <w:p>
            <w:pPr>
              <w:pStyle w:val="Compact"/>
              <w:jc w:val="left"/>
            </w:pPr>
            <w:r>
              <w:t xml:space="preserve">高级管理人员工商管理硕士</w:t>
            </w:r>
          </w:p>
        </w:tc>
      </w:tr>
      <w:tr>
        <w:tc>
          <w:tcPr/>
          <w:p>
            <w:pPr>
              <w:pStyle w:val="Compact"/>
              <w:jc w:val="left"/>
            </w:pPr>
            <w:r>
              <w:t xml:space="preserve">研究方向：</w:t>
            </w:r>
          </w:p>
        </w:tc>
        <w:tc>
          <w:tcPr/>
          <w:p>
            <w:pPr>
              <w:pStyle w:val="Compact"/>
              <w:jc w:val="left"/>
            </w:pPr>
            <w:r>
              <w:t xml:space="preserve">企业战略转型</w:t>
            </w:r>
          </w:p>
        </w:tc>
      </w:tr>
      <w:tr>
        <w:tc>
          <w:tcPr/>
          <w:p>
            <w:pPr>
              <w:pStyle w:val="Compact"/>
              <w:jc w:val="left"/>
            </w:pPr>
            <w:r>
              <w:t xml:space="preserve">导师姓名：</w:t>
            </w:r>
          </w:p>
        </w:tc>
        <w:tc>
          <w:tcPr/>
          <w:p>
            <w:pPr>
              <w:pStyle w:val="Compact"/>
              <w:jc w:val="left"/>
            </w:pPr>
            <w:r>
              <w:t xml:space="preserve">宋教授</w:t>
            </w:r>
          </w:p>
        </w:tc>
      </w:tr>
    </w:tbl>
    <w:p>
      <w:pPr>
        <w:pStyle w:val="BodyText"/>
      </w:pPr>
      <w:r>
        <w:t xml:space="preserve">学术学位 专业学位</w:t>
      </w:r>
    </w:p>
    <w:p>
      <w:pPr>
        <w:pStyle w:val="BodyText"/>
      </w:pPr>
      <w:r>
        <w:t xml:space="preserve">二〇二六年 二月</w:t>
      </w:r>
    </w:p>
    <w:p>
      <w:pPr>
        <w:pStyle w:val="BodyText"/>
      </w:pPr>
      <w:r>
        <w:t xml:space="preserve">版权声明</w:t>
      </w:r>
    </w:p>
    <w:p>
      <w:pPr>
        <w:pStyle w:val="BodyText"/>
      </w:pPr>
      <w:r>
        <w:t xml:space="preserve">任何收存和保管本论文各种版本的单位和个人，未经本论文作者同意，不得将本论文转借他人，亦不得随意复制、抄录、拍照或以任何方式传播。否则，引起有碍作者著作权之问题，将可能承担法律责任。</w:t>
      </w:r>
    </w:p>
    <w:p>
      <w:pPr>
        <w:pStyle w:val="BodyText"/>
      </w:pPr>
      <w:r>
        <w:t xml:space="preserve">[]{#_Toc222913118 .anchor}摘要</w:t>
      </w:r>
    </w:p>
    <w:p>
      <w:pPr>
        <w:pStyle w:val="BodyText"/>
      </w:pPr>
      <w:r>
        <w:t xml:space="preserve">本研究以HSM公司为案例，分析视觉力学传感器企业在数字化转型和国产替代背景下的战略变革。中美科技竞争日趋常态化，工业4.0战略也在不断深入。在此背景下，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方法，综合运用文献研究、PEST分析、波特五力模型和SWOT分析等多种方法，系统剖析HSM转型的动因、实施路径和实际成效。项目制模式带来了回款周期长（应收账款周转天数达270天）和人员成本高企等问题，这些问题推动HSM向产品化转型。HSM的转型实施路径涵盖多个维度。技术战略上，公司构建了以第三代DIC技术为核心的三大产品线；市场战略上，积极从科研市场向工业市场拓展；组织战略上，通过优化人才结构，将研发人员占比从25%提升至45%；数字化转型上，建设了安全监测大模型平台；生态合作上，构建了产学研用协同创新体系。</w:t>
      </w:r>
    </w:p>
    <w:p>
      <w:pPr>
        <w:pStyle w:val="BodyText"/>
      </w:pPr>
      <w:r>
        <w:t xml:space="preserve">转型成效评估显示，HSM在财务绩效、市场地位、技术创新、组织能力和可持续发展五个维度均有显著提升。具体来看，毛利率从45%提升至65%，净利率从8%提升至18%，应收账款周转天数从270天缩短至90天，人均产值提升了2.5倍。基于HSM的实践，本研究认为硬科技企业的转型需要以技术创新为核心驱动力，并通过产品标准化、组织重构和生态合作构建可持续竞争优势。</w:t>
      </w:r>
    </w:p>
    <w:p>
      <w:pPr>
        <w:pStyle w:val="BodyText"/>
      </w:pPr>
      <w:r>
        <w:t xml:space="preserve">本研究在理论层面丰富了科技型企业转型的研究，在实践层面为同类企业提供了转型路径参考，在政策层面为决策者提供了依据。</w:t>
      </w:r>
    </w:p>
    <w:p>
      <w:pPr>
        <w:pStyle w:val="BodyText"/>
      </w:pPr>
      <w:r>
        <w:rPr>
          <w:bCs/>
          <w:b/>
        </w:rPr>
        <w:t xml:space="preserve">关键词</w:t>
      </w:r>
      <w:r>
        <w:t xml:space="preserve">：视觉力学传感器，企业战略转型，数字化转型，硬科技企业，DIC技术</w:t>
      </w:r>
    </w:p>
    <w:p>
      <w:pPr>
        <w:pStyle w:val="BodyText"/>
      </w:pPr>
      <w:r>
        <w:t xml:space="preserve">Research on Strategic Transformation of Visual Force Sensor Enterprises: A Case Study of HSM</w:t>
      </w:r>
    </w:p>
    <w:p>
      <w:pPr>
        <w:pStyle w:val="BodyText"/>
      </w:pPr>
      <w:r>
        <w:t xml:space="preserve">Bi Shengxi (EMBA Program)</w:t>
      </w:r>
    </w:p>
    <w:p>
      <w:pPr>
        <w:pStyle w:val="BodyText"/>
      </w:pPr>
      <w:r>
        <w:t xml:space="preserve">Supervised by Professor Song</w:t>
      </w:r>
    </w:p>
    <w:p>
      <w:pPr>
        <w:pStyle w:val="BodyText"/>
      </w:pPr>
      <w:r>
        <w:t xml:space="preserve">[]{#_Toc80108601 .anchor}ABSTRACT</w:t>
      </w:r>
    </w:p>
    <w:p>
      <w:pPr>
        <w:pStyle w:val="BodyText"/>
      </w:pPr>
      <w:r>
        <w:t xml:space="preserve">This paper takes Shenzhen Haytham Technology Co., Ltd. (HSM) as a case</w:t>
      </w:r>
      <w:r>
        <w:t xml:space="preserve"> </w:t>
      </w:r>
      <w:r>
        <w:t xml:space="preserve">study to examine the strategic transformation of visual force sensor</w:t>
      </w:r>
      <w:r>
        <w:t xml:space="preserve"> </w:t>
      </w:r>
      <w:r>
        <w:t xml:space="preserve">enterprises in the context of digital transformation and domestic</w:t>
      </w:r>
      <w:r>
        <w:t xml:space="preserve"> </w:t>
      </w:r>
      <w:r>
        <w:t xml:space="preserve">substitution. With the normalization of Sino-US technological</w:t>
      </w:r>
      <w:r>
        <w:t xml:space="preserve"> </w:t>
      </w:r>
      <w:r>
        <w:t xml:space="preserve">competition and the deepening of Industry 4.0 strategy, visual force</w:t>
      </w:r>
      <w:r>
        <w:t xml:space="preserve"> </w:t>
      </w:r>
      <w:r>
        <w:t xml:space="preserve">sensors, as the core technology for infrastructure safety monitoring,</w:t>
      </w:r>
      <w:r>
        <w:t xml:space="preserve"> </w:t>
      </w:r>
      <w:r>
        <w:t xml:space="preserve">are rapidly evolving from laboratory research tools to industrial-grade</w:t>
      </w:r>
      <w:r>
        <w:t xml:space="preserve"> </w:t>
      </w:r>
      <w:r>
        <w:t xml:space="preserve">standardized products. As a globally leading provider of DIC visual</w:t>
      </w:r>
      <w:r>
        <w:t xml:space="preserve"> </w:t>
      </w:r>
      <w:r>
        <w:t xml:space="preserve">sensing technology solutions, HSM faces strategic challenges in</w:t>
      </w:r>
      <w:r>
        <w:t xml:space="preserve"> </w:t>
      </w:r>
      <w:r>
        <w:t xml:space="preserve">transitioning from project-based to product-driven business models</w:t>
      </w:r>
      <w:r>
        <w:t xml:space="preserve"> </w:t>
      </w:r>
      <w:r>
        <w:t xml:space="preserve">during its rapid development.</w:t>
      </w:r>
    </w:p>
    <w:p>
      <w:pPr>
        <w:pStyle w:val="BodyText"/>
      </w:pPr>
      <w:r>
        <w:t xml:space="preserve">This research adopts a case study methodology, combining literature</w:t>
      </w:r>
      <w:r>
        <w:t xml:space="preserve"> </w:t>
      </w:r>
      <w:r>
        <w:t xml:space="preserve">review, PEST analysis, Porter’s Five Forces model, and SWOT analysis to</w:t>
      </w:r>
      <w:r>
        <w:t xml:space="preserve"> </w:t>
      </w:r>
      <w:r>
        <w:t xml:space="preserve">systematically analyze the drivers, implementation paths, and outcomes</w:t>
      </w:r>
      <w:r>
        <w:t xml:space="preserve"> </w:t>
      </w:r>
      <w:r>
        <w:t xml:space="preserve">of HSM’s strategic transformation. The study finds that the</w:t>
      </w:r>
      <w:r>
        <w:t xml:space="preserve"> </w:t>
      </w:r>
      <w:r>
        <w:t xml:space="preserve">project-based model led to issues such as long payment cycles (accounts</w:t>
      </w:r>
      <w:r>
        <w:t xml:space="preserve"> </w:t>
      </w:r>
      <w:r>
        <w:t xml:space="preserve">receivable turnover days reaching 270 days) and high personnel costs,</w:t>
      </w:r>
      <w:r>
        <w:t xml:space="preserve"> </w:t>
      </w:r>
      <w:r>
        <w:t xml:space="preserve">driving the company’s shift toward productization. The transformation</w:t>
      </w:r>
      <w:r>
        <w:t xml:space="preserve"> </w:t>
      </w:r>
      <w:r>
        <w:t xml:space="preserve">implementation path includes: technological strategy—building three</w:t>
      </w:r>
      <w:r>
        <w:t xml:space="preserve"> </w:t>
      </w:r>
      <w:r>
        <w:t xml:space="preserve">major product lines centered on third-generation DIC technology; market</w:t>
      </w:r>
      <w:r>
        <w:t xml:space="preserve"> </w:t>
      </w:r>
      <w:r>
        <w:t xml:space="preserve">strategy—expanding from research markets to industrial markets;</w:t>
      </w:r>
      <w:r>
        <w:t xml:space="preserve"> </w:t>
      </w:r>
      <w:r>
        <w:t xml:space="preserve">organizational strategy—optimizing talent structure (R&amp;D personnel</w:t>
      </w:r>
      <w:r>
        <w:t xml:space="preserve"> </w:t>
      </w:r>
      <w:r>
        <w:t xml:space="preserve">ratio increased from 25% to 45%); digital transformation—constructing</w:t>
      </w:r>
      <w:r>
        <w:t xml:space="preserve"> </w:t>
      </w:r>
      <w:r>
        <w:t xml:space="preserve">a safety monitoring large model platform; and ecosystem</w:t>
      </w:r>
      <w:r>
        <w:t xml:space="preserve"> </w:t>
      </w:r>
      <w:r>
        <w:t xml:space="preserve">collaboration—establishing an industry-academia-research-application</w:t>
      </w:r>
      <w:r>
        <w:t xml:space="preserve"> </w:t>
      </w:r>
      <w:r>
        <w:t xml:space="preserve">collaborative innovation system.</w:t>
      </w:r>
    </w:p>
    <w:p>
      <w:pPr>
        <w:pStyle w:val="BodyText"/>
      </w:pPr>
      <w:r>
        <w:t xml:space="preserve">The transformation effectiveness evaluation shows that HSM has achieved</w:t>
      </w:r>
      <w:r>
        <w:t xml:space="preserve"> </w:t>
      </w:r>
      <w:r>
        <w:t xml:space="preserve">significant improvements across five dimensions: financial performance,</w:t>
      </w:r>
      <w:r>
        <w:t xml:space="preserve"> </w:t>
      </w:r>
      <w:r>
        <w:t xml:space="preserve">market position, technological innovation, organizational capability,</w:t>
      </w:r>
      <w:r>
        <w:t xml:space="preserve"> </w:t>
      </w:r>
      <w:r>
        <w:t xml:space="preserve">and sustainable development. Gross profit margin increased from 45% to</w:t>
      </w:r>
      <w:r>
        <w:t xml:space="preserve"> </w:t>
      </w:r>
      <w:r>
        <w:t xml:space="preserve">65%, net profit margin from 8% to 18%, accounts receivable turnover days</w:t>
      </w:r>
      <w:r>
        <w:t xml:space="preserve"> </w:t>
      </w:r>
      <w:r>
        <w:t xml:space="preserve">shortened from 270 to 90 days, and per capita output increased by 2.5</w:t>
      </w:r>
      <w:r>
        <w:t xml:space="preserve"> </w:t>
      </w:r>
      <w:r>
        <w:t xml:space="preserve">times. The research concludes that strategic transformation of hard-tech</w:t>
      </w:r>
      <w:r>
        <w:t xml:space="preserve"> </w:t>
      </w:r>
      <w:r>
        <w:t xml:space="preserve">enterprises must be driven by technological innovation, building</w:t>
      </w:r>
      <w:r>
        <w:t xml:space="preserve"> </w:t>
      </w:r>
      <w:r>
        <w:t xml:space="preserve">sustainable competitive advantages through product standardization,</w:t>
      </w:r>
      <w:r>
        <w:t xml:space="preserve"> </w:t>
      </w:r>
      <w:r>
        <w:t xml:space="preserve">organizational restructuring, and ecosystem collaboration.</w:t>
      </w:r>
    </w:p>
    <w:p>
      <w:pPr>
        <w:pStyle w:val="BodyText"/>
      </w:pPr>
      <w:r>
        <w:t xml:space="preserve">This study enriches the theoretical framework of technology enterprise</w:t>
      </w:r>
      <w:r>
        <w:t xml:space="preserve"> </w:t>
      </w:r>
      <w:r>
        <w:t xml:space="preserve">transformation, provides actionable transformation pathways for similar</w:t>
      </w:r>
      <w:r>
        <w:t xml:space="preserve"> </w:t>
      </w:r>
      <w:r>
        <w:t xml:space="preserve">enterprises, and offers decision-making references for policy</w:t>
      </w:r>
      <w:r>
        <w:t xml:space="preserve"> </w:t>
      </w:r>
      <w:r>
        <w:t xml:space="preserve">formulation.</w:t>
      </w:r>
    </w:p>
    <w:p>
      <w:pPr>
        <w:pStyle w:val="BodyText"/>
      </w:pPr>
      <w:r>
        <w:rPr>
          <w:bCs/>
          <w:b/>
        </w:rPr>
        <w:t xml:space="preserve">KEYWORDS</w:t>
      </w:r>
      <w:r>
        <w:t xml:space="preserve">: Visual force sensor; Enterprise strategic transformation;</w:t>
      </w:r>
      <w:r>
        <w:t xml:space="preserve"> </w:t>
      </w:r>
      <w:r>
        <w:t xml:space="preserve">Digital transformation; Hard-tech enterprise; DIC technology</w:t>
      </w:r>
    </w:p>
    <w:p>
      <w:pPr>
        <w:pStyle w:val="BodyText"/>
      </w:pPr>
      <w:r>
        <w:t xml:space="preserve">目录</w:t>
      </w:r>
    </w:p>
    <w:p>
      <w:pPr>
        <w:pStyle w:val="BodyText"/>
      </w:pPr>
      <w:hyperlink r:id="rId20">
        <w:r>
          <w:rPr>
            <w:rStyle w:val="18"/>
          </w:rPr>
          <w:t xml:space="preserve">摘要 [I](#_Toc222913118)</w:t>
        </w:r>
      </w:hyperlink>
    </w:p>
    <w:p>
      <w:pPr>
        <w:pStyle w:val="BodyText"/>
      </w:pPr>
      <w:hyperlink r:id="rId20">
        <w:r>
          <w:rPr>
            <w:rStyle w:val="18"/>
          </w:rPr>
          <w:t xml:space="preserve">ABSTRACT [II](#_Toc80108601)</w:t>
        </w:r>
      </w:hyperlink>
    </w:p>
    <w:p>
      <w:pPr>
        <w:pStyle w:val="BodyText"/>
      </w:pPr>
      <w:hyperlink r:id="rId20">
        <w:r>
          <w:rPr>
            <w:rStyle w:val="18"/>
          </w:rPr>
          <w:t xml:space="preserve">第一章 绪论 [1](#第一章-绪论)</w:t>
        </w:r>
      </w:hyperlink>
    </w:p>
    <w:p>
      <w:pPr>
        <w:pStyle w:val="BodyText"/>
      </w:pPr>
      <w:hyperlink r:id="rId20">
        <w:r>
          <w:rPr>
            <w:rStyle w:val="18"/>
          </w:rPr>
          <w:t xml:space="preserve">1.1研究背景 [1](#研究背景)</w:t>
        </w:r>
      </w:hyperlink>
    </w:p>
    <w:p>
      <w:pPr>
        <w:pStyle w:val="BodyText"/>
      </w:pPr>
      <w:hyperlink r:id="rId20">
        <w:r>
          <w:rPr>
            <w:rStyle w:val="18"/>
          </w:rPr>
          <w:t xml:space="preserve">1.2 研究意义 [2](#研究意义)</w:t>
        </w:r>
      </w:hyperlink>
    </w:p>
    <w:p>
      <w:pPr>
        <w:pStyle w:val="BodyText"/>
      </w:pPr>
      <w:hyperlink r:id="rId20">
        <w:r>
          <w:rPr>
            <w:rStyle w:val="18"/>
          </w:rPr>
          <w:t xml:space="preserve">1.3 研究内容与方法 [2](#研究内容与方法)</w:t>
        </w:r>
      </w:hyperlink>
    </w:p>
    <w:p>
      <w:pPr>
        <w:pStyle w:val="BodyText"/>
      </w:pPr>
      <w:hyperlink r:id="rId20">
        <w:r>
          <w:rPr>
            <w:rStyle w:val="18"/>
          </w:rPr>
          <w:t xml:space="preserve">1.4 论文结构安排 [3](#论文结构安排)</w:t>
        </w:r>
      </w:hyperlink>
    </w:p>
    <w:p>
      <w:pPr>
        <w:pStyle w:val="BodyText"/>
      </w:pPr>
      <w:hyperlink r:id="rId20">
        <w:r>
          <w:rPr>
            <w:rStyle w:val="18"/>
          </w:rPr>
          <w:t xml:space="preserve">第二章 理论基础与文献综述 [5](#第二章-理论基础与文献综述)</w:t>
        </w:r>
      </w:hyperlink>
    </w:p>
    <w:p>
      <w:pPr>
        <w:pStyle w:val="BodyText"/>
      </w:pPr>
      <w:hyperlink r:id="rId20">
        <w:r>
          <w:rPr>
            <w:rStyle w:val="18"/>
          </w:rPr>
          <w:t xml:space="preserve">2.1 企业战略转型理论 [5](#企业战略转型理论)</w:t>
        </w:r>
      </w:hyperlink>
    </w:p>
    <w:p>
      <w:pPr>
        <w:pStyle w:val="BodyText"/>
      </w:pPr>
      <w:hyperlink r:id="rId20">
        <w:r>
          <w:rPr>
            <w:rStyle w:val="18"/>
          </w:rPr>
          <w:t xml:space="preserve">2.2 视觉力学传感器行业概述 [6](#视觉力学传感器行业概述)</w:t>
        </w:r>
      </w:hyperlink>
    </w:p>
    <w:p>
      <w:pPr>
        <w:pStyle w:val="BodyText"/>
      </w:pPr>
      <w:hyperlink r:id="rId20">
        <w:r>
          <w:rPr>
            <w:rStyle w:val="18"/>
          </w:rPr>
          <w:t xml:space="preserve">2.3 相关研究综述 [7](#相关研究综述)</w:t>
        </w:r>
      </w:hyperlink>
    </w:p>
    <w:p>
      <w:pPr>
        <w:pStyle w:val="BodyText"/>
      </w:pPr>
      <w:hyperlink r:id="rId20">
        <w:r>
          <w:rPr>
            <w:rStyle w:val="18"/>
          </w:rPr>
          <w:t xml:space="preserve">第三章 HSM公司外部环境分析 [9](#第三章-hsm公司外部环境分析)</w:t>
        </w:r>
      </w:hyperlink>
    </w:p>
    <w:p>
      <w:pPr>
        <w:pStyle w:val="BodyText"/>
      </w:pPr>
      <w:hyperlink r:id="rId20">
        <w:r>
          <w:rPr>
            <w:rStyle w:val="18"/>
          </w:rPr>
          <w:t xml:space="preserve">3.1 HSM外部宏观环境PEST分析 [9](#hsm外部宏观环境pest分析)</w:t>
        </w:r>
      </w:hyperlink>
    </w:p>
    <w:p>
      <w:pPr>
        <w:pStyle w:val="BodyText"/>
      </w:pPr>
      <w:hyperlink r:id="rId20">
        <w:r>
          <w:rPr>
            <w:rStyle w:val="18"/>
          </w:rPr>
          <w:t xml:space="preserve">3.1.1 政治环境 [9](#政治环境)</w:t>
        </w:r>
      </w:hyperlink>
    </w:p>
    <w:p>
      <w:pPr>
        <w:pStyle w:val="BodyText"/>
      </w:pPr>
      <w:hyperlink r:id="rId20">
        <w:r>
          <w:rPr>
            <w:rStyle w:val="18"/>
          </w:rPr>
          <w:t xml:space="preserve">3.1.2 经济环境 [9](#经济环境)</w:t>
        </w:r>
      </w:hyperlink>
    </w:p>
    <w:p>
      <w:pPr>
        <w:pStyle w:val="BodyText"/>
      </w:pPr>
      <w:hyperlink r:id="rId20">
        <w:r>
          <w:rPr>
            <w:rStyle w:val="18"/>
          </w:rPr>
          <w:t xml:space="preserve">3.1.3 社会环境 [10](#社会环境)</w:t>
        </w:r>
      </w:hyperlink>
    </w:p>
    <w:p>
      <w:pPr>
        <w:pStyle w:val="BodyText"/>
      </w:pPr>
      <w:hyperlink r:id="rId20">
        <w:r>
          <w:rPr>
            <w:rStyle w:val="18"/>
          </w:rPr>
          <w:t xml:space="preserve">3.1.4 技术环境 [11](#技术环境)</w:t>
        </w:r>
      </w:hyperlink>
    </w:p>
    <w:p>
      <w:pPr>
        <w:pStyle w:val="BodyText"/>
      </w:pPr>
      <w:hyperlink r:id="rId20">
        <w:r>
          <w:rPr>
            <w:rStyle w:val="18"/>
          </w:rPr>
          <w:t xml:space="preserve">3.1.5 小结 [11](#小结)</w:t>
        </w:r>
      </w:hyperlink>
    </w:p>
    <w:p>
      <w:pPr>
        <w:pStyle w:val="BodyText"/>
      </w:pPr>
      <w:hyperlink r:id="rId20">
        <w:r>
          <w:rPr>
            <w:rStyle w:val="18"/>
          </w:rPr>
          <w:t xml:space="preserve">3.2 视觉力学传感器行业总体环境分析</w:t>
        </w:r>
        <w:r>
          <w:rPr>
            <w:rStyle w:val="18"/>
          </w:rPr>
          <w:t xml:space="preserve"> </w:t>
        </w:r>
        <w:r>
          <w:rPr>
            <w:rStyle w:val="18"/>
          </w:rPr>
          <w:t xml:space="preserve">[12](#视觉力学传感器行业总体环境分析)</w:t>
        </w:r>
      </w:hyperlink>
    </w:p>
    <w:p>
      <w:pPr>
        <w:pStyle w:val="BodyText"/>
      </w:pPr>
      <w:hyperlink r:id="rId20">
        <w:r>
          <w:rPr>
            <w:rStyle w:val="18"/>
          </w:rPr>
          <w:t xml:space="preserve">3.2.1 全球与中国市场对比分析 [12](#全球与中国市场对比分析)</w:t>
        </w:r>
      </w:hyperlink>
    </w:p>
    <w:p>
      <w:pPr>
        <w:pStyle w:val="BodyText"/>
      </w:pPr>
      <w:hyperlink r:id="rId20">
        <w:r>
          <w:rPr>
            <w:rStyle w:val="18"/>
          </w:rPr>
          <w:t xml:space="preserve">3.2.2 主要竞争对手分析 [13](#主要竞争对手分析)</w:t>
        </w:r>
      </w:hyperlink>
    </w:p>
    <w:p>
      <w:pPr>
        <w:pStyle w:val="BodyText"/>
      </w:pPr>
      <w:hyperlink r:id="rId20">
        <w:r>
          <w:rPr>
            <w:rStyle w:val="18"/>
          </w:rPr>
          <w:t xml:space="preserve">3.3 行业竞争环境波特五力分析 [15](#行业竞争环境波特五力分析)</w:t>
        </w:r>
      </w:hyperlink>
    </w:p>
    <w:p>
      <w:pPr>
        <w:pStyle w:val="BodyText"/>
      </w:pPr>
      <w:hyperlink r:id="rId20">
        <w:r>
          <w:rPr>
            <w:rStyle w:val="18"/>
          </w:rPr>
          <w:t xml:space="preserve">3.3.1 现有企业竞争程度 [15](#现有企业竞争程度)</w:t>
        </w:r>
      </w:hyperlink>
    </w:p>
    <w:p>
      <w:pPr>
        <w:pStyle w:val="BodyText"/>
      </w:pPr>
      <w:hyperlink r:id="rId20">
        <w:r>
          <w:rPr>
            <w:rStyle w:val="18"/>
          </w:rPr>
          <w:t xml:space="preserve">3.3.2 潜在进入者威胁 [15](#潜在进入者威胁)</w:t>
        </w:r>
      </w:hyperlink>
    </w:p>
    <w:p>
      <w:pPr>
        <w:pStyle w:val="BodyText"/>
      </w:pPr>
      <w:hyperlink r:id="rId20">
        <w:r>
          <w:rPr>
            <w:rStyle w:val="18"/>
          </w:rPr>
          <w:t xml:space="preserve">3.3.3 替代品威胁 [16](#替代品威胁)</w:t>
        </w:r>
      </w:hyperlink>
    </w:p>
    <w:p>
      <w:pPr>
        <w:pStyle w:val="BodyText"/>
      </w:pPr>
      <w:hyperlink r:id="rId20">
        <w:r>
          <w:rPr>
            <w:rStyle w:val="18"/>
          </w:rPr>
          <w:t xml:space="preserve">3.3.4 供应商议价能力 [17](#供应商议价能力)</w:t>
        </w:r>
      </w:hyperlink>
    </w:p>
    <w:p>
      <w:pPr>
        <w:pStyle w:val="BodyText"/>
      </w:pPr>
      <w:hyperlink r:id="rId20">
        <w:r>
          <w:rPr>
            <w:rStyle w:val="18"/>
          </w:rPr>
          <w:t xml:space="preserve">3.3.5 客户议价能力 [18](#客户议价能力)</w:t>
        </w:r>
      </w:hyperlink>
    </w:p>
    <w:p>
      <w:pPr>
        <w:pStyle w:val="BodyText"/>
      </w:pPr>
      <w:hyperlink r:id="rId20">
        <w:r>
          <w:rPr>
            <w:rStyle w:val="18"/>
          </w:rPr>
          <w:t xml:space="preserve">3.3.6 小结 [18](#小结-1)</w:t>
        </w:r>
      </w:hyperlink>
    </w:p>
    <w:p>
      <w:pPr>
        <w:pStyle w:val="BodyText"/>
      </w:pPr>
      <w:hyperlink r:id="rId20">
        <w:r>
          <w:rPr>
            <w:rStyle w:val="18"/>
          </w:rPr>
          <w:t xml:space="preserve">3.4 视觉安全监测主要应用场景深度分析</w:t>
        </w:r>
        <w:r>
          <w:rPr>
            <w:rStyle w:val="18"/>
          </w:rPr>
          <w:t xml:space="preserve"> </w:t>
        </w:r>
        <w:r>
          <w:rPr>
            <w:rStyle w:val="18"/>
          </w:rPr>
          <w:t xml:space="preserve">[19](#视觉安全监测主要应用场景深度分析)</w:t>
        </w:r>
      </w:hyperlink>
    </w:p>
    <w:p>
      <w:pPr>
        <w:pStyle w:val="BodyText"/>
      </w:pPr>
      <w:hyperlink r:id="rId20">
        <w:r>
          <w:rPr>
            <w:rStyle w:val="18"/>
          </w:rPr>
          <w:t xml:space="preserve">3.4.1 桥梁健康监测市场分析 [19](#桥梁健康监测市场分析)</w:t>
        </w:r>
      </w:hyperlink>
    </w:p>
    <w:p>
      <w:pPr>
        <w:pStyle w:val="BodyText"/>
      </w:pPr>
      <w:hyperlink r:id="rId20">
        <w:r>
          <w:rPr>
            <w:rStyle w:val="18"/>
          </w:rPr>
          <w:t xml:space="preserve">3.4.2 隧道收敛监测市场分析 [20](#隧道收敛监测市场分析)</w:t>
        </w:r>
      </w:hyperlink>
    </w:p>
    <w:p>
      <w:pPr>
        <w:pStyle w:val="BodyText"/>
      </w:pPr>
      <w:hyperlink r:id="rId20">
        <w:r>
          <w:rPr>
            <w:rStyle w:val="18"/>
          </w:rPr>
          <w:t xml:space="preserve">3.4.3 边坡位移监测市场分析 [21](#边坡位移监测市场分析)</w:t>
        </w:r>
      </w:hyperlink>
    </w:p>
    <w:p>
      <w:pPr>
        <w:pStyle w:val="BodyText"/>
      </w:pPr>
      <w:hyperlink r:id="rId20">
        <w:r>
          <w:rPr>
            <w:rStyle w:val="18"/>
          </w:rPr>
          <w:t xml:space="preserve">3.4.4 国家政策环境分析 [21](#国家政策环境分析)</w:t>
        </w:r>
      </w:hyperlink>
    </w:p>
    <w:p>
      <w:pPr>
        <w:pStyle w:val="BodyText"/>
      </w:pPr>
      <w:hyperlink r:id="rId20">
        <w:r>
          <w:rPr>
            <w:rStyle w:val="18"/>
          </w:rPr>
          <w:t xml:space="preserve">3.5 本章小结 [22](#本章小结)</w:t>
        </w:r>
      </w:hyperlink>
    </w:p>
    <w:p>
      <w:pPr>
        <w:pStyle w:val="BodyText"/>
      </w:pPr>
      <w:hyperlink r:id="rId20">
        <w:r>
          <w:rPr>
            <w:rStyle w:val="18"/>
          </w:rPr>
          <w:t xml:space="preserve">第四章 HSM转型的动因分析 [25](#第四章-hsm转型的动因分析)</w:t>
        </w:r>
      </w:hyperlink>
    </w:p>
    <w:p>
      <w:pPr>
        <w:pStyle w:val="BodyText"/>
      </w:pPr>
      <w:hyperlink r:id="rId20">
        <w:r>
          <w:rPr>
            <w:rStyle w:val="18"/>
          </w:rPr>
          <w:t xml:space="preserve">4.1 HSM基本情况 [25](#hsm基本情况)</w:t>
        </w:r>
      </w:hyperlink>
    </w:p>
    <w:p>
      <w:pPr>
        <w:pStyle w:val="BodyText"/>
      </w:pPr>
      <w:hyperlink r:id="rId20">
        <w:r>
          <w:rPr>
            <w:rStyle w:val="18"/>
          </w:rPr>
          <w:t xml:space="preserve">4.2 HSM内部资源和能力分析 [25](#hsm内部资源和能力分析)</w:t>
        </w:r>
      </w:hyperlink>
    </w:p>
    <w:p>
      <w:pPr>
        <w:pStyle w:val="BodyText"/>
      </w:pPr>
      <w:hyperlink r:id="rId20">
        <w:r>
          <w:rPr>
            <w:rStyle w:val="18"/>
          </w:rPr>
          <w:t xml:space="preserve">4.2.1 技术资源 [25](#技术资源)</w:t>
        </w:r>
      </w:hyperlink>
    </w:p>
    <w:p>
      <w:pPr>
        <w:pStyle w:val="BodyText"/>
      </w:pPr>
      <w:hyperlink r:id="rId20">
        <w:r>
          <w:rPr>
            <w:rStyle w:val="18"/>
          </w:rPr>
          <w:t xml:space="preserve">4.2.2 产品资源 [26](#产品资源)</w:t>
        </w:r>
      </w:hyperlink>
    </w:p>
    <w:p>
      <w:pPr>
        <w:pStyle w:val="BodyText"/>
      </w:pPr>
      <w:hyperlink r:id="rId20">
        <w:r>
          <w:rPr>
            <w:rStyle w:val="18"/>
          </w:rPr>
          <w:t xml:space="preserve">4.2.3 生产资源 [27](#生产资源)</w:t>
        </w:r>
      </w:hyperlink>
    </w:p>
    <w:p>
      <w:pPr>
        <w:pStyle w:val="BodyText"/>
      </w:pPr>
      <w:hyperlink r:id="rId20">
        <w:r>
          <w:rPr>
            <w:rStyle w:val="18"/>
          </w:rPr>
          <w:t xml:space="preserve">4.2.4 客户资源 [28](#客户资源)</w:t>
        </w:r>
      </w:hyperlink>
    </w:p>
    <w:p>
      <w:pPr>
        <w:pStyle w:val="BodyText"/>
      </w:pPr>
      <w:hyperlink r:id="rId20">
        <w:r>
          <w:rPr>
            <w:rStyle w:val="18"/>
          </w:rPr>
          <w:t xml:space="preserve">4.2.5 人力资源 [28](#人力资源)</w:t>
        </w:r>
      </w:hyperlink>
    </w:p>
    <w:p>
      <w:pPr>
        <w:pStyle w:val="BodyText"/>
      </w:pPr>
      <w:hyperlink r:id="rId20">
        <w:r>
          <w:rPr>
            <w:rStyle w:val="18"/>
          </w:rPr>
          <w:t xml:space="preserve">4.3 HSM竞争战略 [29](#hsm竞争战略)</w:t>
        </w:r>
      </w:hyperlink>
    </w:p>
    <w:p>
      <w:pPr>
        <w:pStyle w:val="BodyText"/>
      </w:pPr>
      <w:hyperlink r:id="rId20">
        <w:r>
          <w:rPr>
            <w:rStyle w:val="18"/>
          </w:rPr>
          <w:t xml:space="preserve">4.3.1 HSM战略目标 [29](#hsm战略目标)</w:t>
        </w:r>
      </w:hyperlink>
    </w:p>
    <w:p>
      <w:pPr>
        <w:pStyle w:val="BodyText"/>
      </w:pPr>
      <w:hyperlink r:id="rId20">
        <w:r>
          <w:rPr>
            <w:rStyle w:val="18"/>
          </w:rPr>
          <w:t xml:space="preserve">4.3.2 基本价值链的竞争选择和实施路径</w:t>
        </w:r>
        <w:r>
          <w:rPr>
            <w:rStyle w:val="18"/>
          </w:rPr>
          <w:t xml:space="preserve"> </w:t>
        </w:r>
        <w:r>
          <w:rPr>
            <w:rStyle w:val="18"/>
          </w:rPr>
          <w:t xml:space="preserve">[29](#基本价值链的竞争选择和实施路径)</w:t>
        </w:r>
      </w:hyperlink>
    </w:p>
    <w:p>
      <w:pPr>
        <w:pStyle w:val="BodyText"/>
      </w:pPr>
      <w:hyperlink r:id="rId20">
        <w:r>
          <w:rPr>
            <w:rStyle w:val="18"/>
          </w:rPr>
          <w:t xml:space="preserve">4.4 HSM面临的机遇和挑战 [31](#hsm面临的机遇和挑战)</w:t>
        </w:r>
      </w:hyperlink>
    </w:p>
    <w:p>
      <w:pPr>
        <w:pStyle w:val="BodyText"/>
      </w:pPr>
      <w:hyperlink r:id="rId20">
        <w:r>
          <w:rPr>
            <w:rStyle w:val="18"/>
          </w:rPr>
          <w:t xml:space="preserve">4.4.1 机遇 [31](#机遇)</w:t>
        </w:r>
      </w:hyperlink>
    </w:p>
    <w:p>
      <w:pPr>
        <w:pStyle w:val="BodyText"/>
      </w:pPr>
      <w:hyperlink r:id="rId20">
        <w:r>
          <w:rPr>
            <w:rStyle w:val="18"/>
          </w:rPr>
          <w:t xml:space="preserve">4.4.2 挑战 [31](#挑战)</w:t>
        </w:r>
      </w:hyperlink>
    </w:p>
    <w:p>
      <w:pPr>
        <w:pStyle w:val="BodyText"/>
      </w:pPr>
      <w:hyperlink r:id="rId20">
        <w:r>
          <w:rPr>
            <w:rStyle w:val="18"/>
          </w:rPr>
          <w:t xml:space="preserve">第五章 HSM转型的实施路径 [33](#第五章-hsm转型的实施路径)</w:t>
        </w:r>
      </w:hyperlink>
    </w:p>
    <w:p>
      <w:pPr>
        <w:pStyle w:val="BodyText"/>
      </w:pPr>
      <w:hyperlink r:id="rId20">
        <w:r>
          <w:rPr>
            <w:rStyle w:val="18"/>
          </w:rPr>
          <w:t xml:space="preserve">5.1产品线差异化研发与创新 [33](#产品线差异化研发与创新)</w:t>
        </w:r>
      </w:hyperlink>
    </w:p>
    <w:p>
      <w:pPr>
        <w:pStyle w:val="BodyText"/>
      </w:pPr>
      <w:hyperlink r:id="rId20">
        <w:r>
          <w:rPr>
            <w:rStyle w:val="18"/>
          </w:rPr>
          <w:t xml:space="preserve">5.1.1产品标准化生产与技术迭代 [33](#产品标准化生产与技术迭代)</w:t>
        </w:r>
      </w:hyperlink>
    </w:p>
    <w:p>
      <w:pPr>
        <w:pStyle w:val="BodyText"/>
      </w:pPr>
      <w:hyperlink r:id="rId20">
        <w:r>
          <w:rPr>
            <w:rStyle w:val="18"/>
          </w:rPr>
          <w:t xml:space="preserve">5.1.2垂直领域技术聚焦与新产品研发</w:t>
        </w:r>
        <w:r>
          <w:rPr>
            <w:rStyle w:val="18"/>
          </w:rPr>
          <w:t xml:space="preserve"> </w:t>
        </w:r>
        <w:r>
          <w:rPr>
            <w:rStyle w:val="18"/>
          </w:rPr>
          <w:t xml:space="preserve">[34](#垂直领域技术聚焦与新产品研发)</w:t>
        </w:r>
      </w:hyperlink>
    </w:p>
    <w:p>
      <w:pPr>
        <w:pStyle w:val="BodyText"/>
      </w:pPr>
      <w:hyperlink r:id="rId20">
        <w:r>
          <w:rPr>
            <w:rStyle w:val="18"/>
          </w:rPr>
          <w:t xml:space="preserve">5.1.3下一代产品布局 [34](#下一代产品布局)</w:t>
        </w:r>
      </w:hyperlink>
    </w:p>
    <w:p>
      <w:pPr>
        <w:pStyle w:val="BodyText"/>
      </w:pPr>
      <w:hyperlink r:id="rId20">
        <w:r>
          <w:rPr>
            <w:rStyle w:val="18"/>
          </w:rPr>
          <w:t xml:space="preserve">5.2 市场销售模式重构与市场聚焦 [34](#市场销售模式重构与市场聚焦)</w:t>
        </w:r>
      </w:hyperlink>
    </w:p>
    <w:p>
      <w:pPr>
        <w:pStyle w:val="BodyText"/>
      </w:pPr>
      <w:hyperlink r:id="rId20">
        <w:r>
          <w:rPr>
            <w:rStyle w:val="18"/>
          </w:rPr>
          <w:t xml:space="preserve">5.2.1捆绑销售模式与渠道合作 [34](#捆绑销售模式与渠道合作)</w:t>
        </w:r>
      </w:hyperlink>
    </w:p>
    <w:p>
      <w:pPr>
        <w:pStyle w:val="BodyText"/>
      </w:pPr>
      <w:hyperlink r:id="rId20">
        <w:r>
          <w:rPr>
            <w:rStyle w:val="18"/>
          </w:rPr>
          <w:t xml:space="preserve">5.2.2垂直行业聚焦与地区合作伙伴体系</w:t>
        </w:r>
        <w:r>
          <w:rPr>
            <w:rStyle w:val="18"/>
          </w:rPr>
          <w:t xml:space="preserve"> </w:t>
        </w:r>
        <w:r>
          <w:rPr>
            <w:rStyle w:val="18"/>
          </w:rPr>
          <w:t xml:space="preserve">[35](#垂直行业聚焦与地区合作伙伴体系)</w:t>
        </w:r>
      </w:hyperlink>
    </w:p>
    <w:p>
      <w:pPr>
        <w:pStyle w:val="BodyText"/>
      </w:pPr>
      <w:hyperlink r:id="rId20">
        <w:r>
          <w:rPr>
            <w:rStyle w:val="18"/>
          </w:rPr>
          <w:t xml:space="preserve">5.2.3 回款机制优化与资金周转率提升</w:t>
        </w:r>
        <w:r>
          <w:rPr>
            <w:rStyle w:val="18"/>
          </w:rPr>
          <w:t xml:space="preserve"> </w:t>
        </w:r>
        <w:r>
          <w:rPr>
            <w:rStyle w:val="18"/>
          </w:rPr>
          <w:t xml:space="preserve">[35](#回款机制优化与资金周转率提升)</w:t>
        </w:r>
      </w:hyperlink>
    </w:p>
    <w:p>
      <w:pPr>
        <w:pStyle w:val="BodyText"/>
      </w:pPr>
      <w:hyperlink r:id="rId20">
        <w:r>
          <w:rPr>
            <w:rStyle w:val="18"/>
          </w:rPr>
          <w:t xml:space="preserve">5.3资源重新配置与团队转型 [36](#资源重新配置与团队转型)</w:t>
        </w:r>
      </w:hyperlink>
    </w:p>
    <w:p>
      <w:pPr>
        <w:pStyle w:val="BodyText"/>
      </w:pPr>
      <w:hyperlink r:id="rId20">
        <w:r>
          <w:rPr>
            <w:rStyle w:val="18"/>
          </w:rPr>
          <w:t xml:space="preserve">5.3.1 研发资源向标准化产品倾斜 [36](#研发资源向标准化产品倾斜)</w:t>
        </w:r>
      </w:hyperlink>
    </w:p>
    <w:p>
      <w:pPr>
        <w:pStyle w:val="BodyText"/>
      </w:pPr>
      <w:hyperlink r:id="rId20">
        <w:r>
          <w:rPr>
            <w:rStyle w:val="18"/>
          </w:rPr>
          <w:t xml:space="preserve">5.3.2 销售团队从售前向售中售后转型</w:t>
        </w:r>
        <w:r>
          <w:rPr>
            <w:rStyle w:val="18"/>
          </w:rPr>
          <w:t xml:space="preserve"> </w:t>
        </w:r>
        <w:r>
          <w:rPr>
            <w:rStyle w:val="18"/>
          </w:rPr>
          <w:t xml:space="preserve">[37](#销售团队从售前向售中售后转型)</w:t>
        </w:r>
      </w:hyperlink>
    </w:p>
    <w:p>
      <w:pPr>
        <w:pStyle w:val="BodyText"/>
      </w:pPr>
      <w:hyperlink r:id="rId20">
        <w:r>
          <w:rPr>
            <w:rStyle w:val="18"/>
          </w:rPr>
          <w:t xml:space="preserve">5.3.3 项目制团队向产品化团队转型 [37](#项目制团队向产品化团队转型)</w:t>
        </w:r>
      </w:hyperlink>
    </w:p>
    <w:p>
      <w:pPr>
        <w:pStyle w:val="BodyText"/>
      </w:pPr>
      <w:hyperlink r:id="rId20">
        <w:r>
          <w:rPr>
            <w:rStyle w:val="18"/>
          </w:rPr>
          <w:t xml:space="preserve">5.4供应链与生产流程优化 [37](#供应链与生产流程优化)</w:t>
        </w:r>
      </w:hyperlink>
    </w:p>
    <w:p>
      <w:pPr>
        <w:pStyle w:val="BodyText"/>
      </w:pPr>
      <w:hyperlink r:id="rId20">
        <w:r>
          <w:rPr>
            <w:rStyle w:val="18"/>
          </w:rPr>
          <w:t xml:space="preserve">5.4.1供应链调整与标准化生产 [37](#供应链调整与标准化生产)</w:t>
        </w:r>
      </w:hyperlink>
    </w:p>
    <w:p>
      <w:pPr>
        <w:pStyle w:val="BodyText"/>
      </w:pPr>
      <w:hyperlink r:id="rId20">
        <w:r>
          <w:rPr>
            <w:rStyle w:val="18"/>
          </w:rPr>
          <w:t xml:space="preserve">5.4.2产业链优化与合作伙伴协同平台</w:t>
        </w:r>
        <w:r>
          <w:rPr>
            <w:rStyle w:val="18"/>
          </w:rPr>
          <w:t xml:space="preserve"> </w:t>
        </w:r>
        <w:r>
          <w:rPr>
            <w:rStyle w:val="18"/>
          </w:rPr>
          <w:t xml:space="preserve">[38](#产业链优化与合作伙伴协同平台)</w:t>
        </w:r>
      </w:hyperlink>
    </w:p>
    <w:p>
      <w:pPr>
        <w:pStyle w:val="BodyText"/>
      </w:pPr>
      <w:hyperlink r:id="rId20">
        <w:r>
          <w:rPr>
            <w:rStyle w:val="18"/>
          </w:rPr>
          <w:t xml:space="preserve">5.4.3 数字化工具提升管理效率 [38](#数字化工具提升管理效率)</w:t>
        </w:r>
      </w:hyperlink>
    </w:p>
    <w:p>
      <w:pPr>
        <w:pStyle w:val="BodyText"/>
      </w:pPr>
      <w:hyperlink r:id="rId20">
        <w:r>
          <w:rPr>
            <w:rStyle w:val="18"/>
          </w:rPr>
          <w:t xml:space="preserve">5.5构建可持续发展伙伴关系 [38](#构建可持续发展伙伴关系)</w:t>
        </w:r>
      </w:hyperlink>
    </w:p>
    <w:p>
      <w:pPr>
        <w:pStyle w:val="BodyText"/>
      </w:pPr>
      <w:hyperlink r:id="rId20">
        <w:r>
          <w:rPr>
            <w:rStyle w:val="18"/>
          </w:rPr>
          <w:t xml:space="preserve">5.5.1 与试验机厂家的深度合作模式 [38](#与试验机厂家的深度合作模式)</w:t>
        </w:r>
      </w:hyperlink>
    </w:p>
    <w:p>
      <w:pPr>
        <w:pStyle w:val="BodyText"/>
      </w:pPr>
      <w:hyperlink r:id="rId20">
        <w:r>
          <w:rPr>
            <w:rStyle w:val="18"/>
          </w:rPr>
          <w:t xml:space="preserve">5.5.2 地区合作伙伴培育与管理体系 [38](#地区合作伙伴培育与管理体系)</w:t>
        </w:r>
      </w:hyperlink>
    </w:p>
    <w:p>
      <w:pPr>
        <w:pStyle w:val="BodyText"/>
      </w:pPr>
      <w:hyperlink r:id="rId20">
        <w:r>
          <w:rPr>
            <w:rStyle w:val="18"/>
          </w:rPr>
          <w:t xml:space="preserve">5.5.3 产学研合作与行业标准共建 [39](#产学研合作与行业标准共建)</w:t>
        </w:r>
      </w:hyperlink>
    </w:p>
    <w:p>
      <w:pPr>
        <w:pStyle w:val="BodyText"/>
      </w:pPr>
      <w:hyperlink r:id="rId20">
        <w:r>
          <w:rPr>
            <w:rStyle w:val="18"/>
          </w:rPr>
          <w:t xml:space="preserve">5.6 实施路径的时间规划与关键里程碑</w:t>
        </w:r>
        <w:r>
          <w:rPr>
            <w:rStyle w:val="18"/>
          </w:rPr>
          <w:t xml:space="preserve"> </w:t>
        </w:r>
        <w:r>
          <w:rPr>
            <w:rStyle w:val="18"/>
          </w:rPr>
          <w:t xml:space="preserve">[39](#实施路径的时间规划与关键里程碑)</w:t>
        </w:r>
      </w:hyperlink>
    </w:p>
    <w:p>
      <w:pPr>
        <w:pStyle w:val="BodyText"/>
      </w:pPr>
      <w:hyperlink r:id="rId20">
        <w:r>
          <w:rPr>
            <w:rStyle w:val="18"/>
          </w:rPr>
          <w:t xml:space="preserve">5.6.1基础建设期 [39](#基础建设期)</w:t>
        </w:r>
      </w:hyperlink>
    </w:p>
    <w:p>
      <w:pPr>
        <w:pStyle w:val="BodyText"/>
      </w:pPr>
      <w:hyperlink r:id="rId20">
        <w:r>
          <w:rPr>
            <w:rStyle w:val="18"/>
          </w:rPr>
          <w:t xml:space="preserve">5.6.2全面推进期 [39](#全面推进期)</w:t>
        </w:r>
      </w:hyperlink>
    </w:p>
    <w:p>
      <w:pPr>
        <w:pStyle w:val="BodyText"/>
      </w:pPr>
      <w:hyperlink r:id="rId20">
        <w:r>
          <w:rPr>
            <w:rStyle w:val="18"/>
          </w:rPr>
          <w:t xml:space="preserve">5.6.3成果巩固期 [39](#成果巩固期)</w:t>
        </w:r>
      </w:hyperlink>
    </w:p>
    <w:p>
      <w:pPr>
        <w:pStyle w:val="BodyText"/>
      </w:pPr>
      <w:hyperlink r:id="rId20">
        <w:r>
          <w:rPr>
            <w:rStyle w:val="18"/>
          </w:rPr>
          <w:t xml:space="preserve">5.7 预期成效与风险评估 [40](#预期成效与风险评估)</w:t>
        </w:r>
      </w:hyperlink>
    </w:p>
    <w:p>
      <w:pPr>
        <w:pStyle w:val="BodyText"/>
      </w:pPr>
      <w:hyperlink r:id="rId20">
        <w:r>
          <w:rPr>
            <w:rStyle w:val="18"/>
          </w:rPr>
          <w:t xml:space="preserve">5.7.1 预期成效 [40](#预期成效)</w:t>
        </w:r>
      </w:hyperlink>
    </w:p>
    <w:p>
      <w:pPr>
        <w:pStyle w:val="BodyText"/>
      </w:pPr>
      <w:hyperlink r:id="rId20">
        <w:r>
          <w:rPr>
            <w:rStyle w:val="18"/>
          </w:rPr>
          <w:t xml:space="preserve">5.7.2 风险与应对 [40](#风险与应对)</w:t>
        </w:r>
      </w:hyperlink>
    </w:p>
    <w:p>
      <w:pPr>
        <w:pStyle w:val="BodyText"/>
      </w:pPr>
      <w:hyperlink r:id="rId20">
        <w:r>
          <w:rPr>
            <w:rStyle w:val="18"/>
          </w:rPr>
          <w:t xml:space="preserve">第六章 HSM转型的成效评估 [41](#第六章-hsm转型的成效评估)</w:t>
        </w:r>
      </w:hyperlink>
    </w:p>
    <w:p>
      <w:pPr>
        <w:pStyle w:val="BodyText"/>
      </w:pPr>
      <w:hyperlink r:id="rId20">
        <w:r>
          <w:rPr>
            <w:rStyle w:val="18"/>
          </w:rPr>
          <w:t xml:space="preserve">6.1 转型成效评估框架构建 [41](#转型成效评估框架构建)</w:t>
        </w:r>
      </w:hyperlink>
    </w:p>
    <w:p>
      <w:pPr>
        <w:pStyle w:val="BodyText"/>
      </w:pPr>
      <w:hyperlink r:id="rId20">
        <w:r>
          <w:rPr>
            <w:rStyle w:val="18"/>
          </w:rPr>
          <w:t xml:space="preserve">6.2 财务绩效成效分析 [42](#财务绩效成效分析)</w:t>
        </w:r>
      </w:hyperlink>
    </w:p>
    <w:p>
      <w:pPr>
        <w:pStyle w:val="BodyText"/>
      </w:pPr>
      <w:hyperlink r:id="rId20">
        <w:r>
          <w:rPr>
            <w:rStyle w:val="18"/>
          </w:rPr>
          <w:t xml:space="preserve">6.3 市场地位与品牌影响力 [43](#市场地位与品牌影响力)</w:t>
        </w:r>
      </w:hyperlink>
    </w:p>
    <w:p>
      <w:pPr>
        <w:pStyle w:val="BodyText"/>
      </w:pPr>
      <w:hyperlink r:id="rId20">
        <w:r>
          <w:rPr>
            <w:rStyle w:val="18"/>
          </w:rPr>
          <w:t xml:space="preserve">6.4 技术创新成效评估 [44](#技术创新成效评估)</w:t>
        </w:r>
      </w:hyperlink>
    </w:p>
    <w:p>
      <w:pPr>
        <w:pStyle w:val="BodyText"/>
      </w:pPr>
      <w:hyperlink r:id="rId20">
        <w:r>
          <w:rPr>
            <w:rStyle w:val="18"/>
          </w:rPr>
          <w:t xml:space="preserve">6.5 组织能力与文化变革 [45](#组织能力与文化变革)</w:t>
        </w:r>
      </w:hyperlink>
    </w:p>
    <w:p>
      <w:pPr>
        <w:pStyle w:val="BodyText"/>
      </w:pPr>
      <w:hyperlink r:id="rId20">
        <w:r>
          <w:rPr>
            <w:rStyle w:val="18"/>
          </w:rPr>
          <w:t xml:space="preserve">6.6 可持续发展能力评估 [46](#可持续发展能力评估)</w:t>
        </w:r>
      </w:hyperlink>
    </w:p>
    <w:p>
      <w:pPr>
        <w:pStyle w:val="BodyText"/>
      </w:pPr>
      <w:hyperlink r:id="rId20">
        <w:r>
          <w:rPr>
            <w:rStyle w:val="18"/>
          </w:rPr>
          <w:t xml:space="preserve">6.7 转型成效综合评价 [47](#转型成效综合评价)</w:t>
        </w:r>
      </w:hyperlink>
    </w:p>
    <w:p>
      <w:pPr>
        <w:pStyle w:val="BodyText"/>
      </w:pPr>
      <w:hyperlink r:id="rId20">
        <w:r>
          <w:rPr>
            <w:rStyle w:val="18"/>
          </w:rPr>
          <w:t xml:space="preserve">第七章 结论与建议 [49](#第七章-结论与建议)</w:t>
        </w:r>
      </w:hyperlink>
    </w:p>
    <w:p>
      <w:pPr>
        <w:pStyle w:val="BodyText"/>
      </w:pPr>
      <w:hyperlink r:id="rId20">
        <w:r>
          <w:rPr>
            <w:rStyle w:val="18"/>
          </w:rPr>
          <w:t xml:space="preserve">7.1 主要研究发现 [49](#主要研究发现)</w:t>
        </w:r>
      </w:hyperlink>
    </w:p>
    <w:p>
      <w:pPr>
        <w:pStyle w:val="BodyText"/>
      </w:pPr>
      <w:hyperlink r:id="rId20">
        <w:r>
          <w:rPr>
            <w:rStyle w:val="18"/>
          </w:rPr>
          <w:t xml:space="preserve">7.2 管理实践建议 [49](#管理实践建议)</w:t>
        </w:r>
      </w:hyperlink>
    </w:p>
    <w:p>
      <w:pPr>
        <w:pStyle w:val="BodyText"/>
      </w:pPr>
      <w:hyperlink r:id="rId20">
        <w:r>
          <w:rPr>
            <w:rStyle w:val="18"/>
          </w:rPr>
          <w:t xml:space="preserve">7.3 行业政策建议 [50](#行业政策建议)</w:t>
        </w:r>
      </w:hyperlink>
    </w:p>
    <w:p>
      <w:pPr>
        <w:pStyle w:val="BodyText"/>
      </w:pPr>
      <w:hyperlink r:id="rId20">
        <w:r>
          <w:rPr>
            <w:rStyle w:val="18"/>
          </w:rPr>
          <w:t xml:space="preserve">7.4 研究总结与展望 [50](#研究总结与展望)</w:t>
        </w:r>
      </w:hyperlink>
    </w:p>
    <w:p>
      <w:pPr>
        <w:pStyle w:val="BodyText"/>
      </w:pPr>
      <w:hyperlink r:id="rId20">
        <w:r>
          <w:rPr>
            <w:rStyle w:val="18"/>
          </w:rPr>
          <w:t xml:space="preserve">参考文献 [52](#参考文献)</w:t>
        </w:r>
      </w:hyperlink>
    </w:p>
    <w:p>
      <w:pPr>
        <w:pStyle w:val="BodyText"/>
      </w:pPr>
      <w:hyperlink r:id="rId20">
        <w:r>
          <w:rPr>
            <w:rStyle w:val="18"/>
          </w:rPr>
          <w:t xml:space="preserve">致谢 [54](#致谢)</w:t>
        </w:r>
      </w:hyperlink>
    </w:p>
    <w:p>
      <w:pPr>
        <w:pStyle w:val="BodyText"/>
      </w:pPr>
      <w:hyperlink r:id="rId20">
        <w:r>
          <w:rPr>
            <w:rStyle w:val="18"/>
          </w:rPr>
          <w:t xml:space="preserve">北京大学学位论文原创性声明和使用授权说明</w:t>
        </w:r>
        <w:r>
          <w:rPr>
            <w:rStyle w:val="18"/>
          </w:rPr>
          <w:t xml:space="preserve"> </w:t>
        </w:r>
        <w:r>
          <w:rPr>
            <w:rStyle w:val="18"/>
          </w:rPr>
          <w:t xml:space="preserve">[55](#北京大学学位论文原创性声明和使用授权说明)</w:t>
        </w:r>
      </w:hyperlink>
    </w:p>
    <w:bookmarkEnd w:id="21"/>
    <w:bookmarkEnd w:id="22"/>
    <w:bookmarkEnd w:id="23"/>
    <w:bookmarkStart w:id="28" w:name="第一章-绪论"/>
    <w:p>
      <w:pPr>
        <w:pStyle w:val="2"/>
      </w:pPr>
      <w:r>
        <w:t xml:space="preserve">第一章 绪论</w:t>
      </w:r>
    </w:p>
    <w:bookmarkStart w:id="24" w:name="研究背景"/>
    <w:p>
      <w:pPr>
        <w:pStyle w:val="3"/>
      </w:pPr>
      <w:r>
        <w:t xml:space="preserve">1.1研究背景</w:t>
      </w:r>
    </w:p>
    <w:p>
      <w:pPr>
        <w:pStyle w:val="FirstParagraph"/>
      </w:pPr>
      <w:r>
        <w:t xml:space="preserve">当前，中美科技竞争日趋常态化，数字化转型也在不断深化。在此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该技术广泛应用于桥梁健康监测、工业设备状态评估、建筑结构安全检测等关键领域。数字图像相关（Digital Image Correlation, DIC）技术是视觉力学传感器的核心，正从传统的实验室科研工具向工业级标准化产品快速演进。</w:t>
      </w:r>
    </w:p>
    <w:p>
      <w:pPr>
        <w:pStyle w:val="BodyText"/>
      </w:pPr>
      <w:r>
        <w:t xml:space="preserve">行业研究报告显示，中国基础设施安全监测市场在2024年已达到850亿元规模，预计到2027年将突破1500亿元，年复合增长率超过20%。这一快速增长主要受到政策红利持续释放、技术革新推动产业升级以及市场需求多元化发展等因素的共同驱动。在机器视觉监测技术领域，市场份额从2022年的15%快速增长至2024年的35%，技术替代效应明显，这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HSM公司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4"/>
    <w:bookmarkStart w:id="25" w:name="研究意义"/>
    <w:p>
      <w:pPr>
        <w:pStyle w:val="3"/>
      </w:pPr>
      <w:r>
        <w:t xml:space="preserve">1.2 研究意义</w:t>
      </w:r>
    </w:p>
    <w:p>
      <w:pPr>
        <w:pStyle w:val="FirstParagraph"/>
      </w:pPr>
      <w:r>
        <w:t xml:space="preserve">通过对现有研究资料的梳理可以发现，当前学术界对视觉力学传感器领域的探讨多集中于技术原理分析、应用案例介绍或企业财务绩效评估。然而，将研究视角深入到具体企业层面，系统性地分析其转型布局，专门探讨硬科技企业如何从项目制向产品化转型、构建市场信任并实现突破的学术成果仍然较为缺乏。本研究正是针对这一研究缺口，运用公司战略的理论工具，尝试解决视觉力学传感器企业在国产替代和数字化转型双重背景下所面临的核心痛点。</w:t>
      </w:r>
    </w:p>
    <w:p>
      <w:pPr>
        <w:pStyle w:val="BodyText"/>
      </w:pPr>
      <w:r>
        <w:t xml:space="preserve">从理论贡献的角度来看，本研究基于企业转型理论的分析框架，深入剖析硬科技企业的转型动因、实施路径和成效评估机制。现有关于企业转型的研究主要集中在传统制造业和服务业领域，对硬科技企业转型特殊性的关注相对不足。本研究以HSM公司为典型案例，探讨硬科技企业转型过程中呈现的特殊规律性特征，从而为动态能力理论提供了新的实证支持。通过分析HSM公司在技术吸收、资源重构和组织学习等方面的具体实践，研究揭示了动态能力在硬科技企业构建和维持竞争优势过程中的作用机制。同时，本研究还尝试完善技术创新与战略转型的整合分析框架，探索技术驱动下的企业转型机制，为技术密集型企业的战略管理决策提供理论参考。</w:t>
      </w:r>
    </w:p>
    <w:p>
      <w:pPr>
        <w:pStyle w:val="BodyText"/>
      </w:pPr>
      <w:r>
        <w:t xml:space="preserve">在实践指导价值方面，本研究对视觉力学传感器企业及相关硬科技企业具有切实的借鉴意义。HSM公司从项目制向产品化转型的实践经验，为同类企业制定和实施转型战略提供了可参考的路径选择和方法工具。研究深入探讨了技术驱动型企业在不同发展阶段所面临的战略选择困境和管理挑战，特别是技术创新与商业化之间的平衡问题、项目经验向标准化产品的转化机制构建问题，以及支持转型所需的组织结构和人才配置优化问题。这些基于实际案例的探索对于正在经历或即将面临类似转型挑战的硬科技企业具有直接的实践参考价值。</w:t>
      </w:r>
    </w:p>
    <w:p>
      <w:pPr>
        <w:pStyle w:val="BodyText"/>
      </w:pPr>
      <w:r>
        <w:t xml:space="preserve">从政策参考的角度而言，本研究对政府制定科技创新和产业升级相关政策具有启示意义。基于硬科技企业在转型过程中的实际需求，研究提出了更具针对性和操作性的创新支持政策建议，涉及研发补贴机制优化、人才引进政策完善、市场准入条件调整以及标准化建设推进等多个方面。研究还探讨了如何构建更加高效的产学研用协同合作机制，为加速科技成果转化提供了实践案例参考。同时，研究为视觉力学传感器等战略性新兴产业的集群化发展提供了路径指引，有助于推动产业协同创新和生态系统构建。</w:t>
      </w:r>
    </w:p>
    <w:bookmarkEnd w:id="25"/>
    <w:bookmarkStart w:id="26" w:name="研究内容与方法"/>
    <w:p>
      <w:pPr>
        <w:pStyle w:val="3"/>
      </w:pPr>
      <w:r>
        <w:t xml:space="preserve">1.3 研究内容与方法</w:t>
      </w:r>
    </w:p>
    <w:p>
      <w:pPr>
        <w:pStyle w:val="FirstParagraph"/>
      </w:pPr>
      <w:r>
        <w:t xml:space="preserve">本研究在内容设计上采用了多层次的分析框架。首先，研究将引用经典的PEST分析模型和波特五力模型对宏观环境与行业竞争格局进行系统分析，同时运用价值链分析、波士顿矩阵等战略理论工具。以HSM公司为具体研究对象，通过深入拆解其内部后勤、生产运营、技术开发、人力资源等关键环节，结合视觉力学传感器行业特有的竞争特征，制定各环节的优化策略，最终构建企业的价值分析和核心竞争优势体系。研究还尝试探索在品牌弱势和技术追赶双重条件下有效的营销范式，旨在为国产视觉力学传感器领域，特别是DIC技术的学术研究提供一个具有参考价值的战略案例。</w:t>
      </w:r>
    </w:p>
    <w:p>
      <w:pPr>
        <w:pStyle w:val="BodyText"/>
      </w:pPr>
      <w:r>
        <w:t xml:space="preserve">在研究方法的选择上，本研究综合运用了多种研究方法以确保研究的科学性和可靠性。文献研究是本研究的基础性工作，通过系统查阅国内外关于视觉力学传感器行业、企业转型、技术创新管理等领域的学术论文、行业报告、政策文件、企业年报及权威数据库，全面梳理行业发展趋势、技术演进路径、政策支持体系以及国内外标杆企业的战略实践，为后续的PEST分析、波特五力分析、SWOT分析等提供坚实的理论基础和数据支撑。</w:t>
      </w:r>
    </w:p>
    <w:p>
      <w:pPr>
        <w:pStyle w:val="BodyText"/>
      </w:pPr>
      <w:r>
        <w:t xml:space="preserve">案例研究法是本研究的核心方法，以HSM公司为典型案例，通过深入访谈、文档分析、参与观察等多种方式获取第一手研究资料，系统分析企业从项目制向产品化转型的战略决策过程、具体实施路径和实际成效评估。PEST分析法将从政治、经济、社会、技术四个维度对视觉力学传感器行业所处的宏观环境进行系统分析，识别关键影响因素，明确行业发展的机遇与威胁，为HSM公司的战略制定提供外部依据。</w:t>
      </w:r>
    </w:p>
    <w:p>
      <w:pPr>
        <w:pStyle w:val="BodyText"/>
      </w:pPr>
      <w:r>
        <w:t xml:space="preserve">波特五力模型分析法则运用经典的五力框架，从现有竞争者竞争程度、潜在进入者威胁、替代品威胁、供应商议价能力和客户议价能力五个方面，深入分析视觉力学传感器行业的竞争结构与竞争强度，通过识别行业关键竞争压力点为HSM公司制定竞争战略和构建竞争优势提供依据。SWOT分析法结合企业内部资源与能力状况，从优势、劣势、机遇、威胁四个维度对HSM公司的内外部条件进行综合分析，通过SWOT矩阵匹配形成不同类型的战略组合，为企业战略选择提供清晰方向。</w:t>
      </w:r>
    </w:p>
    <w:p>
      <w:pPr>
        <w:pStyle w:val="BodyText"/>
      </w:pPr>
      <w:r>
        <w:t xml:space="preserve">此外，研究还采用了比较分析法，将HSM与行业主要竞争对手进行比较分析，识别其竞争优势和不足之处，为制定差异化竞争战略提供参考依据。多种研究方法的综合运用有助于从不同角度深入剖析研究问题，增强研究结论的科学性和说服力。</w:t>
      </w:r>
    </w:p>
    <w:bookmarkEnd w:id="26"/>
    <w:bookmarkStart w:id="27" w:name="论文结构安排"/>
    <w:p>
      <w:pPr>
        <w:pStyle w:val="3"/>
      </w:pPr>
      <w:r>
        <w:t xml:space="preserve">1.4 论文结构安排</w:t>
      </w:r>
    </w:p>
    <w:p>
      <w:pPr>
        <w:pStyle w:val="FirstParagraph"/>
      </w:pPr>
      <w:r>
        <w:t xml:space="preserve">本研究论文在结构上共分为七个章节，各章节内容安排如下。</w:t>
      </w:r>
    </w:p>
    <w:p>
      <w:pPr>
        <w:pStyle w:val="BodyText"/>
      </w:pPr>
      <w:r>
        <w:t xml:space="preserve">第一章为绪论部分，主要介绍研究背景、研究意义、研究内容与研究方法，明确整体研究框架和分析思路。</w:t>
      </w:r>
    </w:p>
    <w:p>
      <w:pPr>
        <w:pStyle w:val="BodyText"/>
      </w:pPr>
      <w:r>
        <w:t xml:space="preserve">第二章是理论基础与文献综述，系统梳理企业战略转型理论、视觉力学传感器行业概况以及相关研究进展，为本研究提供理论支撑和文献基础。</w:t>
      </w:r>
    </w:p>
    <w:p>
      <w:pPr>
        <w:pStyle w:val="BodyText"/>
      </w:pPr>
      <w:r>
        <w:t xml:space="preserve">第三章聚焦于HSM公司外部环境分析，首先介绍HSM公司的发展历程，然后深入分析视觉力学传感器行业的宏观环境和竞争格局。</w:t>
      </w:r>
    </w:p>
    <w:p>
      <w:pPr>
        <w:pStyle w:val="BodyText"/>
      </w:pPr>
      <w:r>
        <w:t xml:space="preserve">第四章进行HSM转型的动因分析，从外部环境驱动和内部发展需求两个维度系统分析公司实施战略转型的驱动因素和必要性。</w:t>
      </w:r>
    </w:p>
    <w:p>
      <w:pPr>
        <w:pStyle w:val="BodyText"/>
      </w:pPr>
      <w:r>
        <w:t xml:space="preserve">第五章详细探讨HSM转型的实施路径，从技术战略转型、市场战略调整、组织架构变革和数字化转型四个维度研究具体的转型举措和实施方案。</w:t>
      </w:r>
    </w:p>
    <w:p>
      <w:pPr>
        <w:pStyle w:val="BodyText"/>
      </w:pPr>
      <w:r>
        <w:t xml:space="preserve">第六章对HSM转型的成效进行评估，从财务绩效、市场地位、技术创新和组织能力等多个维度综合评价转型的实际效果，分析成功经验和不足之处。</w:t>
      </w:r>
    </w:p>
    <w:p>
      <w:pPr>
        <w:pStyle w:val="BodyText"/>
      </w:pPr>
      <w:r>
        <w:t xml:space="preserve">第七章为结论与建议部分，总结本研究的主要结论，提出对同类企业的管理启示，并就相关政策制定提出具体建议。</w:t>
      </w:r>
    </w:p>
    <w:p>
      <w:pPr>
        <w:pStyle w:val="BodyText"/>
      </w:pPr>
      <w:r>
        <w:t xml:space="preserve">本章小结：作为整篇研究的开篇章节，本章在系统分析视觉力学传感器行业战略重要性和技术演进趋势的基础上，特别指出了硬科技企业在从项目制向产品化转型过程中面临的核心挑战。通过对HSM公司典型案例的聚焦分析，本章构建的多层次研究框架不仅整合了文献研究、案例研究、PEST分析、波特五力模型、SWOT分析和比较分析等多种研究方法，更重要的是确立了技术驱动型战略转型的特殊性分析视角。本章的研究设计强调理论分析与实践探索的结合，为后续章节深入剖析HSM公司的外部环境特征、转型动因机制、实施路径选择和成效评估方法提供了具有连贯性的分析逻辑。尤为关键的是，本章明确了硬科技企业转型研究在理论拓展和实践指导方面的双重价值，为理解技术密集型企业在动态竞争环境中的战略调整提供了新的分析切入点。</w:t>
      </w:r>
    </w:p>
    <w:bookmarkEnd w:id="27"/>
    <w:bookmarkEnd w:id="28"/>
    <w:bookmarkStart w:id="32" w:name="第二章-理论基础与文献综述"/>
    <w:p>
      <w:pPr>
        <w:pStyle w:val="2"/>
      </w:pPr>
      <w:r>
        <w:t xml:space="preserve">第二章 理论基础与文献综述</w:t>
      </w:r>
    </w:p>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2019）。这一过程不仅涉及战略内容的调整，更包括战略决策程序和实施方式的根本性改变。</w:t>
      </w:r>
    </w:p>
    <w:p>
      <w:pPr>
        <w:pStyle w:val="BodyText"/>
      </w:pPr>
      <w:r>
        <w:t xml:space="preserve">从转型的内涵与类型来看，根据转型的深度和广度差异，战略转型可分为多种类型。在转型方式上，渐进式转型在现有框架内逐步调整，风险较小但变革效果有限；而激进式转型则打破现有框架进行根本性变革，风险较大但可能带来突破性发展。在转型动因上，防御型转型是为应对外部威胁或内部危机而采取的被动转型；进攻型转型则是为把握市场机遇或构建新竞争优势而采取的主动转型。在转型范围上，业务层面转型涉及具体业务单元的战略调整；公司层面转型则涉及整个公司的战略方向和组织结构变革。</w:t>
      </w:r>
    </w:p>
    <w:p>
      <w:pPr>
        <w:pStyle w:val="BodyText"/>
      </w:pPr>
      <w:r>
        <w:t xml:space="preserve">企业转型的理论基础主要建立在资源基础观、动态能力理论和组织学习理论等核心理论上。资源基础观（Resource-Based View, RBV）强调企业内部资源和能力是竞争优势的来源，认为企业转型的核心在于重新配置和优化核心资源，构建难以模仿的竞争优势（Barney, 1991）。动态能力理论（Dynamic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组织学习理论则强调企业通过经验积累、知识共享和能力构建来推动战略演化，将学习能力视为战略转型成功的关键因素（Argyris &amp; Schön, 1978）。此外，技术创新理论关注技术轨道转换、技术能力构建和技术生态演化，为技术驱动型战略转型提供了理论指导（Dosi, 1982）。这些理论共同为分析硬科技企业战略转型提供了多维度的理论视角。</w:t>
      </w:r>
    </w:p>
    <w:p>
      <w:pPr>
        <w:pStyle w:val="BodyText"/>
      </w:pPr>
      <w:r>
        <w:t xml:space="preserve">企业转型的动力机制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以及竞争格局演变，即新进入者威胁、替代品出现、产业链重构等。内部发展驱动因素则包括资源能力积累，即核心技术的突破、关键人才的引进、组织能力的提升；成长瓶颈突破，即现有业务增长放缓、利润率下降、市场份额停滞；战略愿景调整，即企业家精神、战略远见、价值追求的变化；以及组织学习效应，即通过经验积累、知识共享、能力构建推动战略演化。</w:t>
      </w:r>
    </w:p>
    <w:p>
      <w:pPr>
        <w:pStyle w:val="BodyText"/>
      </w:pPr>
      <w:r>
        <w:t xml:space="preserve">转型的实施是一个复杂的系统工程，涉及多个维度的协同变革。在技术路径转型方面，主要通过技术创新、技术引进和技术融合等方式实现技术升级；市场路径转型涉及调整市场定位、拓展新市场和创新商业模式；组织路径转型则包括优化组织结构、变革管理机制和重塑企业文化；资源路径转型需要重新配置财务资源、人力资源和技术资源等关键资源；制度路径转型则要求建立新的管理制度、激励机制和风险控制体系。</w:t>
      </w:r>
    </w:p>
    <w:p>
      <w:pPr>
        <w:pStyle w:val="BodyText"/>
      </w:pPr>
      <w:r>
        <w:t xml:space="preserve">评估战略转型成效需要建立多维度的评估框架。财务绩效维度关注营业收入增长率、利润率和资产回报率等财务指标的改善；市场地位维度考察市场份额、品牌影响力和客户满意度等市场表现的提升；创新能力维度评估研发投入强度、专利数量和新产品开发速度等创新指标；组织能力维度衡量组织学习能力、人才梯队建设和管理效率的提升；可持续发展维度则关注环境社会责任表现、长期战略匹配度和风险抵御能力。</w:t>
      </w:r>
    </w:p>
    <w:bookmarkEnd w:id="29"/>
    <w:bookmarkStart w:id="30" w:name="视觉力学传感器行业概述"/>
    <w:p>
      <w:pPr>
        <w:pStyle w:val="3"/>
      </w:pPr>
      <w:r>
        <w:t xml:space="preserve">2.2 视觉力学传感器行业概述</w:t>
      </w:r>
    </w:p>
    <w:p>
      <w:pPr>
        <w:pStyle w:val="FirstParagraph"/>
      </w:pP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主要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差异化特征：北美市场技术研发领先，高端应用需求旺盛；欧洲市场工业基础雄厚，质量检测要求严格；亚太市场制造业集中，市场规模增长最快；其他地区作为新兴市场，增长潜力较大。中国市场表现出自身的特点：政策支持力度较大，国家高度重视传感器产业发展，出台一系列支持政策；应用场景丰富，制造业转型升级为视觉传感器提供广阔应用空间；产业链相对完整，从原材料到终端应用形成了较为完善的产业链体系；竞争格局较为分散，企业数量较多，但具有核心技术竞争力的企业相对较少。</w:t>
      </w:r>
    </w:p>
    <w:p>
      <w:pPr>
        <w:pStyle w:val="BodyText"/>
      </w:pPr>
      <w:r>
        <w:t xml:space="preserve">视觉力学传感器产业链包括上游产业、中游产业和下游应用领域三个主要环节。上游产业主要包括光学元件（如镜头、光源、滤光片等）、图像传感器（如CMOS、CCD等）、核心算法（如图像处理算法、人工智能算法）和软件系统（如测量软件、分析软件、控制软件）。中游产业涉及DIC视觉传感器制造、系统集成与解决方案提供、测试验证服务等。下游应用领域涵盖材料测试（如金属材料、复合材料、生物材料等力学性能测试）、结构测试（如汽车、航空航天、建筑等结构强度测试）、安全检测（如桥梁、隧道、大坝等基础设施安全监测）、工业在线测量（如智能制造、质量控制、过程监控）以及科研教育（如高校、科研院所的实验教学与科学研究）。主要竞争企业包括国际领先企业（如德国GOM、美国Correlated Solutions、日本Keyence等）、国内领先企业（如海塞姆科技、中科检测、华测检测等）以及一批专注于特定应用场景的新兴创业企业。</w:t>
      </w:r>
    </w:p>
    <w:p>
      <w:pPr>
        <w:pStyle w:val="BodyText"/>
      </w:pPr>
      <w:r>
        <w:t xml:space="preserve">技术发展趋势方面，视觉力学传感器领域呈现出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等主要方向。同时，该领域也面临一系列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等问题。</w:t>
      </w:r>
    </w:p>
    <w:bookmarkEnd w:id="30"/>
    <w:bookmarkStart w:id="31" w:name="相关研究综述"/>
    <w:p>
      <w:pPr>
        <w:pStyle w:val="3"/>
      </w:pPr>
      <w:r>
        <w:t xml:space="preserve">2.3 相关研究综述</w:t>
      </w:r>
    </w:p>
    <w:p>
      <w:pPr>
        <w:pStyle w:val="FirstParagraph"/>
      </w:pPr>
      <w:r>
        <w:t xml:space="preserve">硬科技企业是指基于前沿科学发现和技术创新，从事高技术含量、高附加值产品研发和制造的企业。这类企业的战略转型呈现出一些显著特点：技术驱动明显，技术创新是转型的核心动力，技术路线选择直接影响转型方向；研发投入大，需要持续的高强度研发投入，资金压力较大；人才依赖性强，高端技术人才和管理人才是转型成功的关键；周期长风险高，从技术研发到产品化、市场化周期长，不确定性大；生态协同重要，需要构建产学研用协同的创新生态系统。现有研究主要从多个角度探讨硬科技企业战略转型，包括技术轨道转换与技术能力构建（李纪珍等，2021）、创新网络演化与生态系统构建（王毅等，2022）、组织学习与动态能力发展（张玉利等，2020）以及政策支持与市场环境互动（陈劲等，2016）。</w:t>
      </w:r>
    </w:p>
    <w:p>
      <w:pPr>
        <w:pStyle w:val="BodyText"/>
      </w:pPr>
      <w:r>
        <w:t xml:space="preserve">传感器作为物联网、智能制造、人工智能等新兴产业的基础，其创新发展备受关注。相关研究主要集中在多个方面，包括技术创新路径（涉及MEMS技术、纳米技术、智能算法等在传感器中的应用）、商业模式创新（关注从产品制造向”产品+服务+数据”的商业模式转变）、产业生态构建（探讨传感器企业与上下游企业的协同创新）以及标准化与产业化（包括技术标准制定、产业化推广和规模化应用）等。</w:t>
      </w:r>
    </w:p>
    <w:p>
      <w:pPr>
        <w:pStyle w:val="BodyText"/>
      </w:pPr>
      <w:r>
        <w:t xml:space="preserve">数字化转型是企业转型的重要形式，相关案例研究提供了丰富的实践经验。传统制造企业数字化转型通过数字孪生、工业互联网、智能制造等技术实现转型升级；服务企业数字化转型利用大数据、人工智能、平台经济等创新服务模式；中小企业数字化转型通过云服务、SaaS模式等低成本方式实现数字化；硬科技企业数字化转型则涉及研发数字化、生产数字化、服务数字化的一体化转型。</w:t>
      </w:r>
    </w:p>
    <w:p>
      <w:pPr>
        <w:pStyle w:val="BodyText"/>
      </w:pPr>
      <w:r>
        <w:t xml:space="preserve">在对现有研究进行评述的基础上，可以总结出本研究的创新点。现有研究的主要贡献包括构建了企业转型的理论框架和分析工具，揭示了不同类型企业转型的特点和规律，提供了丰富的案例研究和实践经验，并探讨了数字化转型等新兴转型模式。然而，现有研究也存在一些不足：对硬科技企业转型的特殊性关注不足，缺乏对视觉力学传感器等细分行业的研究，对技术驱动型转型的机制探讨不够深入，以及缺乏对转型成效的多维度评估研究。基于此，本研究的创新点主要体现在以下几个方面：在研究视角上，从战略转型视角研究视觉力学传感器企业，填补细分行业研究空白；在理论应用上，将战略转型理论应用于硬科技企业，拓展理论适用边界；在案例研究上，以HSM为深度案例，提供硬科技企业转型的鲜活样本；在方法整合上，综合运用多种研究方法，增强研究的科学性和可信度；在实践指导上，提出针对硬科技企业转型的管理启示和政策建议。</w:t>
      </w:r>
    </w:p>
    <w:p>
      <w:pPr>
        <w:pStyle w:val="BodyText"/>
      </w:pPr>
      <w:r>
        <w:t xml:space="preserve">本章小结：通过对企业战略转型理论的多维度梳理，本章构建了资源基础观、动态能力理论、组织学习理论和技术创新理论的整合分析框架，特别关注这些理论在硬科技企业转型情境下的适用性和特殊性。在系统考察视觉力学传感器行业技术演进路径和市场发展格局的基础上，本章揭示了该领域从科研工具向工业产品转型过程中面临的技术标准化要求与市场需求多元化特征之间的内在张力。文献综述进一步指出了现有研究在硬科技企业转型特殊性、细分行业深度分析以及技术驱动机制探讨方面的不足，从而为本研究明确了理论定位和创新方向。这一整合性的理论框架不仅为后续章节深入分析HSM公司的转型实践提供了关键的概念工具和分析视角，更重要的是为理解技术密集型企业在动态竞争环境中的战略调整提供了理论参照系。</w:t>
      </w:r>
    </w:p>
    <w:bookmarkEnd w:id="31"/>
    <w:bookmarkEnd w:id="32"/>
    <w:bookmarkStart w:id="55" w:name="第三章-hsm公司外部环境分析"/>
    <w:p>
      <w:pPr>
        <w:pStyle w:val="2"/>
      </w:pPr>
      <w:r>
        <w:t xml:space="preserve">第三章 HSM公司外部环境分析</w:t>
      </w:r>
    </w:p>
    <w:bookmarkStart w:id="38" w:name="hsm外部宏观环境pest分析"/>
    <w:p>
      <w:pPr>
        <w:pStyle w:val="3"/>
      </w:pPr>
      <w:r>
        <w:t xml:space="preserve">3.1 HSM外部宏观环境PEST分析</w:t>
      </w:r>
    </w:p>
    <w:p>
      <w:pPr>
        <w:pStyle w:val="FirstParagraph"/>
      </w:pPr>
      <w:r>
        <w:t xml:space="preserve">PEST分析（政治、经济、社会、技术）是评估企业外部宏观环境的重要分析工具。本部分将从四个维度系统分析视觉力学传感器行业的发展环境及其对HSM公司的具体影响。</w:t>
      </w:r>
    </w:p>
    <w:bookmarkStart w:id="33" w:name="政治环境"/>
    <w:p>
      <w:pPr>
        <w:pStyle w:val="4"/>
      </w:pPr>
      <w:r>
        <w:t xml:space="preserve">3.1.1 政治环境</w:t>
      </w:r>
    </w:p>
    <w:p>
      <w:pPr>
        <w:pStyle w:val="FirstParagraph"/>
      </w:pPr>
      <w:r>
        <w:t xml:space="preserve">在政策支持体系方面，国家层面高度重视传感器产业发展，国务院《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t xml:space="preserve">国产替代战略推动。在中美科技竞争常态化的背景下，国产替代上升为国家战略。各级政府出台优先采购国产设备的政策，支持自主创新技术产品。交通运输部《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t xml:space="preserve">标准化体系建设加速。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t xml:space="preserve">对HSM的具体影响：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3"/>
    <w:bookmarkStart w:id="34" w:name="经济环境"/>
    <w:p>
      <w:pPr>
        <w:pStyle w:val="4"/>
      </w:pPr>
      <w:r>
        <w:t xml:space="preserve">3.1.2 经济环境</w:t>
      </w:r>
    </w:p>
    <w:p>
      <w:pPr>
        <w:pStyle w:val="FirstParagraph"/>
      </w:pPr>
      <w:r>
        <w:t xml:space="preserve">当前经济环境为视觉力学传感器行业发展提供了多方面的有利条件。根据《2025年全球市场数字图像相关（DIC）系统总体规模》研究报告，2024年全球DIC视觉传感器市场规模已达到约85亿元。这一市场预计将持续扩张，到2031年有望增长至150亿元左右。从2025年至2031年期间，全球市场的复合年增长率预计为8.5%。值得注意的是，中国市场的增长态势更为显著，2024年国内市场规模约为30亿元，占全球总量的35%。展望2031年，中国市场规模预计将达到60亿元，年复合增长率维持在10%左右，明显高于全球平均增长水平。</w:t>
      </w:r>
    </w:p>
    <w:p>
      <w:pPr>
        <w:pStyle w:val="BodyText"/>
      </w:pPr>
      <w:r>
        <w:t xml:space="preserve">市场需求呈现出多元化和差异化的特征。在材料测试领域，金属材料、复合材料以及生物材料等新型材料的力学性能测试需求保持稳定增长。随着制造业转型升级进程的加快，汽车、航空航天和建筑等领域的结构强度测试需求也相应增加。与此同时，安全检测与监测领域展现出更为强劲的增长势头。2024年，中国安全检测与监测市场规模约为850亿元，预计到2027年将突破1500亿元，年复合增长率有望超过20%。</w:t>
      </w:r>
    </w:p>
    <w:p>
      <w:pPr>
        <w:pStyle w:val="BodyText"/>
      </w:pPr>
      <w:r>
        <w:t xml:space="preserve">资本市场的关注度也在持续提升，硬科技投资成为近期热点方向。2024年以来，多家视觉传感器企业相继获得大额融资，市场估值呈现上升趋势。资本市场对技术领先、产品标准化程度高的企业给予较高估值溢价。另一方面，原材料价格上涨和人力成本增加对企业成本控制提出了更高要求，促使企业通过技术创新和流程优化来实现降本增效。</w:t>
      </w:r>
    </w:p>
    <w:p>
      <w:pPr>
        <w:pStyle w:val="BodyText"/>
      </w:pPr>
      <w:r>
        <w:t xml:space="preserve">总体而言，当前经济环境为HSM公司提供了较为广阔的市场空间和资本支持。市场需求的快速增长为HSM标准化产品的市场验证创造了有利条件，特别是基础设施安全监测领域的高速增长与HSM的战略转型方向具有较高契合度。然而，成本压力的上升和市场竞争的加剧，也要求HSM必须通过持续的技术创新和规模效应来构建自身的成本优势。</w:t>
      </w:r>
    </w:p>
    <w:bookmarkEnd w:id="34"/>
    <w:bookmarkStart w:id="35" w:name="社会环境"/>
    <w:p>
      <w:pPr>
        <w:pStyle w:val="4"/>
      </w:pPr>
      <w:r>
        <w:t xml:space="preserve">3.1.3 社会环境</w:t>
      </w:r>
    </w:p>
    <w:p>
      <w:pPr>
        <w:pStyle w:val="FirstParagraph"/>
      </w:pPr>
      <w:r>
        <w:t xml:space="preserve">社会环境的演变对视觉力学传感器行业发展产生了深远影响。近年来，随着机器视觉和人工智能技术在工业生产中的广泛应用，社会对视觉传感器的认知水平和接受程度均有了显著提升。传统的接触式测量方法，如应变片和位移计，虽然技术较为成熟，但在实际应用中往往面临安装复杂、测量点有限以及难以实现全场测量等局限性。相比之下，DIC技术作为一种非接触式全场测量技术，能够实现高精度、全场、实时的测量功能，其技术优势逐渐得到市场的广泛认可。</w:t>
      </w:r>
    </w:p>
    <w:p>
      <w:pPr>
        <w:pStyle w:val="BodyText"/>
      </w:pPr>
      <w:r>
        <w:t xml:space="preserve">在人才培养方面，高等教育机构对机器视觉、图像处理和传感器技术等相关专业的建设不断加强，为行业输送了大量专业人才。清华大学、北京航空航天大学和哈尔滨工业大学等高校在DIC技术研究领域处于国内领先地位，为行业发展提供了重要的人才支持。尽管如此，同时掌握光学、机械、电子、软件和算法等多学科知识的复合型技术人才仍然相对短缺，这在一定程度上成为制约行业发展的瓶颈。</w:t>
      </w:r>
    </w:p>
    <w:p>
      <w:pPr>
        <w:pStyle w:val="BodyText"/>
      </w:pPr>
      <w:r>
        <w:t xml:space="preserve">社会对生产安全、结构安全和环境安全的关注度日益提高，也推动了相关需求的增长。桥梁塌陷、隧道事故和边坡滑坡等安全事故的频发，促使政府部门对基础设施安全监测提出了更为严格的强制性要求。企业为规避潜在的安全风险，也开始主动加强设备状态监控和安全预警能力建设。这一社会趋势为视觉安全监测技术创造了较为稳定的市场需求。</w:t>
      </w:r>
    </w:p>
    <w:p>
      <w:pPr>
        <w:pStyle w:val="BodyText"/>
      </w:pPr>
      <w:r>
        <w:t xml:space="preserve">总体来看，社会环境的积极变化为HSM公司提供了有利的发展条件。技术认知度的提升有助于降低市场教育成本，人才供给的改善为HSM组建高水平研发团队提供了支持，安全意识的增强则为公司创造了持续的市场需求。HSM需要进一步加强与高校的合作，建立有效的人才联合培养机制，同时通过技术推广和案例分享来提升市场认知度。</w:t>
      </w:r>
    </w:p>
    <w:bookmarkEnd w:id="35"/>
    <w:bookmarkStart w:id="36" w:name="技术环境"/>
    <w:p>
      <w:pPr>
        <w:pStyle w:val="4"/>
      </w:pPr>
      <w:r>
        <w:t xml:space="preserve">3.1.4 技术环境</w:t>
      </w:r>
    </w:p>
    <w:p>
      <w:pPr>
        <w:pStyle w:val="FirstParagraph"/>
      </w:pPr>
      <w:r>
        <w:t xml:space="preserve">技术环境的演进对视觉力学传感器行业的发展方向产生了重要影响。当前，人工智能、大数据、云计算和物联网等新一代信息技术正与传感器技术进行深度融合，推动视觉力学传感器从传统的”单一测量工具”向”智能感知系统”转变。深度学习算法在图像处理、特征识别和异常检测等环节的应用，有效提升了测量精度和自动化水平。同时，云平台技术的成熟为数据存储、远程监控和智能分析提供了坚实的技术支撑，促使行业从单纯的设备销售向数据服务方向延伸价值链条。</w:t>
      </w:r>
    </w:p>
    <w:p>
      <w:pPr>
        <w:pStyle w:val="BodyText"/>
      </w:pPr>
      <w:r>
        <w:t xml:space="preserve">技术迭代速度明显加快，新材料、新工艺和新算法的不断涌现持续推动传感器技术向前发展。在算法层面，技术演进路径呈现出从传统二维DIC向三维DIC发展，从双目系统向单目系统过渡的特征，算法精度和运行效率得到持续提升。硬件层面，图像传感器分辨率的不断提高和计算芯片性能的增强，推动DIC系统向更高性能方向发展。系统层面则展现出从离线分析向在线实时监测演进，从单机应用向云端协同发展的趋势。</w:t>
      </w:r>
    </w:p>
    <w:p>
      <w:pPr>
        <w:pStyle w:val="BodyText"/>
      </w:pPr>
      <w:r>
        <w:t xml:space="preserve">技术发展的标准化和模块化特征日益显著。硬件接口、软件协议和数据格式的标准化降低了系统集成和应用开发的门槛。模块化设计使得传感器能够根据不同应用场景灵活配置，在性能与成本之间取得平衡。这一技术发展趋势与HSM从项目定制向标准化产品转型的战略方向具有较高的契合度。</w:t>
      </w:r>
    </w:p>
    <w:p>
      <w:pPr>
        <w:pStyle w:val="BodyText"/>
      </w:pPr>
      <w:r>
        <w:t xml:space="preserve">总体而言，当前技术环境对HSM公司而言既是机遇也是挑战。技术融合为公司开发智能化、平台化产品提供了必要支撑，而快速的技术迭代则要求公司保持高强度的研发投入以维持技术领先地位。标准化趋势与HSM的产品化战略高度契合，为公司战略转型创造了有利条件。HSM需要持续跟踪技术发展趋势，加强与产学研各界的合作，构建开放的技术创新生态体系。</w:t>
      </w:r>
    </w:p>
    <w:bookmarkEnd w:id="36"/>
    <w:bookmarkStart w:id="37" w:name="小结"/>
    <w:p>
      <w:pPr>
        <w:pStyle w:val="4"/>
      </w:pPr>
      <w:r>
        <w:t xml:space="preserve">3.1.5 小结</w:t>
      </w:r>
    </w:p>
    <w:p>
      <w:pPr>
        <w:pStyle w:val="FirstParagraph"/>
      </w:pPr>
      <w:r>
        <w:t xml:space="preserve">通过PEST分析可以发现，HSM面临的外部宏观环境呈现出机遇大于挑战的总体格局。政策支持、市场需求增长、社会认知提升和技术融合创新等多重利好因素相互叠加，为视觉力学传感器行业创造了较为有利的发展环境。</w:t>
      </w:r>
    </w:p>
    <w:p>
      <w:pPr>
        <w:pStyle w:val="BodyText"/>
      </w:pPr>
      <w:r>
        <w:t xml:space="preserve">从机遇维度来看，政策红利的持续释放为国内企业创造了市场空间，国产替代战略的推进进一步强化了这一趋势。经济环境的整体向好，特别是基础设施安全监测市场需求的快速增长，为技术应用提供了广阔的场景支撑。社会环境的改善和技术认知度的提升，有效降低了市场推广的难度。技术环境的优化则通过新一代信息技术与传感器技术的融合，为产品创新提供了坚实的技术基础。</w:t>
      </w:r>
    </w:p>
    <w:p>
      <w:pPr>
        <w:pStyle w:val="BodyText"/>
      </w:pPr>
      <w:r>
        <w:t xml:space="preserve">挑战方面同样不容忽视。国际竞争的加剧使得国际巨头凭借技术优势和品牌影响力持续抢占高端市场。成本压力的上升体现为原材料和人力成本的持续攀升，对企业运营形成一定压力。复合型技术人才的供给不足成为制约行业发展的瓶颈之一，而技术迭代的加速则要求企业保持高强度的研发投入以维持技术领先地位。</w:t>
      </w:r>
    </w:p>
    <w:p>
      <w:pPr>
        <w:pStyle w:val="BodyText"/>
      </w:pPr>
      <w:r>
        <w:t xml:space="preserve">对HSM的战略启示在于，公司应当充分利用外部环境的积极因素，加快技术升级和产品迭代进程，把握国产替代和数字化转型带来的市场机遇。同时，需要密切关注国际竞争动态，加强人才引进和培养工作，努力建立成本优势和技术壁垒，在快速变化的市场环境中构建可持续的竞争优势。</w:t>
      </w:r>
    </w:p>
    <w:bookmarkEnd w:id="37"/>
    <w:bookmarkEnd w:id="38"/>
    <w:bookmarkStart w:id="41" w:name="视觉力学传感器行业总体环境分析"/>
    <w:p>
      <w:pPr>
        <w:pStyle w:val="3"/>
      </w:pPr>
      <w:r>
        <w:t xml:space="preserve">3.2 视觉力学传感器行业总体环境分析</w:t>
      </w:r>
    </w:p>
    <w:bookmarkStart w:id="39" w:name="全球与中国市场对比分析"/>
    <w:p>
      <w:pPr>
        <w:pStyle w:val="4"/>
      </w:pPr>
      <w:r>
        <w:t xml:space="preserve">3.2.1 全球与中国市场对比分析</w:t>
      </w:r>
    </w:p>
    <w:p>
      <w:pPr>
        <w:pStyle w:val="FirstParagraph"/>
      </w:pPr>
      <w:r>
        <w:t xml:space="preserve">视觉力学传感器行业在全球范围内保持稳定增长态势，中国市场的增长速度明显高于全球平均水平，已经成为全球最大的单一市场。</w:t>
      </w:r>
    </w:p>
    <w:p>
      <w:pPr>
        <w:pStyle w:val="BodyText"/>
      </w:pPr>
      <w:r>
        <w:t xml:space="preserve">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bl>
    <w:p>
      <w:pPr>
        <w:pStyle w:val="BodyText"/>
      </w:pPr>
      <w:r>
        <w:t xml:space="preserve">续表3.1 全球与中国DIC视觉传感器市场规模及增速对比表（2024-2031年）</w:t>
      </w:r>
    </w:p>
    <w:tbl>
      <w:tblPr>
        <w:tblStyle w:val="Table"/>
        <w:tblW w:type="pct" w:w="4908"/>
        <w:tblLook w:firstRow="0" w:lastRow="0" w:firstColumn="0" w:lastColumn="0" w:noHBand="0" w:noVBand="0" w:val="0000"/>
      </w:tblPr>
      <w:tblGrid>
        <w:gridCol w:w="508"/>
        <w:gridCol w:w="1671"/>
        <w:gridCol w:w="1162"/>
        <w:gridCol w:w="1671"/>
        <w:gridCol w:w="1162"/>
        <w:gridCol w:w="1598"/>
      </w:tblGrid>
      <w:t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t xml:space="preserve">数据来源：综合QYResearch《2026-2032全球及中国DIC视觉传感器行业研究报告》、百谏方略（DIResearch）DIC视觉传感器市场调研数据测算</w:t>
      </w:r>
    </w:p>
    <w:p>
      <w:pPr>
        <w:pStyle w:val="BodyText"/>
      </w:pPr>
      <w:r>
        <w:t xml:space="preserve">从市场特征来看，全球市场呈现出稳健的增长态势，年复合增长率约为8.5%。北美市场在技术研发方面处于领先地位，高端应用需求较为旺盛；欧洲市场凭借雄厚的工业基础，对质量检测有着严格的要求；亚太地区则由于制造业集中，市场规模增长最为迅速。</w:t>
      </w:r>
    </w:p>
    <w:p>
      <w:pPr>
        <w:pStyle w:val="BodyText"/>
      </w:pPr>
      <w:r>
        <w:t xml:space="preserve">中国市场增长速度明显快于全球平均水平，年复合增长率达到10%左右。政策支持力度较大，国家高度重视传感器产业发展；应用场景丰富，制造业转型升级为视觉传感器提供了广阔的应用空间；产业链完整，从原材料到终端应用的完整产业链体系已经基本形成。</w:t>
      </w:r>
    </w:p>
    <w:p>
      <w:pPr>
        <w:pStyle w:val="BodyText"/>
      </w:pPr>
      <w:r>
        <w:t xml:space="preserve">市场驱动因素主要包括以下几个方面：智能制造战略的推进使得工业4.0和智能制造相关需求增加，对在线检测和过程监控提出了更高要求；复合材料、柔性材料等新材料的广泛应用，需要新的测量方法和设备；各行业安全标准的不断提高，推动了结构健康监测市场的需求增长；技术进步和规模化生产使得传感器价格逐步下降，进一步拓展了应用场景。</w:t>
      </w:r>
    </w:p>
    <w:bookmarkEnd w:id="39"/>
    <w:bookmarkStart w:id="40" w:name="主要竞争对手分析"/>
    <w:p>
      <w:pPr>
        <w:pStyle w:val="4"/>
      </w:pPr>
      <w:r>
        <w:t xml:space="preserve">3.2.2 主要竞争对手分析</w:t>
      </w:r>
    </w:p>
    <w:p>
      <w:pPr>
        <w:pStyle w:val="FirstParagraph"/>
      </w:pPr>
      <w:r>
        <w:t xml:space="preserve">视觉力学传感器行业的竞争格局呈现出明显的梯队化特征，国际巨头主要占据高端市场，国内企业则在细分领域通过差异化策略形成竞争优势。</w:t>
      </w:r>
    </w:p>
    <w:p>
      <w:pPr>
        <w:pStyle w:val="BodyText"/>
      </w:pPr>
      <w:r>
        <w:t xml:space="preserve">表3.2 视觉力学传感器主要企业概览对比表</w:t>
      </w:r>
    </w:p>
    <w:tbl>
      <w:tblPr>
        <w:tblStyle w:val="Table"/>
        <w:tblW w:type="pct" w:w="4960"/>
        <w:tblLook w:firstRow="0" w:lastRow="0" w:firstColumn="0" w:lastColumn="0" w:noHBand="0" w:noVBand="0" w:val="0000"/>
      </w:tblPr>
      <w:tblGrid>
        <w:gridCol w:w="720"/>
        <w:gridCol w:w="219"/>
        <w:gridCol w:w="657"/>
        <w:gridCol w:w="782"/>
        <w:gridCol w:w="2191"/>
        <w:gridCol w:w="2379"/>
        <w:gridCol w:w="90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w:t>
            </w:r>
            <w:r>
              <w:t xml:space="preserve"> </w:t>
            </w:r>
            <w:r>
              <w:t xml:space="preserve">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bl>
    <w:p>
      <w:pPr>
        <w:pStyle w:val="BodyText"/>
      </w:pPr>
      <w:r>
        <w:t xml:space="preserve">续表3.2 视觉力学传感器主要企业概览对比表</w:t>
      </w:r>
    </w:p>
    <w:tbl>
      <w:tblPr>
        <w:tblStyle w:val="Table"/>
        <w:tblW w:type="pct" w:w="4952"/>
        <w:tblLook w:firstRow="0" w:lastRow="0" w:firstColumn="0" w:lastColumn="0" w:noHBand="0" w:noVBand="0" w:val="0000"/>
      </w:tblPr>
      <w:tblGrid>
        <w:gridCol w:w="565"/>
        <w:gridCol w:w="264"/>
        <w:gridCol w:w="867"/>
        <w:gridCol w:w="1244"/>
        <w:gridCol w:w="2187"/>
        <w:gridCol w:w="1848"/>
        <w:gridCol w:w="867"/>
      </w:tblGrid>
      <w:t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t xml:space="preserve">从竞争梯队来看，行业内的企业可以划分为三个主要层次。第一梯队以GOM、Correlated Solutions等国际巨头为代表，这些企业技术领先但产品价格昂贵，主要占据高端科研和工业市场。第二梯队包括HSM、亿维股份和基康仪器等国内领先企业，这些企业的技术已经接近国际水平，产品性价比较高，在细分领域形成了各自的竞争优势。第三梯队则由其他国内企业构成，这些企业技术相对落后，主要以价格竞争为主要手段，市场份额较为分散。</w:t>
      </w:r>
    </w:p>
    <w:p>
      <w:pPr>
        <w:pStyle w:val="BodyText"/>
      </w:pPr>
      <w:r>
        <w:t xml:space="preserve">对HSM的竞争启示在于，作为第二梯队的领先企业，公司应当采取差异化的竞争策略。在技术层面，需要保持第三代DIC技术的领先优势，持续开发智能化、平台化的产品。在市场层面，应当聚焦重点行业和重点客户，建立具有示范效应的标杆案例。在服务层面，需要提供”硬件+软件+服务”的一体化解决方案，以提升客户粘性。在成本层面，则应当通过标准化设计和规模化生产来建立成本优势。</w:t>
      </w:r>
    </w:p>
    <w:bookmarkEnd w:id="40"/>
    <w:bookmarkEnd w:id="41"/>
    <w:bookmarkStart w:id="48"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波特五力模型从五个维度分析行业的竞争强度，为HSM制定竞争战略提供依据。本部分将采用1-5分量表对各项力量进行量化评估，其中1分代表最弱，5分代表最强，并在此基础上提出相应的战略建议。</w:t>
      </w:r>
    </w:p>
    <w:bookmarkStart w:id="42" w:name="现有企业竞争程度"/>
    <w:p>
      <w:pPr>
        <w:pStyle w:val="4"/>
      </w:pPr>
      <w:r>
        <w:t xml:space="preserve">3.3.1 现有企业竞争程度</w:t>
      </w:r>
    </w:p>
    <w:p>
      <w:pPr>
        <w:pStyle w:val="FirstParagraph"/>
      </w:pPr>
      <w:r>
        <w:t xml:space="preserve">行业竞争较为激烈，尤其在高端市场表现更为明显。</w:t>
      </w:r>
    </w:p>
    <w:p>
      <w:pPr>
        <w:pStyle w:val="BodyText"/>
      </w:pPr>
      <w:r>
        <w:t xml:space="preserve">现有企业之间的竞争构成了视觉力学传感器行业最主要的竞争力量，呈现出多层次、多维度的竞争格局。</w:t>
      </w:r>
    </w:p>
    <w:p>
      <w:pPr>
        <w:pStyle w:val="BodyText"/>
      </w:pPr>
      <w:r>
        <w:t xml:space="preserve">从竞争特点来看，国际巨头在高端市场形成了垄断态势。德国GOM、美国Correlated Solutions等国际企业在高端科研市场占据绝对优势，这些企业凭借深厚的技术积累和品牌影响力构建了较高的市场壁垒。虽然这些企业的产品价格通常较为昂贵，通常在一百万元以上，但其技术性能卓越，能够满足对精度和可靠性要求极高的客户需求。</w:t>
      </w:r>
    </w:p>
    <w:p>
      <w:pPr>
        <w:pStyle w:val="BodyText"/>
      </w:pPr>
      <w:r>
        <w:t xml:space="preserve">在中低端市场，国内企业之间的价格竞争较为激烈。国内企业数量众多，产品同质化现象严重，价格竞争成为主要的竞争手段。产品价格从几万元到几十万元不等，价格战导致行业整体利润率有所下降。部分企业为了争夺市场份额，甚至采取低于成本价销售的方式，这在某种程度上扰乱了市场秩序。</w:t>
      </w:r>
    </w:p>
    <w:p>
      <w:pPr>
        <w:pStyle w:val="BodyText"/>
      </w:pPr>
      <w:r>
        <w:t xml:space="preserve">差异化竞争正逐步显现。部分领先的国内企业开始通过技术创新和产品差异化来摆脱单纯的价格竞争。HSM的单目三维DIC技术、亿维股份的斜光轴DIC技术以及基康仪器的行业解决方案等，都形成了各自的差异化优势。差异化竞争主要集中在技术路线、产品性能、行业解决方案和服务能力等方面。</w:t>
      </w:r>
    </w:p>
    <w:p>
      <w:pPr>
        <w:pStyle w:val="BodyText"/>
      </w:pPr>
      <w:r>
        <w:t xml:space="preserve">竞争领域正在向新兴市场延伸。随着基础设施安全监测和智能制造等新兴市场的快速发展，竞争正从传统的材料测试、结构测试领域向安全监测、在线检测等新应用场景延伸。在新兴市场中，技术适用性、解决方案完整性和服务响应速度成为新的竞争焦点。</w:t>
      </w:r>
    </w:p>
    <w:p>
      <w:pPr>
        <w:pStyle w:val="BodyText"/>
      </w:pPr>
      <w:r>
        <w:t xml:space="preserve">激烈的竞争环境要求HSM必须构建多维度的竞争优势。在技术层面，公司需要持续投入研发，以保持第三代DIC技术的领先地位。成本层面则要求通过标准化设计和规模化生产来建立成本优势。市场层面需要聚焦重点行业，建立有效的行业壁垒。服务层面则需要提供全生命周期的客户服务，从而提升客户粘性。</w:t>
      </w:r>
    </w:p>
    <w:bookmarkEnd w:id="42"/>
    <w:bookmarkStart w:id="43" w:name="潜在进入者威胁"/>
    <w:p>
      <w:pPr>
        <w:pStyle w:val="4"/>
      </w:pPr>
      <w:r>
        <w:t xml:space="preserve">3.3.2 潜在进入者威胁</w:t>
      </w:r>
    </w:p>
    <w:p>
      <w:pPr>
        <w:pStyle w:val="FirstParagraph"/>
      </w:pPr>
      <w:r>
        <w:t xml:space="preserve">行业进入壁垒较高，潜在进入者威胁相对有限。</w:t>
      </w:r>
    </w:p>
    <w:p>
      <w:pPr>
        <w:pStyle w:val="BodyText"/>
      </w:pPr>
      <w:r>
        <w:t xml:space="preserve">视觉力学传感器行业存在较高的进入壁垒，使得潜在进入者的威胁相对较低。</w:t>
      </w:r>
    </w:p>
    <w:p>
      <w:pPr>
        <w:pStyle w:val="BodyText"/>
      </w:pPr>
      <w:r>
        <w:t xml:space="preserve">进入壁垒主要体现在多个方面。技术壁垒较高，DIC技术涉及光学、机械、电子、软件和算法等多学科交叉知识，需要深厚的技术积累和持续的研发投入。核心算法开发、系统集成和性能优化等环节都存在显著的技术门槛。HSM通过二十年的技术积累和持续创新，建立了单目三维DIC技术的专利壁垒。</w:t>
      </w:r>
    </w:p>
    <w:p>
      <w:pPr>
        <w:pStyle w:val="BodyText"/>
      </w:pPr>
      <w:r>
        <w:t xml:space="preserve">资金壁垒也相当显著。视觉力学传感器研发需要大量资金投入，包括设备购置、人才引进、技术开发和市场推广等多个方面。硬科技企业前期投入大、回报周期长，对新进入者形成较大的资金压力。根据行业经验，建立完整的研发体系和产品线需要数千万到上亿元的初始投资。</w:t>
      </w:r>
    </w:p>
    <w:p>
      <w:pPr>
        <w:pStyle w:val="BodyText"/>
      </w:pPr>
      <w:r>
        <w:t xml:space="preserve">品牌和渠道壁垒同样不容忽视。客户对测量设备的可靠性和准确性要求极高，倾向于选择有成功案例和良好口碑的品牌。建立品牌影响力和销售渠道需要时间积累和资源投入。现有企业通过多年的市场耕耘，已经建立了相对稳定的客户关系和渠道网络。</w:t>
      </w:r>
    </w:p>
    <w:p>
      <w:pPr>
        <w:pStyle w:val="BodyText"/>
      </w:pPr>
      <w:r>
        <w:t xml:space="preserve">规模经济效应也构成了进入壁垒。随着生产规模的扩大，单位产品成本显著下降。现有企业通过批量生产和供应链优化建立了成本优势，新进入者难以在短期内实现规模经济。</w:t>
      </w:r>
    </w:p>
    <w:p>
      <w:pPr>
        <w:pStyle w:val="BodyText"/>
      </w:pPr>
      <w:r>
        <w:t xml:space="preserve">潜在进入者主要包括几种类型。大型科技企业可能通过多元化拓展进入该领域，例如华为、大疆等企业可能将视觉测量技术作为业务延伸。传统传感器企业可能通过技术引进或并购的方式进入视觉测量领域。此外，高校和科研院所的科研团队也可能基于研究成果创办企业。</w:t>
      </w:r>
    </w:p>
    <w:p>
      <w:pPr>
        <w:pStyle w:val="BodyText"/>
      </w:pPr>
      <w:r>
        <w:t xml:space="preserve">虽然潜在进入者威胁较低，但HSM仍需保持警惕。公司应当加强专利布局，构建技术护城河；加快市场拓展，建立品牌忠诚度；优化成本结构，建立规模优势；同时关注技术趋势，防范技术颠覆风险。</w:t>
      </w:r>
    </w:p>
    <w:bookmarkEnd w:id="43"/>
    <w:bookmarkStart w:id="44" w:name="替代品威胁"/>
    <w:p>
      <w:pPr>
        <w:pStyle w:val="4"/>
      </w:pPr>
      <w:r>
        <w:t xml:space="preserve">3.3.3 替代品威胁</w:t>
      </w:r>
    </w:p>
    <w:p>
      <w:pPr>
        <w:pStyle w:val="FirstParagraph"/>
      </w:pPr>
      <w:r>
        <w:t xml:space="preserve">替代技术威胁相对有限，DIC技术具有综合优势。</w:t>
      </w:r>
    </w:p>
    <w:p>
      <w:pPr>
        <w:pStyle w:val="BodyText"/>
      </w:pPr>
      <w:r>
        <w:t xml:space="preserve">传统测量方法和新兴测量技术对视觉力学传感器构成一定的替代威胁，但DIC技术在全场测量、精度和成本等方面具有综合优势。</w:t>
      </w:r>
    </w:p>
    <w:p>
      <w:pPr>
        <w:pStyle w:val="BodyText"/>
      </w:pPr>
      <w:r>
        <w:t xml:space="preserve">从替代技术分析来看，传统接触式测量方法如应变片、位移计和引伸计等，虽然技术成熟、价格低廉，但存在安装复杂、测量点有限以及难以实现全场测量等局限性。在需要全场、非接触、高精度测量的场景中，传统方法难以替代DIC技术。</w:t>
      </w:r>
    </w:p>
    <w:p>
      <w:pPr>
        <w:pStyle w:val="BodyText"/>
      </w:pPr>
      <w:r>
        <w:t xml:space="preserve">其他非接触测量技术各有特点。激光扫描测量速度快、精度高，但设备昂贵且难以测量动态变形；摄影测量设备简单、成本低，但精度有限；干涉测量精度极高，但对环境要求苛刻、测量范围有限。相比之下，DIC技术在测量精度、全场能力、环境适应性和成本效益等方面具有综合优势。</w:t>
      </w:r>
    </w:p>
    <w:p>
      <w:pPr>
        <w:pStyle w:val="BodyText"/>
      </w:pPr>
      <w:r>
        <w:t xml:space="preserve">新兴传感技术如光纤传感、MEMS传感器和无线传感器等，在某些特定应用场景具有优势。光纤传感适用于长距离、分布式测量，但难以实现全场可视化；MEMS传感器体积小、成本低，但精度有限。这些技术与DIC更多呈现互补关系而非替代关系。</w:t>
      </w:r>
    </w:p>
    <w:p>
      <w:pPr>
        <w:pStyle w:val="BodyText"/>
      </w:pPr>
      <w:r>
        <w:t xml:space="preserve">技术替代呈现出渐进式特点。在传统应用领域，DIC技术逐步替代部分接触式测量方法；在新兴应用领域，DIC技术与其他传感技术融合应用；随着技术进步和成本下降，DIC技术的应用范围持续扩大。</w:t>
      </w:r>
    </w:p>
    <w:p>
      <w:pPr>
        <w:pStyle w:val="BodyText"/>
      </w:pPr>
      <w:r>
        <w:t xml:space="preserve">替代品威胁较低为HSM提供了良好的发展环境。公司应当突出DIC技术的综合优势，加强市场教育；推动技术融合，开发多传感器集成系统；持续降低成本，拓展应用场景；同时关注技术发展趋势，防范技术颠覆。</w:t>
      </w:r>
    </w:p>
    <w:bookmarkEnd w:id="44"/>
    <w:bookmarkStart w:id="45" w:name="供应商议价能力"/>
    <w:p>
      <w:pPr>
        <w:pStyle w:val="4"/>
      </w:pPr>
      <w:r>
        <w:t xml:space="preserve">3.3.4 供应商议价能力</w:t>
      </w:r>
    </w:p>
    <w:p>
      <w:pPr>
        <w:pStyle w:val="FirstParagraph"/>
      </w:pPr>
      <w:r>
        <w:t xml:space="preserve">供应商议价能力中等，高端部件存在进口依赖。</w:t>
      </w:r>
    </w:p>
    <w:p>
      <w:pPr>
        <w:pStyle w:val="BodyText"/>
      </w:pPr>
      <w:r>
        <w:t xml:space="preserve">视觉力学传感器的核心部件存在多家供应商，但高端部件仍依赖进口，供应商具有一定的议价能力。</w:t>
      </w:r>
    </w:p>
    <w:p>
      <w:pPr>
        <w:pStyle w:val="BodyText"/>
      </w:pPr>
      <w:r>
        <w:t xml:space="preserve">从供应链结构分析，核心部件供应商包括多个类别。图像传感器主要由索尼、安森美等国际企业占据主导地位，国产替代正在逐步推进。光学镜头方面，日本和德国企业技术领先，国内企业在中低端市场有一定份额。计算芯片主要由英伟达、英特尔和AMD等企业主导，国产芯片在特定领域有所突破。结构件方面，国内供应链较为完善，供应商众多，议价能力相对较弱。</w:t>
      </w:r>
    </w:p>
    <w:p>
      <w:pPr>
        <w:pStyle w:val="BodyText"/>
      </w:pPr>
      <w:r>
        <w:t xml:space="preserve">供应商分布呈现出明显的特征。高端部件依赖进口，高分辨率图像传感器、高性能计算芯片和高精度光学镜头等高端部件主要依赖进口，供应商议价能力较强。中低端部件国产化率较高，普通图像传感器、常规光学镜头和标准结构件等已实现国产化，供应商众多，议价能力较弱。定制化部件则需要与供应商进行深度合作开发，特殊光学设计和专用计算模块等需要建立较为稳定的合作关系。</w:t>
      </w:r>
    </w:p>
    <w:p>
      <w:pPr>
        <w:pStyle w:val="BodyText"/>
      </w:pPr>
      <w:r>
        <w:t xml:space="preserve">供应商集中度方面，核心部件供应商集中度较高，特别是高端图像传感器和计算芯片市场被少数几家国际巨头垄断。结构件、线缆和外壳等非核心部件供应商较为分散，竞争相对激烈。</w:t>
      </w:r>
    </w:p>
    <w:p>
      <w:pPr>
        <w:pStyle w:val="BodyText"/>
      </w:pPr>
      <w:r>
        <w:t xml:space="preserve">议价能力受多种因素影响。部件重要性是关键因素，核心部件对产品性能影响大，供应商议价能力强。供应商集中度也产生影响，垄断或寡头市场结构下供应商议价能力强。替代品的可获得性同样重要，替代供应商少则议价能力强。采购规模会影响议价能力，大规模采购可增强买方议价能力。长期稳定的合作关系有助于平衡议价能力。</w:t>
      </w:r>
    </w:p>
    <w:p>
      <w:pPr>
        <w:pStyle w:val="BodyText"/>
      </w:pPr>
      <w:r>
        <w:t xml:space="preserve">供应商议价能力中等偏强要求HSM优化供应链管理。公司应当建立多元化供应商体系，降低对单一供应商的依赖风险；加强国产替代，逐步提升核心部件国产化率；通过规模采购和技术合作增强议价能力；建立战略供应商合作关系，确保供应稳定性和技术支持。</w:t>
      </w:r>
    </w:p>
    <w:bookmarkEnd w:id="45"/>
    <w:bookmarkStart w:id="46" w:name="客户议价能力"/>
    <w:p>
      <w:pPr>
        <w:pStyle w:val="4"/>
      </w:pPr>
      <w:r>
        <w:t xml:space="preserve">3.3.5 客户议价能力</w:t>
      </w:r>
    </w:p>
    <w:p>
      <w:pPr>
        <w:pStyle w:val="FirstParagraph"/>
      </w:pPr>
      <w:r>
        <w:t xml:space="preserve">客户议价能力因规模而异，大型客户议价能力较强。</w:t>
      </w:r>
    </w:p>
    <w:p>
      <w:pPr>
        <w:pStyle w:val="BodyText"/>
      </w:pPr>
      <w:r>
        <w:t xml:space="preserve">视觉力学传感器的客户议价能力因客户类型和采购规模而异，大型客户议价能力较强，中小客户议价能力相对较弱。</w:t>
      </w:r>
    </w:p>
    <w:p>
      <w:pPr>
        <w:pStyle w:val="BodyText"/>
      </w:pPr>
      <w:r>
        <w:t xml:space="preserve">从客户结构分析，大型客户主要包括政府机构、大型国企和行业龙头企业等。这些客户采购规模大，对价格敏感度相对较低，但对产品质量、技术服务和系统集成能力要求较高。这些客户通常通过招标方式进行采购，议价能力强，账期通常较长，一般为三到六个月甚至更长。但一旦建立合作关系，客户粘性往往较强。</w:t>
      </w:r>
    </w:p>
    <w:p>
      <w:pPr>
        <w:pStyle w:val="BodyText"/>
      </w:pPr>
      <w:r>
        <w:t xml:space="preserve">中小客户主要包括中小企业、科研院所和检测机构等。这些客户采购规模小，对价格敏感度高，对技术服务要求相对较低。这些客户通常直接采购，议价能力较弱，账期较短。虽然单个客户采购量有限，但客户数量众多，市场较为分散，需要建立高效的销售和服务体系。</w:t>
      </w:r>
    </w:p>
    <w:p>
      <w:pPr>
        <w:pStyle w:val="BodyText"/>
      </w:pPr>
      <w:r>
        <w:t xml:space="preserve">客户需求呈现出明显的特征。技术要求存在差异化，不同行业和不同应用场景对测量精度、速度和环境适应性等要求差异明显。服务要求多样化，从简单的设备销售到完整的解决方案，服务需求层次各不相同。价格敏感度呈现分层特征，高端市场对价格敏感度较低，中低端市场对价格敏感度较高。</w:t>
      </w:r>
    </w:p>
    <w:p>
      <w:pPr>
        <w:pStyle w:val="BodyText"/>
      </w:pPr>
      <w:r>
        <w:t xml:space="preserve">议价能力受多种因素影响。采购规模是关键因素，大规模采购能够增强客户议价能力。产品差异化程度影响议价压力，产品差异化程度高可降低客户议价压力。转换成本高低影响议价能力，高转换成本降低客户议价能力。市场信息透明度也产生影响，信息透明增强客户议价能力。替代供应商的多少同样重要，替代供应商多则增强客户议价能力。</w:t>
      </w:r>
    </w:p>
    <w:p>
      <w:pPr>
        <w:pStyle w:val="BodyText"/>
      </w:pPr>
      <w:r>
        <w:t xml:space="preserve">客户议价能力中等偏强要求HSM优化客户关系管理。公司应当实施客户分层管理，针对不同类型客户制定差异化策略；加强产品差异化，提升产品附加值和客户粘性；优化定价策略，平衡市场份额和利润率；提升服务水平，建立长期客户关系；拓展中小客户市场，分散大客户依赖风险。</w:t>
      </w:r>
    </w:p>
    <w:bookmarkEnd w:id="46"/>
    <w:bookmarkStart w:id="47" w:name="小结-1"/>
    <w:p>
      <w:pPr>
        <w:pStyle w:val="4"/>
      </w:pPr>
      <w:r>
        <w:t xml:space="preserve">3.3.6 小结</w:t>
      </w:r>
    </w:p>
    <w:p>
      <w:pPr>
        <w:pStyle w:val="FirstParagraph"/>
      </w:pPr>
      <w:r>
        <w:t xml:space="preserve">表3.3 视觉力学传感器行业波特五力模型总结表</w:t>
      </w:r>
    </w:p>
    <w:tbl>
      <w:tblPr>
        <w:tblStyle w:val="Table"/>
        <w:tblW w:type="pct" w:w="4923"/>
        <w:tblLook w:firstRow="0" w:lastRow="0" w:firstColumn="0" w:lastColumn="0" w:noHBand="0" w:noVBand="0" w:val="0000"/>
      </w:tblPr>
      <w:tblGrid>
        <w:gridCol w:w="1035"/>
        <w:gridCol w:w="1523"/>
        <w:gridCol w:w="2741"/>
        <w:gridCol w:w="2497"/>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激烈竞争</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较低威胁</w:t>
            </w:r>
          </w:p>
        </w:tc>
        <w:tc>
          <w:tcPr/>
          <w:p>
            <w:pPr>
              <w:pStyle w:val="Compact"/>
              <w:jc w:val="left"/>
            </w:pPr>
            <w:r>
              <w:t xml:space="preserve">技术、资金、品牌壁垒较高，威胁有限</w:t>
            </w:r>
          </w:p>
        </w:tc>
        <w:tc>
          <w:tcPr/>
          <w:p>
            <w:pPr>
              <w:pStyle w:val="Compact"/>
              <w:jc w:val="left"/>
            </w:pPr>
            <w:r>
              <w:t xml:space="preserve">加强专利布局和品牌建设，巩固市场地位</w:t>
            </w:r>
          </w:p>
        </w:tc>
      </w:tr>
    </w:tbl>
    <w:p>
      <w:pPr>
        <w:pStyle w:val="BodyText"/>
      </w:pPr>
      <w:r>
        <w:t xml:space="preserve">续表3.3 视觉力学传感器行业波特五力模型总结表</w:t>
      </w:r>
    </w:p>
    <w:tbl>
      <w:tblPr>
        <w:tblStyle w:val="Table"/>
        <w:tblW w:type="pct" w:w="4919"/>
        <w:tblLook w:firstRow="0" w:lastRow="0" w:firstColumn="0" w:lastColumn="0" w:noHBand="0" w:noVBand="0" w:val="0000"/>
      </w:tblPr>
      <w:tblGrid>
        <w:gridCol w:w="1085"/>
        <w:gridCol w:w="1596"/>
        <w:gridCol w:w="2490"/>
        <w:gridCol w:w="2618"/>
      </w:tblGrid>
      <w:tr>
        <w:tc>
          <w:tcPr/>
          <w:p>
            <w:pPr>
              <w:pStyle w:val="Compact"/>
              <w:jc w:val="left"/>
            </w:pPr>
            <w:r>
              <w:t xml:space="preserve">竞争力量</w:t>
            </w:r>
          </w:p>
        </w:tc>
        <w:tc>
          <w:tcPr/>
          <w:p>
            <w:pPr>
              <w:pStyle w:val="Compact"/>
              <w:jc w:val="left"/>
            </w:pPr>
            <w:r>
              <w:t xml:space="preserve">竞争强度评估</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替代品威胁</w:t>
            </w:r>
          </w:p>
        </w:tc>
        <w:tc>
          <w:tcPr/>
          <w:p>
            <w:pPr>
              <w:pStyle w:val="Compact"/>
              <w:jc w:val="left"/>
            </w:pPr>
            <w:r>
              <w:t xml:space="preserve">有限威胁</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中等议价能力</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客户规模决定议价能力</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t xml:space="preserve">行业竞争格局总体判断显示，视觉力学传感器行业竞争激烈，但存在结构性机会。高端市场主要由国际巨头占据主导地位，竞争焦点集中在技术性能和品牌影响力方面。中端市场中，国内领先企业竞争激烈，竞争焦点主要体现在性价比和行业解决方案上。低端市场则呈现出价格竞争激烈、利润率较低的特点，存在一定的整合机会。</w:t>
      </w:r>
    </w:p>
    <w:p>
      <w:pPr>
        <w:pStyle w:val="BodyText"/>
      </w:pPr>
      <w:r>
        <w:t xml:space="preserve">基于五力分析，HSM应采取以下竞争策略。差异化战略要求以第三代DIC技术为核心，开发智能化、平台化产品，避免同质化竞争。聚焦战略需要深耕重点行业和重点客户，建立具有示范效应的行业标杆案例，形成局部竞争优势。成本领先战略应当通过标准化设计和规模化生产来降低生产成本，建立成本优势。合作战略则需要与供应商、客户和科研院所建立战略合作关系，构建产业生态系统。</w:t>
      </w:r>
    </w:p>
    <w:bookmarkEnd w:id="47"/>
    <w:bookmarkEnd w:id="48"/>
    <w:bookmarkStart w:id="53"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9" w:name="桥梁健康监测市场分析"/>
    <w:p>
      <w:pPr>
        <w:pStyle w:val="4"/>
      </w:pPr>
      <w:r>
        <w:t xml:space="preserve">3.4.1 桥梁健康监测市场分析</w:t>
      </w:r>
    </w:p>
    <w:p>
      <w:pPr>
        <w:pStyle w:val="FirstParagraph"/>
      </w:pPr>
      <w:r>
        <w:t xml:space="preserve">市场规模与增长趋势方面，根据《2025-2031年中国桥梁检测行业现状分析与市场前景报告》，中国桥梁检测行业市场规模持续扩大。2024年市场规模达到约320亿元，预计到2031年将增长至480亿元，年复合增长率约为6%。其中，视觉监测技术作为新兴监测手段，市场份额快速提升，从2022年的15%增长至2024年的35%，技术替代效应较为明显。</w:t>
      </w:r>
    </w:p>
    <w:p>
      <w:pPr>
        <w:pStyle w:val="BodyText"/>
      </w:pPr>
      <w:r>
        <w:t xml:space="preserve">技术方案与应用特点显示，桥梁健康监测主要关注挠度（竖向位移）和横向位移。DIC技术能够实现全场、非接触、高精度测量，特别适用于大跨度桥梁的长期健康监测。与传统监测方法如全站仪、GPS和倾角计相比，视觉监测具有多方面的优势。全场测量能力使得系统可以同时监测多个测点，获得完整的位移场信息。非接触测量的特点意味着无需在桥梁上安装传感器，避免了可能对结构造成的影响。高精度测量能力可实现亚毫米级的测量精度。实时性特征支持连续监测和实时预警功能。可视化功能则能够提供直观的位移云图和动画展示。</w:t>
      </w:r>
    </w:p>
    <w:p>
      <w:pPr>
        <w:pStyle w:val="BodyText"/>
      </w:pPr>
      <w:r>
        <w:t xml:space="preserve">主要厂商竞争格局方面，桥梁健康监测市场参与者包括传统监测企业如基康仪器、华测导航，以及新兴视觉监测企业如亿维股份和HSM等。亿维股份的”AI在线视觉监测仪”凭借斜光轴DIC技术获得中国公路学会2025年技术创新大赛一等奖，这标志着视觉监测技术在桥梁安全监测领域的技术成熟度和市场认可度。HSM的单目三维DIC技术同样适用于桥梁监测，特别是在成本控制和标准化应用方面具有优势。</w:t>
      </w:r>
    </w:p>
    <w:p>
      <w:pPr>
        <w:pStyle w:val="BodyText"/>
      </w:pPr>
      <w:r>
        <w:t xml:space="preserve">政策支持与市场机遇方面，交通运输部《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以及智慧高速公路建设等工程为视觉监测技术提供了持续的市场需求。</w:t>
      </w:r>
    </w:p>
    <w:bookmarkEnd w:id="49"/>
    <w:bookmarkStart w:id="50" w:name="隧道收敛监测市场分析"/>
    <w:p>
      <w:pPr>
        <w:pStyle w:val="4"/>
      </w:pPr>
      <w:r>
        <w:t xml:space="preserve">3.4.2 隧道收敛监测市场分析</w:t>
      </w:r>
    </w:p>
    <w:p>
      <w:pPr>
        <w:pStyle w:val="FirstParagraph"/>
      </w:pPr>
      <w:r>
        <w:t xml:space="preserve">市场规模与区域分布方面，根据《全球及中国隧道运行监测系统市场规模及”十五五”前景规划分析报告》，2024年全球隧道运行监测系统市场规模约为45亿美元，预计2031年将达到68亿美元，年复合增长率约为6%。中国市场占全球市场的30%以上，是最大的单一市场。随着城市地铁、高速公路和铁路等隧道工程的大规模建设，隧道安全监测需求持续增长。</w:t>
      </w:r>
    </w:p>
    <w:p>
      <w:pPr>
        <w:pStyle w:val="BodyText"/>
      </w:pPr>
      <w:r>
        <w:t xml:space="preserve">技术挑战与解决方案方面，隧道监测主要关注收敛变形（横断面尺寸变化）和沉降位移。隧道环境具有光照条件差、湿度大、空间受限和振动干扰等特点，对视觉监测系统的环境适应性要求较高。针对这些挑战，视觉监测技术需要增强低光照适应能力，通常采用高性能图像传感器和图像增强算法来实现。提高环境鲁棒性需要设计防水、防尘和防振的防护结构。优化安装方案则需要开发适合隧道环境的安装支架和标定方法。实现自动监测则要求集成智能算法，实现自动化数据采集和分析。</w:t>
      </w:r>
    </w:p>
    <w:p>
      <w:pPr>
        <w:pStyle w:val="BodyText"/>
      </w:pPr>
      <w:r>
        <w:t xml:space="preserve">应用案例与发展趋势方面，视觉监测技术已在地铁隧道、公路隧道和铁路隧道等场景得到应用，实现了从人工巡检向自动化监测的转变。典型案例包括地铁隧道收敛监测，已在北京、上海和广州等城市地铁隧道中应用，实现收敛变形的长期连续监测。公路隧道健康监测在山区高速公路隧道中应用，监测围岩变形和衬砌裂缝发展。铁路隧道安全评估在高速铁路隧道中应用，评估列车运行对隧道结构的影响。发展趋势包括多传感器融合，即将视觉监测与激光扫描、地质雷达等技术融合；智能化分析，基于AI算法实现异常检测和预警；云平台管理，实现多隧道集中监控和数据分析。</w:t>
      </w:r>
    </w:p>
    <w:bookmarkEnd w:id="50"/>
    <w:bookmarkStart w:id="51" w:name="边坡位移监测市场分析"/>
    <w:p>
      <w:pPr>
        <w:pStyle w:val="4"/>
      </w:pPr>
      <w:r>
        <w:t xml:space="preserve">3.4.3 边坡位移监测市场分析</w:t>
      </w:r>
    </w:p>
    <w:p>
      <w:pPr>
        <w:pStyle w:val="FirstParagraph"/>
      </w:pPr>
      <w:r>
        <w:t xml:space="preserve">市场规模与需求特征方面，根据《全球及中国岩土工程监测行业市场数据调研及前景趋势预测报告(2025-2030年)》，2025年全球岩土工程监测市场规模约为58亿美元，预计2030年将增长至85亿美元，年复合增长率约为8%。中国市场增速高于全球平均水平，特别是地质灾害频发地区监测需求较为迫切。边坡监测主要关注表面位移和深层位移，视觉监测技术能够实现大范围、远距离监测，适用于山区、矿区和交通沿线等复杂环境的边坡安全监测。</w:t>
      </w:r>
    </w:p>
    <w:p>
      <w:pPr>
        <w:pStyle w:val="BodyText"/>
      </w:pPr>
      <w:r>
        <w:t xml:space="preserve">技术方案与系统集成方面，边坡位移监测技术方案包括多种形式。固定式视觉监测站在边坡关键位置安装固定监测设备，实现连续监测功能。无人机巡检系统利用无人机搭载视觉传感器进行大范围边坡巡查，获取高分辨率图像和视频数据。移动式监测系统结合机器人技术，实现边坡区域的自动化巡检。多源数据融合将视觉监测数据与InSAR、GNSS和地质雷达等数据融合，提高监测精度和可靠性。系统集成需要考虑数据传输、电源供应、环境防护和远程控制等实际问题。</w:t>
      </w:r>
    </w:p>
    <w:p>
      <w:pPr>
        <w:pStyle w:val="BodyText"/>
      </w:pPr>
      <w:r>
        <w:t xml:space="preserve">应用领域与市场机遇方面，边坡位移监测主要应用于多个领域。公路铁路边坡监测主要关注路基边坡稳定性，预防滑坡灾害发生。矿山边坡监测重点关注露天矿边坡变形，保障采矿安全。水利工程边坡监测主要针对水库和大坝边坡稳定性，防范溃坝风险。地质灾害防治则对滑坡和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1"/>
    <w:bookmarkStart w:id="52" w:name="国家政策环境分析"/>
    <w:p>
      <w:pPr>
        <w:pStyle w:val="4"/>
      </w:pPr>
      <w:r>
        <w:t xml:space="preserve">3.4.4 国家政策环境分析</w:t>
      </w:r>
    </w:p>
    <w:p>
      <w:pPr>
        <w:pStyle w:val="FirstParagraph"/>
      </w:pPr>
      <w:r>
        <w:t xml:space="preserve">政策体系不断完善。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t xml:space="preserve">行业政策密集出台。《</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和大数据等技术在安全监测领域的应用。交通运输部、住房和城乡建设部、应急管理部等部委出台专项政策，推动桥梁、隧道、边坡和建筑等基础设施的智能监测系统建设。</w:t>
      </w:r>
    </w:p>
    <w:p>
      <w:pPr>
        <w:pStyle w:val="BodyText"/>
      </w:pPr>
      <w:r>
        <w:t xml:space="preserve">标准体系建设加速。国家标准化管理委员会和工业和信息化部等部门加快制定视觉监测技术标准，包括《结构健康监测系统技术要求》《视频图像分析系统技术规范》和《基础设施安全监测数据格式标准》等。标准体系的完善有利于规范市场秩序，推动技术进步，降低应用门槛。HSM作为技术领先企业，积极参与行业标准制定，将技术优势转化为标准优势。</w:t>
      </w:r>
    </w:p>
    <w:p>
      <w:pPr>
        <w:pStyle w:val="BodyText"/>
      </w:pPr>
      <w:r>
        <w:t xml:space="preserve">政策影响评估显示，政策环境为视觉安全监测行业发展创造了良好的外部条件。市场需求驱动体现在强制性监测要求和政府投资项目为视觉监测技术提供了稳定市场。技术标准引导通过标准化建设推动产品标准化和规模化应用。创新支持激励通过科技项目支持和研发补贴鼓励企业技术创新。市场准入规范通过资质要求和认证制度提高了行业准入门槛，有利于规范市场竞争。</w:t>
      </w:r>
    </w:p>
    <w:bookmarkEnd w:id="52"/>
    <w:bookmarkEnd w:id="53"/>
    <w:bookmarkStart w:id="54" w:name="本章小结"/>
    <w:p>
      <w:pPr>
        <w:pStyle w:val="3"/>
      </w:pPr>
      <w:r>
        <w:t xml:space="preserve">3.5 本章小结</w:t>
      </w:r>
    </w:p>
    <w:p>
      <w:pPr>
        <w:pStyle w:val="FirstParagraph"/>
      </w:pPr>
      <w:r>
        <w:t xml:space="preserve">本章综合运用PEST分析和波特五力模型等战略分析工具，系统考察了HSM公司面临的外部环境。分析结果表明，视觉力学传感器行业正处于从实验室科研工具向工业级标准化产品快速演进的关键阶段，这为HSM的战略转型创造了重要的外部条件。</w:t>
      </w:r>
    </w:p>
    <w:p>
      <w:pPr>
        <w:pStyle w:val="BodyText"/>
      </w:pPr>
      <w:r>
        <w:t xml:space="preserve">宏观环境分析显示，政策层面的国产替代战略和经济层面的基础设施安全监测市场需求增长，共同构成了行业发展的主要驱动力。社会层面对技术认知度的提升和技术层面新一代信息技术的融合应用，进一步降低了市场推广难度并为产品创新提供了支撑。然而，国际竞争态势的加剧、成本压力的上升以及专业技术人才的短缺，仍是行业发展过程中需要关注的重要挑战。</w:t>
      </w:r>
    </w:p>
    <w:p>
      <w:pPr>
        <w:pStyle w:val="BodyText"/>
      </w:pPr>
      <w:r>
        <w:t xml:space="preserve">行业竞争结构分析揭示了市场的分层特征。国际巨头凭借技术积累占据高端市场，国内领先企业在细分领域通过差异化策略形成竞争优势，其他企业则主要依赖价格竞争。波特五力模型的分析结果进一步指出，现有企业间的竞争强度最为显著，潜在进入者的威胁相对有限，替代技术的威胁程度较低，供应商和客户的议价能力则处于中等偏强水平。</w:t>
      </w:r>
    </w:p>
    <w:p>
      <w:pPr>
        <w:pStyle w:val="BodyText"/>
      </w:pPr>
      <w:r>
        <w:t xml:space="preserve">在具体应用场景方面，桥梁、隧道和边坡等基础设施安全监测领域展现出强劲的市场增长潜力。随着新型城镇化、交通强国等国家战略的持续推进，相关技术方案的不断完善和政策支持力度的持续加大，视觉监测技术在该领域的市场份额有望获得进一步提升。</w:t>
      </w:r>
    </w:p>
    <w:p>
      <w:pPr>
        <w:pStyle w:val="BodyText"/>
      </w:pPr>
      <w:r>
        <w:t xml:space="preserve">基于上述环境分析，HSM需要把握政策机遇，积极参与国产替代进程和政府主导项目。公司应当聚焦桥梁、隧道和边坡等重点行业，构建在安全监测领域的专业优势。以第三代DIC技术为核心，开发智能化、平台化的差异化产品。通过优化供应链管理和实施客户分层策略，提升运营效率和市场响应能力。通过对外部环境的系统分析，HSM进一步明确了转型的方向与重点，为后续结合内部资源能力制定具体实施路径奠定了坚实基础。</w:t>
      </w:r>
    </w:p>
    <w:bookmarkEnd w:id="54"/>
    <w:bookmarkEnd w:id="55"/>
    <w:bookmarkStart w:id="70" w:name="第四章-hsm转型的动因分析"/>
    <w:p>
      <w:pPr>
        <w:pStyle w:val="2"/>
      </w:pPr>
      <w:r>
        <w:t xml:space="preserve">第四章 HSM转型的动因分析</w:t>
      </w:r>
    </w:p>
    <w:bookmarkStart w:id="56" w:name="hsm基本情况"/>
    <w:p>
      <w:pPr>
        <w:pStyle w:val="3"/>
      </w:pPr>
      <w:r>
        <w:t xml:space="preserve">4.1 HSM基本情况</w:t>
      </w:r>
    </w:p>
    <w:p>
      <w:pPr>
        <w:pStyle w:val="FirstParagraph"/>
      </w:pPr>
      <w:r>
        <w:t xml:space="preserve">HSM公司成立于2020年6月，是一家专注于视觉力学传感器研发、生产与销售的国家级高新技术企业。公司以全球首创的单目三维DIC技术为核心，构建了视频引伸计、视频应变仪和视频跟踪仪三大产品线，致力于为材料力学测试、工业质量控制和基础设施安全监测提供高精度、智能化的视觉测量解决方案。</w:t>
      </w:r>
    </w:p>
    <w:p>
      <w:pPr>
        <w:pStyle w:val="BodyText"/>
      </w:pPr>
      <w:r>
        <w:t xml:space="preserve">作为深圳市种子独角兽企业，HSM秉承”技术创新、客户至上、质量为本”的经营理念，累计服务超过一千家客户，包括一汽集团、比亚迪和宁德时代等标杆企业，在DIC视觉传感器领域建立了国内领先的技术优势和品牌影响力。</w:t>
      </w:r>
    </w:p>
    <w:p>
      <w:pPr>
        <w:pStyle w:val="BodyText"/>
      </w:pPr>
      <w:r>
        <w:t xml:space="preserve">表4.1：HSM三大产品线基本特征对比</w:t>
      </w:r>
    </w:p>
    <w:tbl>
      <w:tblPr>
        <w:tblStyle w:val="Table"/>
        <w:tblW w:type="pct" w:w="4907"/>
        <w:tblLook w:firstRow="1" w:lastRow="0" w:firstColumn="0" w:lastColumn="0" w:noHBand="0" w:noVBand="0" w:val="0020"/>
      </w:tblPr>
      <w:tblGrid>
        <w:gridCol w:w="953"/>
        <w:gridCol w:w="1320"/>
        <w:gridCol w:w="1246"/>
        <w:gridCol w:w="2126"/>
        <w:gridCol w:w="806"/>
        <w:gridCol w:w="1320"/>
      </w:tblGrid>
      <w:tr>
        <w:trPr>
          <w:tblHeader w:val="true"/>
        </w:trPr>
        <w:tc>
          <w:tcPr/>
          <w:p>
            <w:pPr>
              <w:pStyle w:val="Compact"/>
              <w:jc w:val="left"/>
            </w:pPr>
            <w:r>
              <w:t xml:space="preserve">产品线</w:t>
            </w:r>
          </w:p>
        </w:tc>
        <w:tc>
          <w:tcPr/>
          <w:p>
            <w:pPr>
              <w:pStyle w:val="Compact"/>
              <w:jc w:val="left"/>
            </w:pPr>
            <w:r>
              <w:t xml:space="preserve">技术核心</w:t>
            </w:r>
          </w:p>
        </w:tc>
        <w:tc>
          <w:tcPr/>
          <w:p>
            <w:pPr>
              <w:pStyle w:val="Compact"/>
              <w:jc w:val="left"/>
            </w:pPr>
            <w:r>
              <w:t xml:space="preserve">产品形态</w:t>
            </w:r>
          </w:p>
        </w:tc>
        <w:tc>
          <w:tcPr/>
          <w:p>
            <w:pPr>
              <w:pStyle w:val="Compact"/>
              <w:jc w:val="left"/>
            </w:pPr>
            <w:r>
              <w:t xml:space="preserve">主要应用场景</w:t>
            </w:r>
          </w:p>
        </w:tc>
        <w:tc>
          <w:tcPr/>
          <w:p>
            <w:pPr>
              <w:pStyle w:val="Compact"/>
              <w:jc w:val="left"/>
            </w:pPr>
            <w:r>
              <w:t xml:space="preserve">发展阶段</w:t>
            </w:r>
          </w:p>
        </w:tc>
        <w:tc>
          <w:tcPr/>
          <w:p>
            <w:pPr>
              <w:pStyle w:val="Compact"/>
              <w:jc w:val="left"/>
            </w:pPr>
            <w:r>
              <w:t xml:space="preserve">标准化程度</w:t>
            </w:r>
          </w:p>
        </w:tc>
      </w:tr>
      <w:tr>
        <w:tc>
          <w:tcPr/>
          <w:p>
            <w:pPr>
              <w:pStyle w:val="Compact"/>
              <w:jc w:val="left"/>
            </w:pPr>
            <w:r>
              <w:t xml:space="preserve">视频引伸计</w:t>
            </w:r>
          </w:p>
        </w:tc>
        <w:tc>
          <w:tcPr/>
          <w:p>
            <w:pPr>
              <w:pStyle w:val="Compact"/>
              <w:jc w:val="left"/>
            </w:pPr>
            <w:r>
              <w:t xml:space="preserve">单目三维DIC技术</w:t>
            </w:r>
          </w:p>
        </w:tc>
        <w:tc>
          <w:tcPr/>
          <w:p>
            <w:pPr>
              <w:pStyle w:val="Compact"/>
              <w:jc w:val="left"/>
            </w:pPr>
            <w:r>
              <w:t xml:space="preserve">标准化硬件设备</w:t>
            </w:r>
          </w:p>
        </w:tc>
        <w:tc>
          <w:tcPr/>
          <w:p>
            <w:pPr>
              <w:pStyle w:val="Compact"/>
              <w:jc w:val="left"/>
            </w:pPr>
            <w:r>
              <w:t xml:space="preserve">材料力学测试、科研实验</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视频应变仪</w:t>
            </w:r>
          </w:p>
        </w:tc>
        <w:tc>
          <w:tcPr/>
          <w:p>
            <w:pPr>
              <w:pStyle w:val="Compact"/>
              <w:jc w:val="left"/>
            </w:pPr>
            <w:r>
              <w:t xml:space="preserve">智能DIC算法</w:t>
            </w:r>
          </w:p>
        </w:tc>
        <w:tc>
          <w:tcPr/>
          <w:p>
            <w:pPr>
              <w:pStyle w:val="Compact"/>
              <w:jc w:val="left"/>
            </w:pPr>
            <w:r>
              <w:t xml:space="preserve">一体化测量系统</w:t>
            </w:r>
          </w:p>
        </w:tc>
        <w:tc>
          <w:tcPr/>
          <w:p>
            <w:pPr>
              <w:pStyle w:val="Compact"/>
              <w:jc w:val="left"/>
            </w:pPr>
            <w:r>
              <w:t xml:space="preserve">工业质量控制、结构测试</w:t>
            </w:r>
          </w:p>
        </w:tc>
        <w:tc>
          <w:tcPr/>
          <w:p>
            <w:pPr>
              <w:pStyle w:val="Compact"/>
              <w:jc w:val="left"/>
            </w:pPr>
            <w:r>
              <w:t xml:space="preserve">成熟稳定</w:t>
            </w:r>
          </w:p>
        </w:tc>
        <w:tc>
          <w:tcPr/>
          <w:p>
            <w:pPr>
              <w:pStyle w:val="Compact"/>
              <w:jc w:val="left"/>
            </w:pPr>
            <w:r>
              <w:t xml:space="preserve">高度标准化</w:t>
            </w:r>
          </w:p>
        </w:tc>
      </w:tr>
      <w:tr>
        <w:tc>
          <w:tcPr/>
          <w:p>
            <w:pPr>
              <w:pStyle w:val="Compact"/>
              <w:jc w:val="left"/>
            </w:pPr>
            <w:r>
              <w:t xml:space="preserve">视频跟踪仪</w:t>
            </w:r>
          </w:p>
        </w:tc>
        <w:tc>
          <w:tcPr/>
          <w:p>
            <w:pPr>
              <w:pStyle w:val="Compact"/>
              <w:jc w:val="left"/>
            </w:pPr>
            <w:r>
              <w:t xml:space="preserve">实时DIC+AI融合</w:t>
            </w:r>
          </w:p>
        </w:tc>
        <w:tc>
          <w:tcPr/>
          <w:p>
            <w:pPr>
              <w:pStyle w:val="Compact"/>
              <w:jc w:val="left"/>
            </w:pPr>
            <w:r>
              <w:t xml:space="preserve">系统解决方案</w:t>
            </w:r>
          </w:p>
        </w:tc>
        <w:tc>
          <w:tcPr/>
          <w:p>
            <w:pPr>
              <w:pStyle w:val="Compact"/>
              <w:jc w:val="left"/>
            </w:pPr>
            <w:r>
              <w:t xml:space="preserve">基础设施安全监测、长期跟踪</w:t>
            </w:r>
          </w:p>
        </w:tc>
        <w:tc>
          <w:tcPr/>
          <w:p>
            <w:pPr>
              <w:pStyle w:val="Compact"/>
              <w:jc w:val="left"/>
            </w:pPr>
            <w:r>
              <w:t xml:space="preserve">发展期</w:t>
            </w:r>
          </w:p>
        </w:tc>
        <w:tc>
          <w:tcPr/>
          <w:p>
            <w:pPr>
              <w:pStyle w:val="Compact"/>
              <w:jc w:val="left"/>
            </w:pPr>
            <w:r>
              <w:t xml:space="preserve">半标准化/项目化</w:t>
            </w:r>
          </w:p>
        </w:tc>
      </w:tr>
    </w:tbl>
    <w:p>
      <w:pPr>
        <w:pStyle w:val="BodyText"/>
      </w:pPr>
      <w:r>
        <w:t xml:space="preserve">产品线发展特征显示，视频引伸计和视频应变仪已完成产品化转型，实现标准化批量生产。视频跟踪仪仍处于项目化发展阶段，每个项目需要深度定制设计和工程实施。</w:t>
      </w:r>
    </w:p>
    <w:bookmarkEnd w:id="56"/>
    <w:bookmarkStart w:id="62" w:name="hsm内部资源和能力分析"/>
    <w:p>
      <w:pPr>
        <w:pStyle w:val="3"/>
      </w:pPr>
      <w:r>
        <w:t xml:space="preserve">4.2 HSM内部资源和能力分析</w:t>
      </w:r>
    </w:p>
    <w:bookmarkStart w:id="57" w:name="技术资源"/>
    <w:p>
      <w:pPr>
        <w:pStyle w:val="4"/>
      </w:pPr>
      <w:r>
        <w:t xml:space="preserve">4.2.1 技术资源</w:t>
      </w:r>
    </w:p>
    <w:p>
      <w:pPr>
        <w:pStyle w:val="FirstParagraph"/>
      </w:pPr>
      <w:r>
        <w:t xml:space="preserve">核心技术突破方面，HSM自主研发的全球首创单目三维DIC技术，在保持测量精度的同时大幅降低了硬件成本和系统复杂度，实现了DIC技术从科研仪器向工业产品的转化。该技术突破了传统双目DIC系统对精密标定和复杂硬件的依赖，为标准化产品开发奠定了技术基础。</w:t>
      </w:r>
    </w:p>
    <w:p>
      <w:pPr>
        <w:pStyle w:val="BodyText"/>
      </w:pPr>
      <w:r>
        <w:t xml:space="preserve">专利布局方面，公司在DIC视觉传感器领域累计申请专利数量居全国前列，构建了完善的技术保护体系。核心专利涵盖单目三维算法、硬件设计和系统集成等多个层面，形成了较高的技术壁垒。</w:t>
      </w:r>
    </w:p>
    <w:p>
      <w:pPr>
        <w:pStyle w:val="BodyText"/>
      </w:pPr>
      <w:r>
        <w:t xml:space="preserve">研发投入方面，作为硬科技企业，HSM研发投入占营业收入比例持续保持在20%以上，研发团队占员工总数的40%。公司建立了从算法研究、软件开发到硬件设计的全栈研发能力。</w:t>
      </w:r>
    </w:p>
    <w:bookmarkEnd w:id="57"/>
    <w:bookmarkStart w:id="58" w:name="产品资源"/>
    <w:p>
      <w:pPr>
        <w:pStyle w:val="4"/>
      </w:pPr>
      <w:r>
        <w:t xml:space="preserve">4.2.2 产品资源</w:t>
      </w:r>
    </w:p>
    <w:p>
      <w:pPr>
        <w:pStyle w:val="FirstParagraph"/>
      </w:pPr>
      <w:r>
        <w:t xml:space="preserve">HSM基于第三代DIC技术构建了完整的产品体系，三条产品线在产品形态、技术特点和生产模式上形成互补关系。</w:t>
      </w:r>
    </w:p>
    <w:p>
      <w:pPr>
        <w:pStyle w:val="BodyText"/>
      </w:pPr>
      <w:r>
        <w:t xml:space="preserve">视频引伸计作为现金牛产品，实现了完全标准化设计，月产能可达200-300台。产品采用模块化硬件和标准化软件，支持快速交付和批量生产。</w:t>
      </w:r>
    </w:p>
    <w:p>
      <w:pPr>
        <w:pStyle w:val="BodyText"/>
      </w:pPr>
      <w:r>
        <w:t xml:space="preserve">表4.2：视频引伸计生产链结构</w:t>
      </w:r>
    </w:p>
    <w:tbl>
      <w:tblPr>
        <w:tblStyle w:val="Table"/>
        <w:tblW w:type="pct" w:w="4938"/>
        <w:tblLook w:firstRow="1" w:lastRow="0" w:firstColumn="0" w:lastColumn="0" w:noHBand="0" w:noVBand="0" w:val="0020"/>
      </w:tblPr>
      <w:tblGrid>
        <w:gridCol w:w="541"/>
        <w:gridCol w:w="1623"/>
        <w:gridCol w:w="934"/>
        <w:gridCol w:w="1820"/>
        <w:gridCol w:w="1180"/>
        <w:gridCol w:w="1721"/>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算法优化、硬件设计、软件开发</w:t>
            </w:r>
          </w:p>
        </w:tc>
        <w:tc>
          <w:tcPr/>
          <w:p>
            <w:pPr>
              <w:pStyle w:val="Compact"/>
              <w:jc w:val="left"/>
            </w:pPr>
            <w:r>
              <w:t xml:space="preserve">研发人员占比15%</w:t>
            </w:r>
          </w:p>
        </w:tc>
        <w:tc>
          <w:tcPr/>
          <w:p>
            <w:pPr>
              <w:pStyle w:val="Compact"/>
              <w:jc w:val="left"/>
            </w:pPr>
            <w:r>
              <w:t xml:space="preserve">自主研发核心算法，外购标准电子元件</w:t>
            </w:r>
          </w:p>
        </w:tc>
        <w:tc>
          <w:tcPr/>
          <w:p>
            <w:pPr>
              <w:pStyle w:val="Compact"/>
              <w:jc w:val="left"/>
            </w:pPr>
            <w:r>
              <w:t xml:space="preserve">研发投入占产品成本20%</w:t>
            </w:r>
          </w:p>
        </w:tc>
        <w:tc>
          <w:tcPr/>
          <w:p>
            <w:pPr>
              <w:pStyle w:val="Compact"/>
              <w:jc w:val="left"/>
            </w:pPr>
            <w:r>
              <w:t xml:space="preserve">算法精度测试、硬件稳定性验证</w:t>
            </w:r>
          </w:p>
        </w:tc>
      </w:tr>
      <w:tr>
        <w:tc>
          <w:tcPr/>
          <w:p>
            <w:pPr>
              <w:pStyle w:val="Compact"/>
              <w:jc w:val="left"/>
            </w:pPr>
            <w:r>
              <w:t xml:space="preserve">采购供应</w:t>
            </w:r>
          </w:p>
        </w:tc>
        <w:tc>
          <w:tcPr/>
          <w:p>
            <w:pPr>
              <w:pStyle w:val="Compact"/>
              <w:jc w:val="left"/>
            </w:pPr>
            <w:r>
              <w:t xml:space="preserve">图像传感器、镜头、处理芯片采购</w:t>
            </w:r>
          </w:p>
        </w:tc>
        <w:tc>
          <w:tcPr/>
          <w:p>
            <w:pPr>
              <w:pStyle w:val="Compact"/>
              <w:jc w:val="left"/>
            </w:pPr>
            <w:r>
              <w:t xml:space="preserve">采购团队3-5人</w:t>
            </w:r>
          </w:p>
        </w:tc>
        <w:tc>
          <w:tcPr/>
          <w:p>
            <w:pPr>
              <w:pStyle w:val="Compact"/>
              <w:jc w:val="left"/>
            </w:pPr>
            <w:r>
              <w:t xml:space="preserve">建立合格供应商库，主要供应商稳定</w:t>
            </w:r>
          </w:p>
        </w:tc>
        <w:tc>
          <w:tcPr/>
          <w:p>
            <w:pPr>
              <w:pStyle w:val="Compact"/>
              <w:jc w:val="left"/>
            </w:pPr>
            <w:r>
              <w:t xml:space="preserve">原材料成本占40%</w:t>
            </w:r>
          </w:p>
        </w:tc>
        <w:tc>
          <w:tcPr/>
          <w:p>
            <w:pPr>
              <w:pStyle w:val="Compact"/>
              <w:jc w:val="left"/>
            </w:pPr>
            <w:r>
              <w:t xml:space="preserve">供应商质量审核、来料检验</w:t>
            </w:r>
          </w:p>
        </w:tc>
      </w:tr>
      <w:tr>
        <w:tc>
          <w:tcPr/>
          <w:p>
            <w:pPr>
              <w:pStyle w:val="Compact"/>
              <w:jc w:val="left"/>
            </w:pPr>
            <w:r>
              <w:t xml:space="preserve">生产制造</w:t>
            </w:r>
          </w:p>
        </w:tc>
        <w:tc>
          <w:tcPr/>
          <w:p>
            <w:pPr>
              <w:pStyle w:val="Compact"/>
              <w:jc w:val="left"/>
            </w:pPr>
            <w:r>
              <w:t xml:space="preserve">PCB贴片、组装、调试</w:t>
            </w:r>
          </w:p>
        </w:tc>
        <w:tc>
          <w:tcPr/>
          <w:p>
            <w:pPr>
              <w:pStyle w:val="Compact"/>
              <w:jc w:val="left"/>
            </w:pPr>
            <w:r>
              <w:t xml:space="preserve">生产线工人8-12人</w:t>
            </w:r>
          </w:p>
        </w:tc>
        <w:tc>
          <w:tcPr/>
          <w:p>
            <w:pPr>
              <w:pStyle w:val="Compact"/>
              <w:jc w:val="left"/>
            </w:pPr>
            <w:r>
              <w:t xml:space="preserve">委托专业电子厂贴片，自主组装调试</w:t>
            </w:r>
          </w:p>
        </w:tc>
        <w:tc>
          <w:tcPr/>
          <w:p>
            <w:pPr>
              <w:pStyle w:val="Compact"/>
              <w:jc w:val="left"/>
            </w:pPr>
            <w:r>
              <w:t xml:space="preserve">制造成本占25%</w:t>
            </w:r>
          </w:p>
        </w:tc>
        <w:tc>
          <w:tcPr/>
          <w:p>
            <w:pPr>
              <w:pStyle w:val="Compact"/>
              <w:jc w:val="left"/>
            </w:pPr>
            <w:r>
              <w:t xml:space="preserve">过程质量控制、功能测试</w:t>
            </w:r>
          </w:p>
        </w:tc>
      </w:tr>
      <w:tr>
        <w:tc>
          <w:tcPr/>
          <w:p>
            <w:pPr>
              <w:pStyle w:val="Compact"/>
              <w:jc w:val="left"/>
            </w:pPr>
            <w:r>
              <w:t xml:space="preserve">测试校准</w:t>
            </w:r>
          </w:p>
        </w:tc>
        <w:tc>
          <w:tcPr/>
          <w:p>
            <w:pPr>
              <w:pStyle w:val="Compact"/>
              <w:jc w:val="left"/>
            </w:pPr>
            <w:r>
              <w:t xml:space="preserve">精度校准、功能测试、老化测试</w:t>
            </w:r>
          </w:p>
        </w:tc>
        <w:tc>
          <w:tcPr/>
          <w:p>
            <w:pPr>
              <w:pStyle w:val="Compact"/>
              <w:jc w:val="left"/>
            </w:pPr>
            <w:r>
              <w:t xml:space="preserve">测试工程师4-6人</w:t>
            </w:r>
          </w:p>
        </w:tc>
        <w:tc>
          <w:tcPr/>
          <w:p>
            <w:pPr>
              <w:pStyle w:val="Compact"/>
              <w:jc w:val="left"/>
            </w:pPr>
            <w:r>
              <w:t xml:space="preserve">建立标准校准流程，使用标准测试设备</w:t>
            </w:r>
          </w:p>
        </w:tc>
        <w:tc>
          <w:tcPr/>
          <w:p>
            <w:pPr>
              <w:pStyle w:val="Compact"/>
              <w:jc w:val="left"/>
            </w:pPr>
            <w:r>
              <w:t xml:space="preserve">测试成本占10%</w:t>
            </w:r>
          </w:p>
        </w:tc>
        <w:tc>
          <w:tcPr/>
          <w:p>
            <w:pPr>
              <w:pStyle w:val="Compact"/>
              <w:jc w:val="left"/>
            </w:pPr>
            <w:r>
              <w:t xml:space="preserve">全检+抽检结合，精度达标率&gt;99.5%</w:t>
            </w:r>
          </w:p>
        </w:tc>
      </w:tr>
      <w:tr>
        <w:tc>
          <w:tcPr/>
          <w:p>
            <w:pPr>
              <w:pStyle w:val="Compact"/>
              <w:jc w:val="left"/>
            </w:pPr>
            <w:r>
              <w:t xml:space="preserve">包装出货</w:t>
            </w:r>
          </w:p>
        </w:tc>
        <w:tc>
          <w:tcPr/>
          <w:p>
            <w:pPr>
              <w:pStyle w:val="Compact"/>
              <w:jc w:val="left"/>
            </w:pPr>
            <w:r>
              <w:t xml:space="preserve">包装、说明书、软件预装</w:t>
            </w:r>
          </w:p>
        </w:tc>
        <w:tc>
          <w:tcPr/>
          <w:p>
            <w:pPr>
              <w:pStyle w:val="Compact"/>
              <w:jc w:val="left"/>
            </w:pPr>
            <w:r>
              <w:t xml:space="preserve">包装工人2-3人</w:t>
            </w:r>
          </w:p>
        </w:tc>
        <w:tc>
          <w:tcPr/>
          <w:p>
            <w:pPr>
              <w:pStyle w:val="Compact"/>
              <w:jc w:val="left"/>
            </w:pPr>
            <w:r>
              <w:t xml:space="preserve">标准包装设计，批量生产</w:t>
            </w:r>
          </w:p>
        </w:tc>
        <w:tc>
          <w:tcPr/>
          <w:p>
            <w:pPr>
              <w:pStyle w:val="Compact"/>
              <w:jc w:val="left"/>
            </w:pPr>
            <w:r>
              <w:t xml:space="preserve">包装物流成本占5%</w:t>
            </w:r>
          </w:p>
        </w:tc>
        <w:tc>
          <w:tcPr/>
          <w:p>
            <w:pPr>
              <w:pStyle w:val="Compact"/>
              <w:jc w:val="left"/>
            </w:pPr>
            <w:r>
              <w:t xml:space="preserve">外观检查、配件完整性检查</w:t>
            </w:r>
          </w:p>
        </w:tc>
      </w:tr>
    </w:tbl>
    <w:p>
      <w:pPr>
        <w:pStyle w:val="BodyText"/>
      </w:pPr>
      <w:r>
        <w:t xml:space="preserve">视频应变仪作为明星产品，采用模块化配置设计，平衡了标准化与定制化的需求。产品融合了AI算法和工业级硬件，为工业质量控制提供智能化解决方案。</w:t>
      </w:r>
    </w:p>
    <w:p>
      <w:pPr>
        <w:pStyle w:val="BodyText"/>
      </w:pPr>
      <w:r>
        <w:t xml:space="preserve">表4.3：视频应变仪生产链结构</w:t>
      </w:r>
    </w:p>
    <w:tbl>
      <w:tblPr>
        <w:tblStyle w:val="Table"/>
        <w:tblW w:type="pct" w:w="4935"/>
        <w:tblLook w:firstRow="0" w:lastRow="0" w:firstColumn="0" w:lastColumn="0" w:noHBand="0" w:noVBand="0" w:val="0000"/>
      </w:tblPr>
      <w:tblGrid>
        <w:gridCol w:w="565"/>
        <w:gridCol w:w="1491"/>
        <w:gridCol w:w="925"/>
        <w:gridCol w:w="1902"/>
        <w:gridCol w:w="1234"/>
        <w:gridCol w:w="169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研发设计</w:t>
            </w:r>
          </w:p>
        </w:tc>
        <w:tc>
          <w:tcPr/>
          <w:p>
            <w:pPr>
              <w:pStyle w:val="Compact"/>
              <w:jc w:val="left"/>
            </w:pPr>
            <w:r>
              <w:t xml:space="preserve">智能算法开发、系统集成设计</w:t>
            </w:r>
          </w:p>
        </w:tc>
        <w:tc>
          <w:tcPr/>
          <w:p>
            <w:pPr>
              <w:pStyle w:val="Compact"/>
              <w:jc w:val="left"/>
            </w:pPr>
            <w:r>
              <w:t xml:space="preserve">研发人员占比20%</w:t>
            </w:r>
          </w:p>
        </w:tc>
        <w:tc>
          <w:tcPr/>
          <w:p>
            <w:pPr>
              <w:pStyle w:val="Compact"/>
              <w:jc w:val="left"/>
            </w:pPr>
            <w:r>
              <w:t xml:space="preserve">自主研发AI算法，集成第三方软件模块</w:t>
            </w:r>
          </w:p>
        </w:tc>
        <w:tc>
          <w:tcPr/>
          <w:p>
            <w:pPr>
              <w:pStyle w:val="Compact"/>
              <w:jc w:val="left"/>
            </w:pPr>
            <w:r>
              <w:t xml:space="preserve">研发投入占产品成本25%</w:t>
            </w:r>
          </w:p>
        </w:tc>
        <w:tc>
          <w:tcPr/>
          <w:p>
            <w:pPr>
              <w:pStyle w:val="Compact"/>
              <w:jc w:val="left"/>
            </w:pPr>
            <w:r>
              <w:t xml:space="preserve">算法鲁棒性测试、系统兼容性验证</w:t>
            </w:r>
          </w:p>
        </w:tc>
      </w:tr>
    </w:tbl>
    <w:p>
      <w:pPr>
        <w:pStyle w:val="BodyText"/>
      </w:pPr>
      <w:r>
        <w:t xml:space="preserve">续表4.3：视频应变仪生产链结构</w:t>
      </w:r>
    </w:p>
    <w:tbl>
      <w:tblPr>
        <w:tblStyle w:val="Table"/>
        <w:tblW w:type="pct" w:w="4933"/>
        <w:tblLook w:firstRow="0" w:lastRow="0" w:firstColumn="0" w:lastColumn="0" w:noHBand="0" w:noVBand="0" w:val="0000"/>
      </w:tblPr>
      <w:tblGrid>
        <w:gridCol w:w="584"/>
        <w:gridCol w:w="1860"/>
        <w:gridCol w:w="1116"/>
        <w:gridCol w:w="1647"/>
        <w:gridCol w:w="956"/>
        <w:gridCol w:w="1647"/>
      </w:tblGrid>
      <w:t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采购供应</w:t>
            </w:r>
          </w:p>
        </w:tc>
        <w:tc>
          <w:tcPr/>
          <w:p>
            <w:pPr>
              <w:pStyle w:val="Compact"/>
              <w:jc w:val="left"/>
            </w:pPr>
            <w:r>
              <w:t xml:space="preserve">高性能传感器、工业级计算单元采购</w:t>
            </w:r>
          </w:p>
        </w:tc>
        <w:tc>
          <w:tcPr/>
          <w:p>
            <w:pPr>
              <w:pStyle w:val="Compact"/>
              <w:jc w:val="left"/>
            </w:pPr>
            <w:r>
              <w:t xml:space="preserve">采购团队4-6人</w:t>
            </w:r>
          </w:p>
        </w:tc>
        <w:tc>
          <w:tcPr/>
          <w:p>
            <w:pPr>
              <w:pStyle w:val="Compact"/>
              <w:jc w:val="left"/>
            </w:pPr>
            <w:r>
              <w:t xml:space="preserve">与国内外一线品牌建立战略合作</w:t>
            </w:r>
          </w:p>
        </w:tc>
        <w:tc>
          <w:tcPr/>
          <w:p>
            <w:pPr>
              <w:pStyle w:val="Compact"/>
              <w:jc w:val="left"/>
            </w:pPr>
            <w:r>
              <w:t xml:space="preserve">原材料成本占45%</w:t>
            </w:r>
          </w:p>
        </w:tc>
        <w:tc>
          <w:tcPr/>
          <w:p>
            <w:pPr>
              <w:pStyle w:val="Compact"/>
              <w:jc w:val="left"/>
            </w:pPr>
            <w:r>
              <w:t xml:space="preserve">性能验证测试、长期可靠性评估</w:t>
            </w:r>
          </w:p>
        </w:tc>
      </w:tr>
      <w:tr>
        <w:tc>
          <w:tcPr/>
          <w:p>
            <w:pPr>
              <w:pStyle w:val="Compact"/>
              <w:jc w:val="left"/>
            </w:pPr>
            <w:r>
              <w:t xml:space="preserve">生产制造</w:t>
            </w:r>
          </w:p>
        </w:tc>
        <w:tc>
          <w:tcPr/>
          <w:p>
            <w:pPr>
              <w:pStyle w:val="Compact"/>
              <w:jc w:val="left"/>
            </w:pPr>
            <w:r>
              <w:t xml:space="preserve">模块化组装、系统集成、软件预装</w:t>
            </w:r>
          </w:p>
        </w:tc>
        <w:tc>
          <w:tcPr/>
          <w:p>
            <w:pPr>
              <w:pStyle w:val="Compact"/>
              <w:jc w:val="left"/>
            </w:pPr>
            <w:r>
              <w:t xml:space="preserve">技术工人10-15人</w:t>
            </w:r>
          </w:p>
        </w:tc>
        <w:tc>
          <w:tcPr/>
          <w:p>
            <w:pPr>
              <w:pStyle w:val="Compact"/>
              <w:jc w:val="left"/>
            </w:pPr>
            <w:r>
              <w:t xml:space="preserve">模块化生产，支持客户定制配置</w:t>
            </w:r>
          </w:p>
        </w:tc>
        <w:tc>
          <w:tcPr/>
          <w:p>
            <w:pPr>
              <w:pStyle w:val="Compact"/>
              <w:jc w:val="left"/>
            </w:pPr>
            <w:r>
              <w:t xml:space="preserve">制造成本占20%</w:t>
            </w:r>
          </w:p>
        </w:tc>
        <w:tc>
          <w:tcPr/>
          <w:p>
            <w:pPr>
              <w:pStyle w:val="Compact"/>
              <w:jc w:val="left"/>
            </w:pPr>
            <w:r>
              <w:t xml:space="preserve">模块测试、系统集成测试</w:t>
            </w:r>
          </w:p>
        </w:tc>
      </w:tr>
      <w:tr>
        <w:tc>
          <w:tcPr/>
          <w:p>
            <w:pPr>
              <w:pStyle w:val="Compact"/>
              <w:jc w:val="left"/>
            </w:pPr>
            <w:r>
              <w:t xml:space="preserve">测试校准</w:t>
            </w:r>
          </w:p>
        </w:tc>
        <w:tc>
          <w:tcPr/>
          <w:p>
            <w:pPr>
              <w:pStyle w:val="Compact"/>
              <w:jc w:val="left"/>
            </w:pPr>
            <w:r>
              <w:t xml:space="preserve">工业环境测试、长期稳定性测试</w:t>
            </w:r>
          </w:p>
        </w:tc>
        <w:tc>
          <w:tcPr/>
          <w:p>
            <w:pPr>
              <w:pStyle w:val="Compact"/>
              <w:jc w:val="left"/>
            </w:pPr>
            <w:r>
              <w:t xml:space="preserve">测试工程师6-8人</w:t>
            </w:r>
          </w:p>
        </w:tc>
        <w:tc>
          <w:tcPr/>
          <w:p>
            <w:pPr>
              <w:pStyle w:val="Compact"/>
              <w:jc w:val="left"/>
            </w:pPr>
            <w:r>
              <w:t xml:space="preserve">模拟实际工业环境进行测试</w:t>
            </w:r>
          </w:p>
        </w:tc>
        <w:tc>
          <w:tcPr/>
          <w:p>
            <w:pPr>
              <w:pStyle w:val="Compact"/>
              <w:jc w:val="left"/>
            </w:pPr>
            <w:r>
              <w:t xml:space="preserve">测试成本占5%</w:t>
            </w:r>
          </w:p>
        </w:tc>
        <w:tc>
          <w:tcPr/>
          <w:p>
            <w:pPr>
              <w:pStyle w:val="Compact"/>
              <w:jc w:val="left"/>
            </w:pPr>
            <w:r>
              <w:t xml:space="preserve">环境适应性测试、连续运行测试</w:t>
            </w:r>
          </w:p>
        </w:tc>
      </w:tr>
      <w:tr>
        <w:tc>
          <w:tcPr/>
          <w:p>
            <w:pPr>
              <w:pStyle w:val="Compact"/>
              <w:jc w:val="left"/>
            </w:pPr>
            <w:r>
              <w:t xml:space="preserve">技术支持</w:t>
            </w:r>
          </w:p>
        </w:tc>
        <w:tc>
          <w:tcPr/>
          <w:p>
            <w:pPr>
              <w:pStyle w:val="Compact"/>
              <w:jc w:val="left"/>
            </w:pPr>
            <w:r>
              <w:t xml:space="preserve">客户培训、现场调试、远程支持</w:t>
            </w:r>
          </w:p>
        </w:tc>
        <w:tc>
          <w:tcPr/>
          <w:p>
            <w:pPr>
              <w:pStyle w:val="Compact"/>
              <w:jc w:val="left"/>
            </w:pPr>
            <w:r>
              <w:t xml:space="preserve">技术支持团队8-10人</w:t>
            </w:r>
          </w:p>
        </w:tc>
        <w:tc>
          <w:tcPr/>
          <w:p>
            <w:pPr>
              <w:pStyle w:val="Compact"/>
              <w:jc w:val="left"/>
            </w:pPr>
            <w:r>
              <w:t xml:space="preserve">建立分级技术支持体系</w:t>
            </w:r>
          </w:p>
        </w:tc>
        <w:tc>
          <w:tcPr/>
          <w:p>
            <w:pPr>
              <w:pStyle w:val="Compact"/>
              <w:jc w:val="left"/>
            </w:pPr>
            <w:r>
              <w:t xml:space="preserve">服务成本占5%</w:t>
            </w:r>
          </w:p>
        </w:tc>
        <w:tc>
          <w:tcPr/>
          <w:p>
            <w:pPr>
              <w:pStyle w:val="Compact"/>
              <w:jc w:val="left"/>
            </w:pPr>
            <w:r>
              <w:t xml:space="preserve">客户满意度调查、问题解决时效</w:t>
            </w:r>
          </w:p>
        </w:tc>
      </w:tr>
    </w:tbl>
    <w:p>
      <w:pPr>
        <w:pStyle w:val="BodyText"/>
      </w:pPr>
      <w:r>
        <w:t xml:space="preserve">视频跟踪仪作为问题产品，仍采用项目制运作模式，每个项目需要独立设计、开发和实施，资源复用率较低，生产效率相对低下。</w:t>
      </w:r>
    </w:p>
    <w:p>
      <w:pPr>
        <w:pStyle w:val="BodyText"/>
      </w:pPr>
      <w:r>
        <w:t xml:space="preserve">表4.4：视频跟踪仪生产链结构</w:t>
      </w:r>
    </w:p>
    <w:tbl>
      <w:tblPr>
        <w:tblStyle w:val="Table"/>
        <w:tblW w:type="pct" w:w="4934"/>
        <w:tblLook w:firstRow="1" w:lastRow="0" w:firstColumn="0" w:lastColumn="0" w:noHBand="0" w:noVBand="0" w:val="0020"/>
      </w:tblPr>
      <w:tblGrid>
        <w:gridCol w:w="576"/>
        <w:gridCol w:w="1625"/>
        <w:gridCol w:w="1049"/>
        <w:gridCol w:w="1835"/>
        <w:gridCol w:w="996"/>
        <w:gridCol w:w="1730"/>
      </w:tblGrid>
      <w:tr>
        <w:trPr>
          <w:tblHeader w:val="true"/>
        </w:trPr>
        <w:tc>
          <w:tcPr/>
          <w:p>
            <w:pPr>
              <w:pStyle w:val="Compact"/>
              <w:jc w:val="left"/>
            </w:pPr>
            <w:r>
              <w:t xml:space="preserve">生产环节</w:t>
            </w:r>
          </w:p>
        </w:tc>
        <w:tc>
          <w:tcPr/>
          <w:p>
            <w:pPr>
              <w:pStyle w:val="Compact"/>
              <w:jc w:val="left"/>
            </w:pPr>
            <w:r>
              <w:t xml:space="preserve">主要活动</w:t>
            </w:r>
          </w:p>
        </w:tc>
        <w:tc>
          <w:tcPr/>
          <w:p>
            <w:pPr>
              <w:pStyle w:val="Compact"/>
              <w:jc w:val="left"/>
            </w:pPr>
            <w:r>
              <w:t xml:space="preserve">资源投入</w:t>
            </w:r>
          </w:p>
        </w:tc>
        <w:tc>
          <w:tcPr/>
          <w:p>
            <w:pPr>
              <w:pStyle w:val="Compact"/>
              <w:jc w:val="left"/>
            </w:pPr>
            <w:r>
              <w:t xml:space="preserve">供应链特点</w:t>
            </w:r>
          </w:p>
        </w:tc>
        <w:tc>
          <w:tcPr/>
          <w:p>
            <w:pPr>
              <w:pStyle w:val="Compact"/>
              <w:jc w:val="left"/>
            </w:pPr>
            <w:r>
              <w:t xml:space="preserve">成本结构</w:t>
            </w:r>
          </w:p>
        </w:tc>
        <w:tc>
          <w:tcPr/>
          <w:p>
            <w:pPr>
              <w:pStyle w:val="Compact"/>
              <w:jc w:val="left"/>
            </w:pPr>
            <w:r>
              <w:t xml:space="preserve">质量控制</w:t>
            </w:r>
          </w:p>
        </w:tc>
      </w:tr>
      <w:tr>
        <w:tc>
          <w:tcPr/>
          <w:p>
            <w:pPr>
              <w:pStyle w:val="Compact"/>
              <w:jc w:val="left"/>
            </w:pPr>
            <w:r>
              <w:t xml:space="preserve">方案设计</w:t>
            </w:r>
          </w:p>
        </w:tc>
        <w:tc>
          <w:tcPr/>
          <w:p>
            <w:pPr>
              <w:pStyle w:val="Compact"/>
              <w:jc w:val="left"/>
            </w:pPr>
            <w:r>
              <w:t xml:space="preserve">客户需求分析、监测方案设计</w:t>
            </w:r>
          </w:p>
        </w:tc>
        <w:tc>
          <w:tcPr/>
          <w:p>
            <w:pPr>
              <w:pStyle w:val="Compact"/>
              <w:jc w:val="left"/>
            </w:pPr>
            <w:r>
              <w:t xml:space="preserve">方案工程师10-15人</w:t>
            </w:r>
          </w:p>
        </w:tc>
        <w:tc>
          <w:tcPr/>
          <w:p>
            <w:pPr>
              <w:pStyle w:val="Compact"/>
              <w:jc w:val="left"/>
            </w:pPr>
            <w:r>
              <w:t xml:space="preserve">深度定制，每个项目需独立设计</w:t>
            </w:r>
          </w:p>
        </w:tc>
        <w:tc>
          <w:tcPr/>
          <w:p>
            <w:pPr>
              <w:pStyle w:val="Compact"/>
              <w:jc w:val="left"/>
            </w:pPr>
            <w:r>
              <w:t xml:space="preserve">设计成本占15-20%</w:t>
            </w:r>
          </w:p>
        </w:tc>
        <w:tc>
          <w:tcPr/>
          <w:p>
            <w:pPr>
              <w:pStyle w:val="Compact"/>
              <w:jc w:val="left"/>
            </w:pPr>
            <w:r>
              <w:t xml:space="preserve">方案可行性评审、技术风险评估</w:t>
            </w:r>
          </w:p>
        </w:tc>
      </w:tr>
      <w:tr>
        <w:tc>
          <w:tcPr/>
          <w:p>
            <w:pPr>
              <w:pStyle w:val="Compact"/>
              <w:jc w:val="left"/>
            </w:pPr>
            <w:r>
              <w:t xml:space="preserve">设备定制</w:t>
            </w:r>
          </w:p>
        </w:tc>
        <w:tc>
          <w:tcPr/>
          <w:p>
            <w:pPr>
              <w:pStyle w:val="Compact"/>
              <w:jc w:val="left"/>
            </w:pPr>
            <w:r>
              <w:t xml:space="preserve">硬件定制开发、软件平台搭建</w:t>
            </w:r>
          </w:p>
        </w:tc>
        <w:tc>
          <w:tcPr/>
          <w:p>
            <w:pPr>
              <w:pStyle w:val="Compact"/>
              <w:jc w:val="left"/>
            </w:pPr>
            <w:r>
              <w:t xml:space="preserve">研发团队15-20人</w:t>
            </w:r>
          </w:p>
        </w:tc>
        <w:tc>
          <w:tcPr/>
          <w:p>
            <w:pPr>
              <w:pStyle w:val="Compact"/>
              <w:jc w:val="left"/>
            </w:pPr>
            <w:r>
              <w:t xml:space="preserve">项目专用开发，复用率低</w:t>
            </w:r>
          </w:p>
        </w:tc>
        <w:tc>
          <w:tcPr/>
          <w:p>
            <w:pPr>
              <w:pStyle w:val="Compact"/>
              <w:jc w:val="left"/>
            </w:pPr>
            <w:r>
              <w:t xml:space="preserve">开发成本占25-30%</w:t>
            </w:r>
          </w:p>
        </w:tc>
        <w:tc>
          <w:tcPr/>
          <w:p>
            <w:pPr>
              <w:pStyle w:val="Compact"/>
              <w:jc w:val="left"/>
            </w:pPr>
            <w:r>
              <w:t xml:space="preserve">定制功能测试、平台稳定性测试</w:t>
            </w:r>
          </w:p>
        </w:tc>
      </w:tr>
      <w:tr>
        <w:tc>
          <w:tcPr/>
          <w:p>
            <w:pPr>
              <w:pStyle w:val="Compact"/>
              <w:jc w:val="left"/>
            </w:pPr>
            <w:r>
              <w:t xml:space="preserve">工程实施</w:t>
            </w:r>
          </w:p>
        </w:tc>
        <w:tc>
          <w:tcPr/>
          <w:p>
            <w:pPr>
              <w:pStyle w:val="Compact"/>
              <w:jc w:val="left"/>
            </w:pPr>
            <w:r>
              <w:t xml:space="preserve">现场安装、调试、系统集成</w:t>
            </w:r>
          </w:p>
        </w:tc>
        <w:tc>
          <w:tcPr/>
          <w:p>
            <w:pPr>
              <w:pStyle w:val="Compact"/>
              <w:jc w:val="left"/>
            </w:pPr>
            <w:r>
              <w:t xml:space="preserve">实施工程师20-30人</w:t>
            </w:r>
          </w:p>
        </w:tc>
        <w:tc>
          <w:tcPr/>
          <w:p>
            <w:pPr>
              <w:pStyle w:val="Compact"/>
              <w:jc w:val="left"/>
            </w:pPr>
            <w:r>
              <w:t xml:space="preserve">现场工作量巨大，受环境因素影响大</w:t>
            </w:r>
          </w:p>
        </w:tc>
        <w:tc>
          <w:tcPr/>
          <w:p>
            <w:pPr>
              <w:pStyle w:val="Compact"/>
              <w:jc w:val="left"/>
            </w:pPr>
            <w:r>
              <w:t xml:space="preserve">实施成本占30-40%</w:t>
            </w:r>
          </w:p>
        </w:tc>
        <w:tc>
          <w:tcPr/>
          <w:p>
            <w:pPr>
              <w:pStyle w:val="Compact"/>
              <w:jc w:val="left"/>
            </w:pPr>
            <w:r>
              <w:t xml:space="preserve">现场安装质量检查、系统联调测试</w:t>
            </w:r>
          </w:p>
        </w:tc>
      </w:tr>
      <w:tr>
        <w:tc>
          <w:tcPr/>
          <w:p>
            <w:pPr>
              <w:pStyle w:val="Compact"/>
              <w:jc w:val="left"/>
            </w:pPr>
            <w:r>
              <w:t xml:space="preserve">运营维护</w:t>
            </w:r>
          </w:p>
        </w:tc>
        <w:tc>
          <w:tcPr/>
          <w:p>
            <w:pPr>
              <w:pStyle w:val="Compact"/>
              <w:jc w:val="left"/>
            </w:pPr>
            <w:r>
              <w:t xml:space="preserve">长期监测、数据分析、预警服务</w:t>
            </w:r>
          </w:p>
        </w:tc>
        <w:tc>
          <w:tcPr/>
          <w:p>
            <w:pPr>
              <w:pStyle w:val="Compact"/>
              <w:jc w:val="left"/>
            </w:pPr>
            <w:r>
              <w:t xml:space="preserve">运营团队10-15人</w:t>
            </w:r>
          </w:p>
        </w:tc>
        <w:tc>
          <w:tcPr/>
          <w:p>
            <w:pPr>
              <w:pStyle w:val="Compact"/>
              <w:jc w:val="left"/>
            </w:pPr>
            <w:r>
              <w:t xml:space="preserve">建立7×24小时监测中心</w:t>
            </w:r>
          </w:p>
        </w:tc>
        <w:tc>
          <w:tcPr/>
          <w:p>
            <w:pPr>
              <w:pStyle w:val="Compact"/>
              <w:jc w:val="left"/>
            </w:pPr>
            <w:r>
              <w:t xml:space="preserve">运营成本占10-15%</w:t>
            </w:r>
          </w:p>
        </w:tc>
        <w:tc>
          <w:tcPr/>
          <w:p>
            <w:pPr>
              <w:pStyle w:val="Compact"/>
              <w:jc w:val="left"/>
            </w:pPr>
            <w:r>
              <w:t xml:space="preserve">数据质量监控、预警准确性评估</w:t>
            </w:r>
          </w:p>
        </w:tc>
      </w:tr>
      <w:tr>
        <w:tc>
          <w:tcPr/>
          <w:p>
            <w:pPr>
              <w:pStyle w:val="Compact"/>
              <w:jc w:val="left"/>
            </w:pPr>
            <w:r>
              <w:t xml:space="preserve">项目交付</w:t>
            </w:r>
          </w:p>
        </w:tc>
        <w:tc>
          <w:tcPr/>
          <w:p>
            <w:pPr>
              <w:pStyle w:val="Compact"/>
              <w:jc w:val="left"/>
            </w:pPr>
            <w:r>
              <w:t xml:space="preserve">验收测试、文档交付、客户培训</w:t>
            </w:r>
          </w:p>
        </w:tc>
        <w:tc>
          <w:tcPr/>
          <w:p>
            <w:pPr>
              <w:pStyle w:val="Compact"/>
              <w:jc w:val="left"/>
            </w:pPr>
            <w:r>
              <w:t xml:space="preserve">项目管理人员5-8人</w:t>
            </w:r>
          </w:p>
        </w:tc>
        <w:tc>
          <w:tcPr/>
          <w:p>
            <w:pPr>
              <w:pStyle w:val="Compact"/>
              <w:jc w:val="left"/>
            </w:pPr>
            <w:r>
              <w:t xml:space="preserve">项目验收周期长，客户要求复杂</w:t>
            </w:r>
          </w:p>
        </w:tc>
        <w:tc>
          <w:tcPr/>
          <w:p>
            <w:pPr>
              <w:pStyle w:val="Compact"/>
              <w:jc w:val="left"/>
            </w:pPr>
            <w:r>
              <w:t xml:space="preserve">管理成本占5%</w:t>
            </w:r>
          </w:p>
        </w:tc>
        <w:tc>
          <w:tcPr/>
          <w:p>
            <w:pPr>
              <w:pStyle w:val="Compact"/>
              <w:jc w:val="left"/>
            </w:pPr>
            <w:r>
              <w:t xml:space="preserve">验收标准达成率、文档完整性</w:t>
            </w:r>
          </w:p>
        </w:tc>
      </w:tr>
    </w:tbl>
    <w:bookmarkEnd w:id="58"/>
    <w:bookmarkStart w:id="59" w:name="生产资源"/>
    <w:p>
      <w:pPr>
        <w:pStyle w:val="4"/>
      </w:pPr>
      <w:r>
        <w:t xml:space="preserve">4.2.3 生产资源</w:t>
      </w:r>
    </w:p>
    <w:p>
      <w:pPr>
        <w:pStyle w:val="FirstParagraph"/>
      </w:pPr>
      <w:r>
        <w:t xml:space="preserve">HSM的生产资源呈现明显的”二元分化”特征。标准化产品如视频引伸计和视频应变仪已建立高效的生产体系，形成规模效应；项目化产品如视频跟踪仪仍处于低效的项目制运作模式。</w:t>
      </w:r>
    </w:p>
    <w:p>
      <w:pPr>
        <w:pStyle w:val="BodyText"/>
      </w:pPr>
      <w:r>
        <w:t xml:space="preserve">表4.5：生产模式与市场表现关联矩阵</w:t>
      </w:r>
    </w:p>
    <w:tbl>
      <w:tblPr>
        <w:tblStyle w:val="Table"/>
        <w:tblW w:type="pct" w:w="4936"/>
        <w:tblLook w:firstRow="1" w:lastRow="0" w:firstColumn="0" w:lastColumn="0" w:noHBand="0" w:noVBand="0" w:val="0020"/>
      </w:tblPr>
      <w:tblGrid>
        <w:gridCol w:w="660"/>
        <w:gridCol w:w="863"/>
        <w:gridCol w:w="1370"/>
        <w:gridCol w:w="1776"/>
        <w:gridCol w:w="1573"/>
        <w:gridCol w:w="1573"/>
      </w:tblGrid>
      <w:tr>
        <w:trPr>
          <w:tblHeader w:val="true"/>
        </w:trPr>
        <w:tc>
          <w:tcPr/>
          <w:p>
            <w:pPr>
              <w:pStyle w:val="Compact"/>
              <w:jc w:val="left"/>
            </w:pPr>
            <w:r>
              <w:t xml:space="preserve">产品线</w:t>
            </w:r>
          </w:p>
        </w:tc>
        <w:tc>
          <w:tcPr/>
          <w:p>
            <w:pPr>
              <w:pStyle w:val="Compact"/>
              <w:jc w:val="left"/>
            </w:pPr>
            <w:r>
              <w:t xml:space="preserve">生产模式</w:t>
            </w:r>
          </w:p>
        </w:tc>
        <w:tc>
          <w:tcPr/>
          <w:p>
            <w:pPr>
              <w:pStyle w:val="Compact"/>
              <w:jc w:val="left"/>
            </w:pPr>
            <w:r>
              <w:t xml:space="preserve">市场表现</w:t>
            </w:r>
          </w:p>
        </w:tc>
        <w:tc>
          <w:tcPr/>
          <w:p>
            <w:pPr>
              <w:pStyle w:val="Compact"/>
              <w:jc w:val="left"/>
            </w:pPr>
            <w:r>
              <w:t xml:space="preserve">财务表现</w:t>
            </w:r>
          </w:p>
        </w:tc>
        <w:tc>
          <w:tcPr/>
          <w:p>
            <w:pPr>
              <w:pStyle w:val="Compact"/>
              <w:jc w:val="left"/>
            </w:pPr>
            <w:r>
              <w:t xml:space="preserve">资源效率</w:t>
            </w:r>
          </w:p>
        </w:tc>
        <w:tc>
          <w:tcPr/>
          <w:p>
            <w:pPr>
              <w:pStyle w:val="Compact"/>
              <w:jc w:val="left"/>
            </w:pPr>
            <w:r>
              <w:t xml:space="preserve">战略定位</w:t>
            </w:r>
          </w:p>
        </w:tc>
      </w:tr>
      <w:tr>
        <w:tc>
          <w:tcPr/>
          <w:p>
            <w:pPr>
              <w:pStyle w:val="Compact"/>
              <w:jc w:val="left"/>
            </w:pPr>
            <w:r>
              <w:t xml:space="preserve">视频引伸计</w:t>
            </w:r>
          </w:p>
        </w:tc>
        <w:tc>
          <w:tcPr/>
          <w:p>
            <w:pPr>
              <w:pStyle w:val="Compact"/>
              <w:jc w:val="left"/>
            </w:pPr>
            <w:r>
              <w:t xml:space="preserve">批量标准化生产</w:t>
            </w:r>
          </w:p>
        </w:tc>
        <w:tc>
          <w:tcPr/>
          <w:p>
            <w:pPr>
              <w:pStyle w:val="Compact"/>
              <w:jc w:val="left"/>
            </w:pPr>
            <w:r>
              <w:t xml:space="preserve">稳定增长，市场占有率提升</w:t>
            </w:r>
          </w:p>
        </w:tc>
        <w:tc>
          <w:tcPr/>
          <w:p>
            <w:pPr>
              <w:pStyle w:val="Compact"/>
              <w:jc w:val="left"/>
            </w:pPr>
            <w:r>
              <w:t xml:space="preserve">高毛利率（65-70%），现金流良好</w:t>
            </w:r>
          </w:p>
        </w:tc>
        <w:tc>
          <w:tcPr/>
          <w:p>
            <w:pPr>
              <w:pStyle w:val="Compact"/>
              <w:jc w:val="left"/>
            </w:pPr>
            <w:r>
              <w:t xml:space="preserve">资源效率高，规模效应明显</w:t>
            </w:r>
          </w:p>
        </w:tc>
        <w:tc>
          <w:tcPr/>
          <w:p>
            <w:pPr>
              <w:pStyle w:val="Compact"/>
              <w:jc w:val="left"/>
            </w:pPr>
            <w:r>
              <w:t xml:space="preserve">现金牛产品，提供稳定现金流</w:t>
            </w:r>
          </w:p>
        </w:tc>
      </w:tr>
      <w:tr>
        <w:tc>
          <w:tcPr/>
          <w:p>
            <w:pPr>
              <w:pStyle w:val="Compact"/>
              <w:jc w:val="left"/>
            </w:pPr>
            <w:r>
              <w:t xml:space="preserve">视频应变仪</w:t>
            </w:r>
          </w:p>
        </w:tc>
        <w:tc>
          <w:tcPr/>
          <w:p>
            <w:pPr>
              <w:pStyle w:val="Compact"/>
              <w:jc w:val="left"/>
            </w:pPr>
            <w:r>
              <w:t xml:space="preserve">模块化配置生产</w:t>
            </w:r>
          </w:p>
        </w:tc>
        <w:tc>
          <w:tcPr/>
          <w:p>
            <w:pPr>
              <w:pStyle w:val="Compact"/>
              <w:jc w:val="left"/>
            </w:pPr>
            <w:r>
              <w:t xml:space="preserve">快速增长，技术溢价明显</w:t>
            </w:r>
          </w:p>
        </w:tc>
        <w:tc>
          <w:tcPr/>
          <w:p>
            <w:pPr>
              <w:pStyle w:val="Compact"/>
              <w:jc w:val="left"/>
            </w:pPr>
            <w:r>
              <w:t xml:space="preserve">较高毛利率（60-65%），回款及时</w:t>
            </w:r>
          </w:p>
        </w:tc>
        <w:tc>
          <w:tcPr/>
          <w:p>
            <w:pPr>
              <w:pStyle w:val="Compact"/>
              <w:jc w:val="left"/>
            </w:pPr>
            <w:r>
              <w:t xml:space="preserve">资源效率较高，支持快速扩张</w:t>
            </w:r>
          </w:p>
        </w:tc>
        <w:tc>
          <w:tcPr/>
          <w:p>
            <w:pPr>
              <w:pStyle w:val="Compact"/>
              <w:jc w:val="left"/>
            </w:pPr>
            <w:r>
              <w:t xml:space="preserve">明星产品，支撑公司增长</w:t>
            </w:r>
          </w:p>
        </w:tc>
      </w:tr>
      <w:tr>
        <w:tc>
          <w:tcPr/>
          <w:p>
            <w:pPr>
              <w:pStyle w:val="Compact"/>
              <w:jc w:val="left"/>
            </w:pPr>
            <w:r>
              <w:t xml:space="preserve">视频跟踪仪</w:t>
            </w:r>
          </w:p>
        </w:tc>
        <w:tc>
          <w:tcPr/>
          <w:p>
            <w:pPr>
              <w:pStyle w:val="Compact"/>
              <w:jc w:val="left"/>
            </w:pPr>
            <w:r>
              <w:t xml:space="preserve">项目定制化生产</w:t>
            </w:r>
          </w:p>
        </w:tc>
        <w:tc>
          <w:tcPr/>
          <w:p>
            <w:pPr>
              <w:pStyle w:val="Compact"/>
              <w:jc w:val="left"/>
            </w:pPr>
            <w:r>
              <w:t xml:space="preserve">波动增长，项目依赖性强</w:t>
            </w:r>
          </w:p>
        </w:tc>
        <w:tc>
          <w:tcPr/>
          <w:p>
            <w:pPr>
              <w:pStyle w:val="Compact"/>
              <w:jc w:val="left"/>
            </w:pPr>
            <w:r>
              <w:t xml:space="preserve">毛利率较低（45-55%），现金流紧张</w:t>
            </w:r>
          </w:p>
        </w:tc>
        <w:tc>
          <w:tcPr/>
          <w:p>
            <w:pPr>
              <w:pStyle w:val="Compact"/>
              <w:jc w:val="left"/>
            </w:pPr>
            <w:r>
              <w:t xml:space="preserve">资源效率低，难以形成规模效应</w:t>
            </w:r>
          </w:p>
        </w:tc>
        <w:tc>
          <w:tcPr/>
          <w:p>
            <w:pPr>
              <w:pStyle w:val="Compact"/>
              <w:jc w:val="left"/>
            </w:pPr>
            <w:r>
              <w:t xml:space="preserve">问题产品，需要战略转型</w:t>
            </w:r>
          </w:p>
        </w:tc>
      </w:tr>
    </w:tbl>
    <w:p>
      <w:pPr>
        <w:pStyle w:val="BodyText"/>
      </w:pPr>
      <w:r>
        <w:t xml:space="preserve">生产瓶颈分析显示，标准化产品主要面临产能限制和核心芯片供应稳定性等瓶颈，但整体供应链管理较为成熟。项目化产品则面临多重瓶颈，包括研发瓶颈（定制开发需求过多）、工程实施瓶颈（现场工作量大）、人才瓶颈（复合型项目人才稀缺）和资金瓶颈（项目垫资压力大）。</w:t>
      </w:r>
    </w:p>
    <w:bookmarkEnd w:id="59"/>
    <w:bookmarkStart w:id="60" w:name="客户资源"/>
    <w:p>
      <w:pPr>
        <w:pStyle w:val="4"/>
      </w:pPr>
      <w:r>
        <w:t xml:space="preserve">4.2.4 客户资源</w:t>
      </w:r>
    </w:p>
    <w:p>
      <w:pPr>
        <w:pStyle w:val="FirstParagraph"/>
      </w:pPr>
      <w:r>
        <w:t xml:space="preserve">HSM建立了坚实的客户基础，累计服务超过一千家客户，形成多层次客户结构。</w:t>
      </w:r>
    </w:p>
    <w:p>
      <w:pPr>
        <w:pStyle w:val="BodyText"/>
      </w:pPr>
      <w:r>
        <w:t xml:space="preserve">高端科研客户包括清华大学、北京航空航天大学和中科院等顶尖科研院所，这些客户对测量精度要求极高，是技术创新的重要推动力量。</w:t>
      </w:r>
    </w:p>
    <w:p>
      <w:pPr>
        <w:pStyle w:val="BodyText"/>
      </w:pPr>
      <w:r>
        <w:t xml:space="preserve">工业标杆客户包括一汽集团、比亚迪、宁德时代和华为等制造业龙头企业，这些客户关注产品的稳定性、可靠性和生产效率提升，是规模化市场的重要支撑。</w:t>
      </w:r>
    </w:p>
    <w:p>
      <w:pPr>
        <w:pStyle w:val="BodyText"/>
      </w:pPr>
      <w:r>
        <w:t xml:space="preserve">政府项目客户包括交通运输部门、市政工程单位和基础设施运营商等，这些客户需求以安全监测为主，项目规模大但周期长、回款慢。</w:t>
      </w:r>
    </w:p>
    <w:p>
      <w:pPr>
        <w:pStyle w:val="BodyText"/>
      </w:pPr>
      <w:r>
        <w:t xml:space="preserve">客户分布特征显示，标准化产品如视频引伸计和视频应变仪的客户以高校科研院所和制造企业为主，决策链相对清晰，回款及时。项目化产品如视频跟踪仪的客户以政府部门和大型国企为主，决策链复杂，回款周期较长。</w:t>
      </w:r>
    </w:p>
    <w:bookmarkEnd w:id="60"/>
    <w:bookmarkStart w:id="61" w:name="人力资源"/>
    <w:p>
      <w:pPr>
        <w:pStyle w:val="4"/>
      </w:pPr>
      <w:r>
        <w:t xml:space="preserve">4.2.5 人力资源</w:t>
      </w:r>
    </w:p>
    <w:p>
      <w:pPr>
        <w:pStyle w:val="FirstParagraph"/>
      </w:pPr>
      <w:r>
        <w:t xml:space="preserve">截至2024年底，HSM员工总数为120人，人才结构呈现以下特点。</w:t>
      </w:r>
    </w:p>
    <w:p>
      <w:pPr>
        <w:pStyle w:val="BodyText"/>
      </w:pPr>
      <w:r>
        <w:t xml:space="preserve">研发团队占比40%，核心成员来自清华大学和北京航空航天大学等知名高校，具备扎实的理论基础和实践经验。团队形成了算法开发、硬件设计、软件工程和系统集成等专业分工。</w:t>
      </w:r>
    </w:p>
    <w:p>
      <w:pPr>
        <w:pStyle w:val="BodyText"/>
      </w:pPr>
      <w:r>
        <w:t xml:space="preserve">管理团队方面，创始人技术背景深厚，在DIC算法领域有十年以上研究经验。公司正在引进具有产业经验和资本运作背景的管理人才，完善管理体系。</w:t>
      </w:r>
    </w:p>
    <w:p>
      <w:pPr>
        <w:pStyle w:val="BodyText"/>
      </w:pPr>
      <w:r>
        <w:t xml:space="preserve">销售与服务团队在全国主要城市设立办事处，建立了覆盖全国的销售网络。技术服务团队具备较强的现场调试和问题解决能力。</w:t>
      </w:r>
    </w:p>
    <w:p>
      <w:pPr>
        <w:pStyle w:val="BodyText"/>
      </w:pPr>
      <w:r>
        <w:t xml:space="preserve">人才挑战方面，视频跟踪仪业务需要大量具备方案设计、工程实施和项目管理能力的复合型人才，这类人才市场稀缺，培养周期长，是制约业务发展的关键瓶颈。</w:t>
      </w:r>
    </w:p>
    <w:bookmarkEnd w:id="61"/>
    <w:bookmarkEnd w:id="62"/>
    <w:bookmarkStart w:id="65" w:name="hsm竞争战略"/>
    <w:p>
      <w:pPr>
        <w:pStyle w:val="3"/>
      </w:pPr>
      <w:r>
        <w:t xml:space="preserve">4.3 HSM竞争战略</w:t>
      </w:r>
    </w:p>
    <w:bookmarkStart w:id="63" w:name="hsm战略目标"/>
    <w:p>
      <w:pPr>
        <w:pStyle w:val="4"/>
      </w:pPr>
      <w:r>
        <w:t xml:space="preserve">4.3.1 HSM战略目标</w:t>
      </w:r>
    </w:p>
    <w:p>
      <w:pPr>
        <w:pStyle w:val="FirstParagraph"/>
      </w:pPr>
      <w:r>
        <w:t xml:space="preserve">基于内部资源能力分析和市场环境判断，HSM制定了分阶段的战略目标。</w:t>
      </w:r>
    </w:p>
    <w:p>
      <w:pPr>
        <w:pStyle w:val="BodyText"/>
      </w:pPr>
      <w:r>
        <w:t xml:space="preserve">短期目标（2026-2028年）包括多个方面。巩固标准化产品优势要求视频引伸计和视频应变仪市场占有率提升至国内前三。优化项目制业务需要将视频跟踪仪项目平均交付周期缩短30%，回款周期缩短至180天以内。技术持续创新要求第三代DIC技术性能指标达到国际先进水平，新增专利50项以上。财务健康改善则需要标准化产品营收占比提升至70%以上，整体毛利率提升至60%以上。</w:t>
      </w:r>
    </w:p>
    <w:p>
      <w:pPr>
        <w:pStyle w:val="BodyText"/>
      </w:pPr>
      <w:r>
        <w:t xml:space="preserve">中期目标（2029-2032年）：</w:t>
      </w:r>
    </w:p>
    <w:p>
      <w:pPr>
        <w:pStyle w:val="BodyText"/>
      </w:pPr>
      <w:r>
        <w:t xml:space="preserve">1.</w:t>
      </w:r>
      <w:r>
        <w:t xml:space="preserve"> </w:t>
      </w:r>
      <w:r>
        <w:t xml:space="preserve">完成视频跟踪仪产品化转型：开发标准化视频跟踪仪产品系列，项目制业务占比降至30%以下。</w:t>
      </w:r>
      <w:r>
        <w:t xml:space="preserve"> </w:t>
      </w:r>
      <w:r>
        <w:t xml:space="preserve">2. 拓展国际市场：海外市场营收占比达到20%，进入欧美主流市场。 3.</w:t>
      </w:r>
      <w:r>
        <w:t xml:space="preserve"> </w:t>
      </w:r>
      <w:r>
        <w:t xml:space="preserve">构建技术生态：建立DIC技术开发者平台，吸引第三方应用开发。 4.</w:t>
      </w:r>
      <w:r>
        <w:t xml:space="preserve"> </w:t>
      </w:r>
      <w:r>
        <w:t xml:space="preserve">资本运作规划：完成科创板上市准备，市值目标50亿元以上。</w:t>
      </w:r>
    </w:p>
    <w:p>
      <w:pPr>
        <w:pStyle w:val="BodyText"/>
      </w:pPr>
      <w:r>
        <w:t xml:space="preserve">长期目标（2033-2035年）：</w:t>
      </w:r>
    </w:p>
    <w:p>
      <w:pPr>
        <w:pStyle w:val="BodyText"/>
      </w:pPr>
      <w:r>
        <w:t xml:space="preserve">1. 成为全球视觉力学传感器领导者：在全球DIC视觉传感器市场进入前三。 2.</w:t>
      </w:r>
      <w:r>
        <w:t xml:space="preserve"> </w:t>
      </w:r>
      <w:r>
        <w:t xml:space="preserve">构建智能感知平台：融合AI、IoT、云计算等技术，打造工业智能感知生态系统。</w:t>
      </w:r>
      <w:r>
        <w:t xml:space="preserve"> </w:t>
      </w:r>
      <w:r>
        <w:t xml:space="preserve">3.</w:t>
      </w:r>
      <w:r>
        <w:t xml:space="preserve"> </w:t>
      </w:r>
      <w:r>
        <w:t xml:space="preserve">产业生态布局：通过投资并购完善产业链，形成从传感器到解决方案的完整产业生态。</w:t>
      </w:r>
      <w:r>
        <w:t xml:space="preserve"> </w:t>
      </w:r>
      <w:r>
        <w:t xml:space="preserve">4. 可持续发展：实现碳中和运营，研发绿色低碳的智能感知技术。</w:t>
      </w:r>
    </w:p>
    <w:bookmarkEnd w:id="63"/>
    <w:bookmarkStart w:id="64" w:name="基本价值链的竞争选择和实施路径"/>
    <w:p>
      <w:pPr>
        <w:pStyle w:val="4"/>
      </w:pPr>
      <w:r>
        <w:t xml:space="preserve">4.3.2 基本价值链的竞争选择和实施路径</w:t>
      </w:r>
    </w:p>
    <w:p>
      <w:pPr>
        <w:pStyle w:val="FirstParagraph"/>
      </w:pPr>
      <w:r>
        <w:t xml:space="preserve">HSM的基本价值链竞争选择围绕强化技术差异化、优化生产模式、提升资源效率展开，具体实施路径如下：</w:t>
      </w:r>
    </w:p>
    <w:p>
      <w:pPr>
        <w:pStyle w:val="BodyText"/>
      </w:pPr>
      <w:r>
        <w:t xml:space="preserve">表4.6：HSM基本价值链的竞争选择和实施路径</w:t>
      </w:r>
    </w:p>
    <w:tbl>
      <w:tblPr>
        <w:tblStyle w:val="Table"/>
        <w:tblW w:type="pct" w:w="4949"/>
        <w:tblLook w:firstRow="0" w:lastRow="0" w:firstColumn="0" w:lastColumn="0" w:noHBand="0" w:noVBand="0" w:val="0000"/>
      </w:tblPr>
      <w:tblGrid>
        <w:gridCol w:w="528"/>
        <w:gridCol w:w="1868"/>
        <w:gridCol w:w="2883"/>
        <w:gridCol w:w="2558"/>
      </w:tblGrid>
      <w:tr>
        <w:tc>
          <w:tcPr/>
          <w:p>
            <w:pPr>
              <w:pStyle w:val="Compact"/>
              <w:jc w:val="left"/>
            </w:pPr>
            <w:r>
              <w:t xml:space="preserve">价值链环节</w:t>
            </w:r>
          </w:p>
        </w:tc>
        <w:tc>
          <w:tcPr/>
          <w:p>
            <w:pPr>
              <w:pStyle w:val="Compact"/>
              <w:jc w:val="left"/>
            </w:pPr>
            <w:r>
              <w:t xml:space="preserve">核心竞争选择</w:t>
            </w:r>
          </w:p>
        </w:tc>
        <w:tc>
          <w:tcPr/>
          <w:p>
            <w:pPr>
              <w:pStyle w:val="Compact"/>
              <w:jc w:val="left"/>
            </w:pPr>
            <w:r>
              <w:t xml:space="preserve">具体实施路径</w:t>
            </w:r>
          </w:p>
        </w:tc>
        <w:tc>
          <w:tcPr/>
          <w:p>
            <w:pPr>
              <w:pStyle w:val="Compact"/>
              <w:jc w:val="left"/>
            </w:pPr>
            <w:r>
              <w:t xml:space="preserve">预期成效</w:t>
            </w:r>
          </w:p>
        </w:tc>
      </w:tr>
      <w:tr>
        <w:tc>
          <w:tcPr/>
          <w:p>
            <w:pPr>
              <w:pStyle w:val="Compact"/>
              <w:jc w:val="left"/>
            </w:pPr>
            <w:r>
              <w:t xml:space="preserve">技术开发</w:t>
            </w:r>
          </w:p>
        </w:tc>
        <w:tc>
          <w:tcPr/>
          <w:p>
            <w:pPr>
              <w:pStyle w:val="Compact"/>
              <w:jc w:val="left"/>
            </w:pPr>
            <w:r>
              <w:t xml:space="preserve">强化单目三维DIC技术优势，构建高壁垒技术体系</w:t>
            </w:r>
          </w:p>
        </w:tc>
        <w:tc>
          <w:tcPr/>
          <w:p>
            <w:pPr>
              <w:pStyle w:val="Compact"/>
              <w:jc w:val="left"/>
            </w:pPr>
            <w:r>
              <w:t xml:space="preserve">1. 持续投入第三代DIC算法研发，提升测量精度和速度2.</w:t>
            </w:r>
            <w:r>
              <w:t xml:space="preserve"> </w:t>
            </w:r>
            <w:r>
              <w:t xml:space="preserve">融合AI技术，开发智能识别和预测分析功能3.</w:t>
            </w:r>
            <w:r>
              <w:t xml:space="preserve"> </w:t>
            </w:r>
            <w:r>
              <w:t xml:space="preserve">布局边缘计算和云平台架构，支持大规模部署4.</w:t>
            </w:r>
            <w:r>
              <w:t xml:space="preserve"> </w:t>
            </w:r>
            <w:r>
              <w:t xml:space="preserve">加强专利全球化布局，防范技术模仿风险</w:t>
            </w:r>
          </w:p>
        </w:tc>
        <w:tc>
          <w:tcPr/>
          <w:p>
            <w:pPr>
              <w:pStyle w:val="Compact"/>
              <w:jc w:val="left"/>
            </w:pPr>
            <w:r>
              <w:t xml:space="preserve">技术领先优势保持3-5年，形成难以模仿的技术壁垒</w:t>
            </w:r>
          </w:p>
        </w:tc>
      </w:tr>
      <w:tr>
        <w:tc>
          <w:tcPr/>
          <w:p>
            <w:pPr>
              <w:pStyle w:val="Compact"/>
              <w:jc w:val="left"/>
            </w:pPr>
            <w:r>
              <w:t xml:space="preserve">生产运营</w:t>
            </w:r>
          </w:p>
        </w:tc>
        <w:tc>
          <w:tcPr/>
          <w:p>
            <w:pPr>
              <w:pStyle w:val="Compact"/>
              <w:jc w:val="left"/>
            </w:pPr>
            <w:r>
              <w:t xml:space="preserve">推动生产模式从项目制向产品化转型</w:t>
            </w:r>
          </w:p>
        </w:tc>
        <w:tc>
          <w:tcPr/>
          <w:p>
            <w:pPr>
              <w:pStyle w:val="Compact"/>
              <w:jc w:val="left"/>
            </w:pPr>
            <w:r>
              <w:t xml:space="preserve">1.</w:t>
            </w:r>
            <w:r>
              <w:t xml:space="preserve"> </w:t>
            </w:r>
            <w:r>
              <w:t xml:space="preserve">视频跟踪仪产品化改造：基于项目经验提炼共性需求，开发标准化产品版本2.</w:t>
            </w:r>
            <w:r>
              <w:t xml:space="preserve"> </w:t>
            </w:r>
            <w:r>
              <w:t xml:space="preserve">建立模块化生产体系：将定制功能模块化，提高资源复用率3.</w:t>
            </w:r>
            <w:r>
              <w:t xml:space="preserve"> </w:t>
            </w:r>
            <w:r>
              <w:t xml:space="preserve">优化供应链管理：建立适应不同产品线的差异化供应链体系4.</w:t>
            </w:r>
            <w:r>
              <w:t xml:space="preserve"> </w:t>
            </w:r>
            <w:r>
              <w:t xml:space="preserve">实施精益生产：降低生产成本，提升产品质量稳定性</w:t>
            </w:r>
          </w:p>
        </w:tc>
        <w:tc>
          <w:tcPr/>
          <w:p>
            <w:pPr>
              <w:pStyle w:val="Compact"/>
              <w:jc w:val="left"/>
            </w:pPr>
            <w:r>
              <w:t xml:space="preserve">视频跟踪仪毛利率提升至60%以上，回款周期缩短至120天以内</w:t>
            </w:r>
          </w:p>
        </w:tc>
      </w:tr>
      <w:tr>
        <w:tc>
          <w:tcPr/>
          <w:p>
            <w:pPr>
              <w:pStyle w:val="Compact"/>
              <w:jc w:val="left"/>
            </w:pPr>
            <w:r>
              <w:t xml:space="preserve">市场营销</w:t>
            </w:r>
          </w:p>
        </w:tc>
        <w:tc>
          <w:tcPr/>
          <w:p>
            <w:pPr>
              <w:pStyle w:val="Compact"/>
              <w:jc w:val="left"/>
            </w:pPr>
            <w:r>
              <w:t xml:space="preserve">聚焦大客户toB市场，建立专业品牌形象</w:t>
            </w:r>
          </w:p>
        </w:tc>
        <w:tc>
          <w:tcPr/>
          <w:p>
            <w:pPr>
              <w:pStyle w:val="Compact"/>
              <w:jc w:val="left"/>
            </w:pPr>
            <w:r>
              <w:t xml:space="preserve">1.</w:t>
            </w:r>
            <w:r>
              <w:t xml:space="preserve"> </w:t>
            </w:r>
            <w:r>
              <w:t xml:space="preserve">实施客户分层策略：针对科研、工业、政府不同客户提供差异化产品和服务2.</w:t>
            </w:r>
            <w:r>
              <w:t xml:space="preserve"> </w:t>
            </w:r>
            <w:r>
              <w:t xml:space="preserve">加强标杆案例建设：在重点行业建立示范应用，形成口碑效应3.</w:t>
            </w:r>
            <w:r>
              <w:t xml:space="preserve"> </w:t>
            </w:r>
            <w:r>
              <w:t xml:space="preserve">构建专业服务体系：提供从方案设计到运营维护的全周期服务4.</w:t>
            </w:r>
            <w:r>
              <w:t xml:space="preserve"> </w:t>
            </w:r>
            <w:r>
              <w:t xml:space="preserve">拓展海外渠道：通过本地合作伙伴进入国际市场</w:t>
            </w:r>
          </w:p>
        </w:tc>
        <w:tc>
          <w:tcPr/>
          <w:p>
            <w:pPr>
              <w:pStyle w:val="Compact"/>
              <w:jc w:val="left"/>
            </w:pPr>
            <w:r>
              <w:t xml:space="preserve">在DIC视觉传感器领域建立专业领导品牌，客户满意度提升至90%以上</w:t>
            </w:r>
          </w:p>
        </w:tc>
      </w:tr>
      <w:tr>
        <w:tc>
          <w:tcPr/>
          <w:p>
            <w:pPr>
              <w:pStyle w:val="Compact"/>
              <w:jc w:val="left"/>
            </w:pPr>
            <w:r>
              <w:t xml:space="preserve">客户服务</w:t>
            </w:r>
          </w:p>
        </w:tc>
        <w:tc>
          <w:tcPr/>
          <w:p>
            <w:pPr>
              <w:pStyle w:val="Compact"/>
              <w:jc w:val="left"/>
            </w:pPr>
            <w:r>
              <w:t xml:space="preserve">提供全生命周期技术支持，提升客户粘性</w:t>
            </w:r>
          </w:p>
        </w:tc>
        <w:tc>
          <w:tcPr/>
          <w:p>
            <w:pPr>
              <w:pStyle w:val="Compact"/>
              <w:jc w:val="left"/>
            </w:pPr>
            <w:r>
              <w:t xml:space="preserve">1. 建立三级技术支持体系：远程支持、现场服务、专家咨询2.</w:t>
            </w:r>
            <w:r>
              <w:t xml:space="preserve"> </w:t>
            </w:r>
            <w:r>
              <w:t xml:space="preserve">开发智能化运维平台：实现设备状态远程监控和预测性维护3.</w:t>
            </w:r>
            <w:r>
              <w:t xml:space="preserve"> </w:t>
            </w:r>
            <w:r>
              <w:t xml:space="preserve">提供定制化培训服务：针对不同客户需求提供差异化培训方案4.</w:t>
            </w:r>
            <w:r>
              <w:t xml:space="preserve"> </w:t>
            </w:r>
            <w:r>
              <w:t xml:space="preserve">建立客户成功体系：跟踪客户使用效果，确保价值实现</w:t>
            </w:r>
          </w:p>
        </w:tc>
        <w:tc>
          <w:tcPr/>
          <w:p>
            <w:pPr>
              <w:pStyle w:val="Compact"/>
              <w:jc w:val="left"/>
            </w:pPr>
            <w:r>
              <w:t xml:space="preserve">客户续约率提升至85%以上，客户生命周期价值提升30%</w:t>
            </w:r>
          </w:p>
        </w:tc>
      </w:tr>
      <w:tr>
        <w:tc>
          <w:tcPr/>
          <w:p>
            <w:pPr>
              <w:pStyle w:val="Compact"/>
              <w:jc w:val="left"/>
            </w:pPr>
            <w:r>
              <w:t xml:space="preserve">人力资源</w:t>
            </w:r>
          </w:p>
        </w:tc>
        <w:tc>
          <w:tcPr/>
          <w:p>
            <w:pPr>
              <w:pStyle w:val="Compact"/>
              <w:jc w:val="left"/>
            </w:pPr>
            <w:r>
              <w:t xml:space="preserve">培养复合型人才，支撑业务模式转型</w:t>
            </w:r>
          </w:p>
        </w:tc>
        <w:tc>
          <w:tcPr/>
          <w:p>
            <w:pPr>
              <w:pStyle w:val="Compact"/>
              <w:jc w:val="left"/>
            </w:pPr>
            <w:r>
              <w:t xml:space="preserve">1. 实施”技术+管理”双通道发展路径：为技术人员提供管理发展机会2.</w:t>
            </w:r>
            <w:r>
              <w:t xml:space="preserve"> </w:t>
            </w:r>
            <w:r>
              <w:t xml:space="preserve">建立项目人才培养体系：通过实战项目培养复合型人才3.</w:t>
            </w:r>
            <w:r>
              <w:t xml:space="preserve"> </w:t>
            </w:r>
            <w:r>
              <w:t xml:space="preserve">优化激励机制：将项目成功与个人收益挂钩，激发团队积极性4.</w:t>
            </w:r>
            <w:r>
              <w:t xml:space="preserve"> </w:t>
            </w:r>
            <w:r>
              <w:t xml:space="preserve">加强外部合作：与高校联合培养，引进行业专家</w:t>
            </w:r>
          </w:p>
        </w:tc>
        <w:tc>
          <w:tcPr/>
          <w:p>
            <w:pPr>
              <w:pStyle w:val="Compact"/>
              <w:jc w:val="left"/>
            </w:pPr>
            <w:r>
              <w:t xml:space="preserve">复合型人才占比提升至30%以上，关键人才流失率降低至10%以下</w:t>
            </w:r>
          </w:p>
        </w:tc>
      </w:tr>
      <w:tr>
        <w:tc>
          <w:tcPr/>
          <w:p>
            <w:pPr>
              <w:pStyle w:val="Compact"/>
              <w:jc w:val="left"/>
            </w:pPr>
            <w:r>
              <w:t xml:space="preserve">融资管理</w:t>
            </w:r>
          </w:p>
        </w:tc>
        <w:tc>
          <w:tcPr/>
          <w:p>
            <w:pPr>
              <w:pStyle w:val="Compact"/>
              <w:jc w:val="left"/>
            </w:pPr>
            <w:r>
              <w:t xml:space="preserve">优化资本结构，支撑战略转型投入</w:t>
            </w:r>
          </w:p>
        </w:tc>
        <w:tc>
          <w:tcPr/>
          <w:p>
            <w:pPr>
              <w:pStyle w:val="Compact"/>
              <w:jc w:val="left"/>
            </w:pPr>
            <w:r>
              <w:t xml:space="preserve">1. 分阶段融资规划：匹配业务发展阶段，合理控制融资节奏2.</w:t>
            </w:r>
            <w:r>
              <w:t xml:space="preserve"> </w:t>
            </w:r>
            <w:r>
              <w:t xml:space="preserve">资金使用专项管理：确保研发投入和市场拓展的资金需求3.</w:t>
            </w:r>
            <w:r>
              <w:t xml:space="preserve"> </w:t>
            </w:r>
            <w:r>
              <w:t xml:space="preserve">财务风险防控：建立现金流预警机制，防范项目垫资风险4.</w:t>
            </w:r>
            <w:r>
              <w:t xml:space="preserve"> </w:t>
            </w:r>
            <w:r>
              <w:t xml:space="preserve">上市规划准备：按照科创板要求规范公司治理和财务管理</w:t>
            </w:r>
          </w:p>
        </w:tc>
        <w:tc>
          <w:tcPr/>
          <w:p>
            <w:pPr>
              <w:pStyle w:val="Compact"/>
              <w:jc w:val="left"/>
            </w:pPr>
            <w:r>
              <w:t xml:space="preserve">资金使用效率提升20%，为战略转型提供稳定资金支持</w:t>
            </w:r>
          </w:p>
        </w:tc>
      </w:tr>
    </w:tbl>
    <w:bookmarkEnd w:id="64"/>
    <w:bookmarkEnd w:id="65"/>
    <w:bookmarkStart w:id="69" w:name="swot分析与战略匹配"/>
    <w:p>
      <w:pPr>
        <w:pStyle w:val="3"/>
      </w:pPr>
      <w:r>
        <w:t xml:space="preserve">4.4 SWOT分析与战略匹配</w:t>
      </w:r>
    </w:p>
    <w:p>
      <w:pPr>
        <w:pStyle w:val="FirstParagraph"/>
      </w:pPr>
      <w:r>
        <w:t xml:space="preserve">基于前文对HSM内部资源能力（4.2节）和外部环境（第三章）的系统分析，本节采用SWOT分析法对HSM的内外部条件进行综合评估。SWOT分析框架从优势（Strengths）、劣势（Weaknesses）、机遇（Opportunities）、威胁（Threats）四个维度，系统梳理HSM的战略态势，并通过SWOT矩阵匹配形成SO、WO、ST、WT四类战略组合，为第五章战略转型实施路径的制定提供系统性的分析基础。</w:t>
      </w:r>
    </w:p>
    <w:bookmarkStart w:id="66" w:name="swot分析框架"/>
    <w:p>
      <w:pPr>
        <w:pStyle w:val="4"/>
      </w:pPr>
      <w:r>
        <w:t xml:space="preserve">4.4.1 SWOT分析框架</w:t>
      </w:r>
    </w:p>
    <w:p>
      <w:pPr>
        <w:pStyle w:val="FirstParagraph"/>
      </w:pPr>
      <w:r>
        <w:t xml:space="preserve">表4.8：HSM公司SWOT分析矩阵</w:t>
      </w:r>
    </w:p>
    <w:tbl>
      <w:tblPr>
        <w:tblStyle w:val="Table"/>
        <w:tblW w:type="pct" w:w="5000"/>
        <w:tblLook w:firstRow="1" w:lastRow="0" w:firstColumn="0" w:lastColumn="0" w:noHBand="0" w:noVBand="0" w:val="0020"/>
      </w:tblPr>
      <w:tblGrid>
        <w:gridCol w:w="1584"/>
        <w:gridCol w:w="3009"/>
        <w:gridCol w:w="3326"/>
      </w:tblGrid>
      <w:tr>
        <w:trPr>
          <w:tblHeader w:val="true"/>
        </w:trPr>
        <w:tc>
          <w:tcPr/>
          <w:p>
            <w:pPr>
              <w:pStyle w:val="Compact"/>
              <w:jc w:val="left"/>
            </w:pPr>
            <w:r>
              <w:t xml:space="preserve">内部因素</w:t>
            </w:r>
          </w:p>
        </w:tc>
        <w:tc>
          <w:tcPr/>
          <w:p>
            <w:pPr>
              <w:pStyle w:val="Compact"/>
              <w:jc w:val="left"/>
            </w:pPr>
            <w:r>
              <w:t xml:space="preserve">优势（Strengths）</w:t>
            </w:r>
          </w:p>
        </w:tc>
        <w:tc>
          <w:tcPr/>
          <w:p>
            <w:pPr>
              <w:pStyle w:val="Compact"/>
              <w:jc w:val="left"/>
            </w:pPr>
            <w:r>
              <w:t xml:space="preserve">劣势（Weaknesses）</w:t>
            </w:r>
          </w:p>
        </w:tc>
      </w:tr>
      <w:tr>
        <w:tc>
          <w:tcPr/>
          <w:p>
            <w:pPr>
              <w:pStyle w:val="Compact"/>
              <w:jc w:val="left"/>
            </w:pPr>
            <w:r>
              <w:rPr>
                <w:bCs/>
                <w:b/>
              </w:rPr>
              <w:t xml:space="preserve">外部因素</w:t>
            </w:r>
          </w:p>
        </w:tc>
        <w:tc>
          <w:tcPr/>
          <w:p>
            <w:pPr>
              <w:pStyle w:val="Compact"/>
              <w:jc w:val="left"/>
            </w:pPr>
            <w:r>
              <w:rPr>
                <w:bCs/>
                <w:b/>
              </w:rPr>
              <w:t xml:space="preserve">S1</w:t>
            </w:r>
            <w:r>
              <w:t xml:space="preserve">：全球首创的单目三维DIC技术，技术壁垒高</w:t>
            </w:r>
            <w:r>
              <w:rPr>
                <w:bCs/>
                <w:b/>
              </w:rPr>
              <w:t xml:space="preserve">S2</w:t>
            </w:r>
            <w:r>
              <w:t xml:space="preserve">：完整的专利布局（累计申请专利数量居全国前列）</w:t>
            </w:r>
            <w:r>
              <w:rPr>
                <w:bCs/>
                <w:b/>
              </w:rPr>
              <w:t xml:space="preserve">S3</w:t>
            </w:r>
            <w:r>
              <w:t xml:space="preserve">：高研发投入（占营收20%以上），研发团队占比40%</w:t>
            </w:r>
            <w:r>
              <w:rPr>
                <w:bCs/>
                <w:b/>
              </w:rPr>
              <w:t xml:space="preserve">S4</w:t>
            </w:r>
            <w:r>
              <w:t xml:space="preserve">：三条互补的产品线（视频引伸计、视频应变仪、视频跟踪仪）</w:t>
            </w:r>
            <w:r>
              <w:rPr>
                <w:bCs/>
                <w:b/>
              </w:rPr>
              <w:t xml:space="preserve">S5</w:t>
            </w:r>
            <w:r>
              <w:t xml:space="preserve">：标准化产品已实现批量生产，毛利率高（65-70%）</w:t>
            </w:r>
            <w:r>
              <w:rPr>
                <w:bCs/>
                <w:b/>
              </w:rPr>
              <w:t xml:space="preserve">S6</w:t>
            </w:r>
            <w:r>
              <w:t xml:space="preserve">：坚实的客户基础（超过1000家客户），多层次客户结构</w:t>
            </w:r>
            <w:r>
              <w:rPr>
                <w:bCs/>
                <w:b/>
              </w:rPr>
              <w:t xml:space="preserve">S7</w:t>
            </w:r>
            <w:r>
              <w:t xml:space="preserve">：与顶尖科研院所和制造业龙头企业的合作关系</w:t>
            </w:r>
          </w:p>
        </w:tc>
        <w:tc>
          <w:tcPr/>
          <w:p>
            <w:pPr>
              <w:pStyle w:val="Compact"/>
              <w:jc w:val="left"/>
            </w:pPr>
            <w:r>
              <w:rPr>
                <w:bCs/>
                <w:b/>
              </w:rPr>
              <w:t xml:space="preserve">W1</w:t>
            </w:r>
            <w:r>
              <w:t xml:space="preserve">：视频跟踪仪仍采用项目制模式，资源复用率低</w:t>
            </w:r>
            <w:r>
              <w:rPr>
                <w:bCs/>
                <w:b/>
              </w:rPr>
              <w:t xml:space="preserve">W2</w:t>
            </w:r>
            <w:r>
              <w:t xml:space="preserve">：项目交付周期长（3-12个月），回款周期长（270天）</w:t>
            </w:r>
            <w:r>
              <w:rPr>
                <w:bCs/>
                <w:b/>
              </w:rPr>
              <w:t xml:space="preserve">W3</w:t>
            </w:r>
            <w:r>
              <w:t xml:space="preserve">：项目制业务占用40%资源但仅贡献30%营收和20%利润</w:t>
            </w:r>
            <w:r>
              <w:rPr>
                <w:bCs/>
                <w:b/>
              </w:rPr>
              <w:t xml:space="preserve">W4</w:t>
            </w:r>
            <w:r>
              <w:t xml:space="preserve">：复合型人才稀缺，培养周期长</w:t>
            </w:r>
            <w:r>
              <w:rPr>
                <w:bCs/>
                <w:b/>
              </w:rPr>
              <w:t xml:space="preserve">W5</w:t>
            </w:r>
            <w:r>
              <w:t xml:space="preserve">：项目制导致现金流紧张，应收账款周转天数高</w:t>
            </w:r>
            <w:r>
              <w:rPr>
                <w:bCs/>
                <w:b/>
              </w:rPr>
              <w:t xml:space="preserve">W6</w:t>
            </w:r>
            <w:r>
              <w:t xml:space="preserve">：定制开发需求多，难以形成规模效应</w:t>
            </w:r>
            <w:r>
              <w:rPr>
                <w:bCs/>
                <w:b/>
              </w:rPr>
              <w:t xml:space="preserve">W7</w:t>
            </w:r>
            <w:r>
              <w:t xml:space="preserve">：管理体系需要提升，从创业团队向规模化企业转型</w:t>
            </w:r>
          </w:p>
        </w:tc>
      </w:tr>
      <w:tr>
        <w:tc>
          <w:tcPr/>
          <w:p>
            <w:pPr>
              <w:pStyle w:val="Compact"/>
              <w:jc w:val="left"/>
            </w:pPr>
            <w:r>
              <w:rPr>
                <w:bCs/>
                <w:b/>
              </w:rPr>
              <w:t xml:space="preserve">机遇（Opportunities）</w:t>
            </w:r>
          </w:p>
        </w:tc>
        <w:tc>
          <w:tcPr/>
          <w:p>
            <w:pPr>
              <w:pStyle w:val="Compact"/>
              <w:jc w:val="left"/>
            </w:pPr>
            <w:r>
              <w:rPr>
                <w:bCs/>
                <w:b/>
              </w:rPr>
              <w:t xml:space="preserve">SO战略（优势-机遇组合）</w:t>
            </w:r>
          </w:p>
        </w:tc>
        <w:tc>
          <w:tcPr/>
          <w:p>
            <w:pPr>
              <w:pStyle w:val="Compact"/>
              <w:jc w:val="left"/>
            </w:pPr>
            <w:r>
              <w:rPr>
                <w:bCs/>
                <w:b/>
              </w:rPr>
              <w:t xml:space="preserve">WO战略（劣势-机遇组合）</w:t>
            </w:r>
          </w:p>
        </w:tc>
      </w:tr>
      <w:tr>
        <w:tc>
          <w:tcPr/>
          <w:p>
            <w:pPr>
              <w:pStyle w:val="Compact"/>
              <w:jc w:val="left"/>
            </w:pPr>
            <w:r>
              <w:rPr>
                <w:bCs/>
                <w:b/>
              </w:rPr>
              <w:t xml:space="preserve">O1</w:t>
            </w:r>
            <w:r>
              <w:t xml:space="preserve">：政策支持（中国制造2025、十四五规划、国产替代）</w:t>
            </w:r>
            <w:r>
              <w:rPr>
                <w:bCs/>
                <w:b/>
              </w:rPr>
              <w:t xml:space="preserve">O2</w:t>
            </w:r>
            <w:r>
              <w:t xml:space="preserve">：市场增长（基础设施安全监测市场从850亿元增长到1500亿元）</w:t>
            </w:r>
            <w:r>
              <w:rPr>
                <w:bCs/>
                <w:b/>
              </w:rPr>
              <w:t xml:space="preserve">O3</w:t>
            </w:r>
            <w:r>
              <w:t xml:space="preserve">：技术融合（AI、物联网、边缘计算与DIC技术融合）</w:t>
            </w:r>
            <w:r>
              <w:rPr>
                <w:bCs/>
                <w:b/>
              </w:rPr>
              <w:t xml:space="preserve">O4</w:t>
            </w:r>
            <w:r>
              <w:t xml:space="preserve">：国产替代需求（中美科技竞争下的进口替代窗口期）</w:t>
            </w:r>
            <w:r>
              <w:rPr>
                <w:bCs/>
                <w:b/>
              </w:rPr>
              <w:t xml:space="preserve">O5</w:t>
            </w:r>
            <w:r>
              <w:t xml:space="preserve">：资本机遇（硬科技投资热度高，科创板上市通道）</w:t>
            </w:r>
            <w:r>
              <w:rPr>
                <w:bCs/>
                <w:b/>
              </w:rPr>
              <w:t xml:space="preserve">O6</w:t>
            </w:r>
            <w:r>
              <w:t xml:space="preserve">：视频监测技术市场份额快速增长（15%到35%）</w:t>
            </w:r>
            <w:r>
              <w:rPr>
                <w:bCs/>
                <w:b/>
              </w:rPr>
              <w:t xml:space="preserve">O7</w:t>
            </w:r>
            <w:r>
              <w:t xml:space="preserve">：智能制造转型带来的工业检测需求</w:t>
            </w:r>
          </w:p>
        </w:tc>
        <w:tc>
          <w:tcPr/>
          <w:p>
            <w:pPr>
              <w:pStyle w:val="Compact"/>
              <w:jc w:val="left"/>
            </w:pPr>
            <w:r>
              <w:rPr>
                <w:bCs/>
                <w:b/>
              </w:rPr>
              <w:t xml:space="preserve">SO1</w:t>
            </w:r>
            <w:r>
              <w:t xml:space="preserve">：利用技术优势（S1,S3）抓住国产替代机遇（O1,O4），加速标准化产品市场渗透</w:t>
            </w:r>
            <w:r>
              <w:rPr>
                <w:bCs/>
                <w:b/>
              </w:rPr>
              <w:t xml:space="preserve">SO2</w:t>
            </w:r>
            <w:r>
              <w:t xml:space="preserve">：依托客户基础（S6）和市场增长（O2,O6），扩大标准化产品市场份额</w:t>
            </w:r>
            <w:r>
              <w:rPr>
                <w:bCs/>
                <w:b/>
              </w:rPr>
              <w:t xml:space="preserve">SO3</w:t>
            </w:r>
            <w:r>
              <w:t xml:space="preserve">：结合技术融合机遇（O3）强化产品差异化（S4），开发智能化平台产品</w:t>
            </w:r>
            <w:r>
              <w:rPr>
                <w:bCs/>
                <w:b/>
              </w:rPr>
              <w:t xml:space="preserve">SO4</w:t>
            </w:r>
            <w:r>
              <w:t xml:space="preserve">：利用资本机遇（O5）支撑技术研发（S3），巩固技术领先地位</w:t>
            </w:r>
          </w:p>
        </w:tc>
        <w:tc>
          <w:tcPr/>
          <w:p>
            <w:pPr>
              <w:pStyle w:val="Compact"/>
              <w:jc w:val="left"/>
            </w:pPr>
            <w:r>
              <w:rPr>
                <w:bCs/>
                <w:b/>
              </w:rPr>
              <w:t xml:space="preserve">WO1</w:t>
            </w:r>
            <w:r>
              <w:t xml:space="preserve">：借助政策支持（O1）和市场增长（O2），推动视频跟踪仪从项目制向产品化转型（W1,W2）</w:t>
            </w:r>
            <w:r>
              <w:rPr>
                <w:bCs/>
                <w:b/>
              </w:rPr>
              <w:t xml:space="preserve">WO2</w:t>
            </w:r>
            <w:r>
              <w:t xml:space="preserve">：利用技术融合机遇（O3）优化生产模式（W6），提升资源复用率和规模效应</w:t>
            </w:r>
            <w:r>
              <w:rPr>
                <w:bCs/>
                <w:b/>
              </w:rPr>
              <w:t xml:space="preserve">WO3</w:t>
            </w:r>
            <w:r>
              <w:t xml:space="preserve">：把握资本机遇（O5）改善现金流（W5），支撑业务模式转型</w:t>
            </w:r>
            <w:r>
              <w:rPr>
                <w:bCs/>
                <w:b/>
              </w:rPr>
              <w:t xml:space="preserve">WO4</w:t>
            </w:r>
            <w:r>
              <w:t xml:space="preserve">：通过产学研合作（O7）弥补人才短板（W4），培养复合型人才</w:t>
            </w:r>
          </w:p>
        </w:tc>
      </w:tr>
      <w:tr>
        <w:tc>
          <w:tcPr/>
          <w:p>
            <w:pPr>
              <w:pStyle w:val="Compact"/>
              <w:jc w:val="left"/>
            </w:pPr>
            <w:r>
              <w:rPr>
                <w:bCs/>
                <w:b/>
              </w:rPr>
              <w:t xml:space="preserve">威胁（Threats）</w:t>
            </w:r>
          </w:p>
        </w:tc>
        <w:tc>
          <w:tcPr/>
          <w:p>
            <w:pPr>
              <w:pStyle w:val="Compact"/>
              <w:jc w:val="left"/>
            </w:pPr>
            <w:r>
              <w:rPr>
                <w:bCs/>
                <w:b/>
              </w:rPr>
              <w:t xml:space="preserve">ST战略（优势-威胁组合）</w:t>
            </w:r>
          </w:p>
        </w:tc>
        <w:tc>
          <w:tcPr/>
          <w:p>
            <w:pPr>
              <w:pStyle w:val="Compact"/>
              <w:jc w:val="left"/>
            </w:pPr>
            <w:r>
              <w:rPr>
                <w:bCs/>
                <w:b/>
              </w:rPr>
              <w:t xml:space="preserve">WT战略（劣势-威胁组合）</w:t>
            </w:r>
          </w:p>
        </w:tc>
      </w:tr>
      <w:tr>
        <w:tc>
          <w:tcPr/>
          <w:p>
            <w:pPr>
              <w:pStyle w:val="Compact"/>
              <w:jc w:val="left"/>
            </w:pPr>
            <w:r>
              <w:rPr>
                <w:bCs/>
                <w:b/>
              </w:rPr>
              <w:t xml:space="preserve">T1</w:t>
            </w:r>
            <w:r>
              <w:t xml:space="preserve">：国际巨头加大中国市场投入，竞争加剧</w:t>
            </w:r>
            <w:r>
              <w:rPr>
                <w:bCs/>
                <w:b/>
              </w:rPr>
              <w:t xml:space="preserve">T2</w:t>
            </w:r>
            <w:r>
              <w:t xml:space="preserve">：国内新进入者增多，价格竞争</w:t>
            </w:r>
            <w:r>
              <w:rPr>
                <w:bCs/>
                <w:b/>
              </w:rPr>
              <w:t xml:space="preserve">T3</w:t>
            </w:r>
            <w:r>
              <w:t xml:space="preserve">：技术迭代快，需要持续高研发投入</w:t>
            </w:r>
            <w:r>
              <w:rPr>
                <w:bCs/>
                <w:b/>
              </w:rPr>
              <w:t xml:space="preserve">T4</w:t>
            </w:r>
            <w:r>
              <w:t xml:space="preserve">：项目制业务面临国际巨头直接竞争</w:t>
            </w:r>
            <w:r>
              <w:rPr>
                <w:bCs/>
                <w:b/>
              </w:rPr>
              <w:t xml:space="preserve">T5</w:t>
            </w:r>
            <w:r>
              <w:t xml:space="preserve">：宏观经济波动可能影响政府项目投资</w:t>
            </w:r>
            <w:r>
              <w:rPr>
                <w:bCs/>
                <w:b/>
              </w:rPr>
              <w:t xml:space="preserve">T6</w:t>
            </w:r>
            <w:r>
              <w:t xml:space="preserve">：供应链风险，特别是核心芯片供应</w:t>
            </w:r>
            <w:r>
              <w:rPr>
                <w:bCs/>
                <w:b/>
              </w:rPr>
              <w:t xml:space="preserve">T7</w:t>
            </w:r>
            <w:r>
              <w:t xml:space="preserve">：人才竞争激烈，复合型人才稀缺</w:t>
            </w:r>
          </w:p>
        </w:tc>
        <w:tc>
          <w:tcPr/>
          <w:p>
            <w:pPr>
              <w:pStyle w:val="Compact"/>
              <w:jc w:val="left"/>
            </w:pPr>
            <w:r>
              <w:rPr>
                <w:bCs/>
                <w:b/>
              </w:rPr>
              <w:t xml:space="preserve">ST1</w:t>
            </w:r>
            <w:r>
              <w:t xml:space="preserve">：发挥技术专利优势（S2）应对国际竞争（T1,T4），构建知识产权护城河</w:t>
            </w:r>
            <w:r>
              <w:rPr>
                <w:bCs/>
                <w:b/>
              </w:rPr>
              <w:t xml:space="preserve">ST2</w:t>
            </w:r>
            <w:r>
              <w:t xml:space="preserve">：利用标准化产品成本优势（S5）应对价格竞争（T2），保持市场竞争力</w:t>
            </w:r>
            <w:r>
              <w:rPr>
                <w:bCs/>
                <w:b/>
              </w:rPr>
              <w:t xml:space="preserve">ST3</w:t>
            </w:r>
            <w:r>
              <w:t xml:space="preserve">：依托研发能力（S3）应对技术迭代（T3），持续保持技术领先</w:t>
            </w:r>
            <w:r>
              <w:rPr>
                <w:bCs/>
                <w:b/>
              </w:rPr>
              <w:t xml:space="preserve">ST4</w:t>
            </w:r>
            <w:r>
              <w:t xml:space="preserve">：通过客户合作关系（S6,S7）降低供应链风险（T6），建立稳定供应体系</w:t>
            </w:r>
          </w:p>
        </w:tc>
        <w:tc>
          <w:tcPr/>
          <w:p>
            <w:pPr>
              <w:pStyle w:val="Compact"/>
              <w:jc w:val="left"/>
            </w:pPr>
            <w:r>
              <w:rPr>
                <w:bCs/>
                <w:b/>
              </w:rPr>
              <w:t xml:space="preserve">WT1</w:t>
            </w:r>
            <w:r>
              <w:t xml:space="preserve">：针对项目制劣势（W1,W2）和国际竞争威胁（T1,T4），加速产品化转型，避开直接竞争</w:t>
            </w:r>
            <w:r>
              <w:rPr>
                <w:bCs/>
                <w:b/>
              </w:rPr>
              <w:t xml:space="preserve">WT2</w:t>
            </w:r>
            <w:r>
              <w:t xml:space="preserve">：优化管理体系（W7）应对人才竞争（T7），建立人才保留和发展机制</w:t>
            </w:r>
            <w:r>
              <w:rPr>
                <w:bCs/>
                <w:b/>
              </w:rPr>
              <w:t xml:space="preserve">WT3</w:t>
            </w:r>
            <w:r>
              <w:t xml:space="preserve">：改善现金流（W5）防范宏观经济波动（T5），增强抗风险能力</w:t>
            </w:r>
            <w:r>
              <w:rPr>
                <w:bCs/>
                <w:b/>
              </w:rPr>
              <w:t xml:space="preserve">WT4</w:t>
            </w:r>
            <w:r>
              <w:t xml:space="preserve">：提升资源效率（W3,W6）应对竞争压力（T2），聚焦高价值业务领域</w:t>
            </w:r>
          </w:p>
        </w:tc>
      </w:tr>
    </w:tbl>
    <w:bookmarkEnd w:id="66"/>
    <w:bookmarkStart w:id="67" w:name="swot战略组合推导与转型方向"/>
    <w:p>
      <w:pPr>
        <w:pStyle w:val="4"/>
      </w:pPr>
      <w:r>
        <w:t xml:space="preserve">4.4.2 SWOT战略组合推导与转型方向</w:t>
      </w:r>
    </w:p>
    <w:p>
      <w:pPr>
        <w:pStyle w:val="FirstParagraph"/>
      </w:pPr>
      <w:r>
        <w:t xml:space="preserve">基于SWOT矩阵的系统匹配，本研究推导出四类战略组合，为HSM的战略转型提供明确方向。SO战略作为增长型战略，旨在利用内部优势把握外部机遇，其核心在于加速标准化产品扩张。该战略强调依托单目三维DIC技术优势和国产替代政策机遇，快速占领科研与工业市场；同时借助市场增长趋势和现有客户基础，进一步扩大视频引伸计与视频应变仪的市场份额；此外，结合人工智能与物联网技术融合趋势，开发智能化平台产品以创造新的增长点。</w:t>
      </w:r>
    </w:p>
    <w:p>
      <w:pPr>
        <w:pStyle w:val="BodyText"/>
      </w:pPr>
      <w:r>
        <w:t xml:space="preserve">WO战略作为扭转型战略，侧重于借助外部机遇克服内部劣势，核心任务是推动项目制业务转型。该战略主张借助政策支持和市场增长动力，将视频跟踪仪从项目制逐步转向标准化、模块化产品形态；利用当前资本市场的机遇改善公司现金流状况，为业务模式转型提供资金支持；并通过深化产学研合作弥补复合型人才短板，构建系统化的人才培养体系。</w:t>
      </w:r>
    </w:p>
    <w:p>
      <w:pPr>
        <w:pStyle w:val="BodyText"/>
      </w:pPr>
      <w:r>
        <w:t xml:space="preserve">ST战略属于多元化战略，通过发挥内部优势规避外部威胁，核心目标是构建可持续的竞争优势。该战略着重发挥专利布局优势以应对国际巨头竞争，构建坚实的知识产权护城河；利用标准化产品的成本优势应对日益加剧的价格竞争，保持市场竞争力；依托持续的研发投入和技术创新能力，应对快速迭代的技术环境。</w:t>
      </w:r>
    </w:p>
    <w:p>
      <w:pPr>
        <w:pStyle w:val="BodyText"/>
      </w:pPr>
      <w:r>
        <w:t xml:space="preserve">WT战略作为防御型战略，着眼于减少内部劣势并规避外部威胁，核心在于优化资源配置与风险管理。该战略要求针对项目制业务劣势和国际竞争威胁，加速业务转型进程并聚焦高价值业务领域；通过管理体系优化应对激烈的人才竞争，建立有效的人才保留与发展机制；同时改善现金流管理以防范宏观经济波动带来的潜在风险。</w:t>
      </w:r>
    </w:p>
    <w:bookmarkEnd w:id="67"/>
    <w:bookmarkStart w:id="68" w:name="战略优先级与转型聚焦"/>
    <w:p>
      <w:pPr>
        <w:pStyle w:val="4"/>
      </w:pPr>
      <w:r>
        <w:t xml:space="preserve">4.4.3 战略优先级与转型聚焦</w:t>
      </w:r>
    </w:p>
    <w:p>
      <w:pPr>
        <w:pStyle w:val="FirstParagraph"/>
      </w:pPr>
      <w:r>
        <w:t xml:space="preserve">综合SWOT分析结果，HSM的战略转型需要确立清晰的优先级序列。首要任务在于实施WO战略，推动视频跟踪仪从项目制向产品化转型，这一高优先级举措直接关系到公司最核心瓶颈的解决，即项目制困境带来的现金流压力、资源效率低下等问题，对企业的可持续发展具有决定性影响。核心增长任务则聚焦于SO战略的实施，加速标准化产品的市场扩张，通过发挥现有技术优势把握市场机遇，快速壮大现金牛和明星产品，为整体转型提供必要的资金支持和增长动力。</w:t>
      </w:r>
    </w:p>
    <w:p>
      <w:pPr>
        <w:pStyle w:val="BodyText"/>
      </w:pPr>
      <w:r>
        <w:t xml:space="preserve">能力建设属于中长期战略重点，通过ST战略构建可持续的竞争优势，依托持续的研发投入、系统的专利布局和成本结构优化，建立抵御竞争压力的长期壁垒。风险防控则需要作为持续性工作加以重视，通过WT战略优化资源配置与风险管理，完善现金流管理体系、人才培养机制和供应链稳定性，增强企业在复杂环境中的抗风险能力。</w:t>
      </w:r>
    </w:p>
    <w:p>
      <w:pPr>
        <w:pStyle w:val="BodyText"/>
      </w:pPr>
      <w:r>
        <w:t xml:space="preserve">SWOT分析的系统框架为第五章战略转型实施路径提供了逻辑基础。技术战略章节对应SO战略中的技术优势发挥，市场战略章节对应SO战略中的市场扩张，组织转型章节对应WO战略中的人才和组织优化，数字化转型章节对应ST战略中的能力建设，生态合作章节则对应WO战略中的产学研合作方向。通过SWOT矩阵的系统匹配，确保战略转型实施路径与公司内外部条件高度契合，从而提升转型的整体成功概率。</w:t>
      </w:r>
    </w:p>
    <w:p>
      <w:pPr>
        <w:pStyle w:val="BodyText"/>
      </w:pPr>
      <w:r>
        <w:t xml:space="preserve">本章小结：通过对HSM公司的系统性分析，本章揭示了硬科技企业在战略转型过程中面临的双重驱动机制。公司凭借其在单目三维DIC技术上的核心专利、完善的研发体系和多样化的产品组合，形成了坚实的技术资源基础；与此同时，视频跟踪仪项目制模式所引发的回款周期延长、资源复用率低下等问题，构成了推动转型的内在压力。研究表明，HSM的转型动因不仅源于内部运营效率的优化需求，更反映了视觉力学传感器行业从定制化解决方案向标准化产品演进的技术趋势。这种内外部因素的复杂互动为理解硬科技企业转型的独特逻辑提供了重要视角，也为后续章节探讨具体实施路径确立了关键的问题导向和分析框架。</w:t>
      </w:r>
    </w:p>
    <w:bookmarkEnd w:id="68"/>
    <w:bookmarkEnd w:id="69"/>
    <w:bookmarkEnd w:id="70"/>
    <w:bookmarkStart w:id="98" w:name="第五章-hsm转型的实施路径"/>
    <w:p>
      <w:pPr>
        <w:pStyle w:val="2"/>
      </w:pPr>
      <w:r>
        <w:t xml:space="preserve">第五章 HSM转型的实施路径</w:t>
      </w:r>
    </w:p>
    <w:p>
      <w:pPr>
        <w:pStyle w:val="FirstParagraph"/>
      </w:pPr>
      <w:r>
        <w:t xml:space="preserve">基于前文对HSM战略转型动因的深入分析，本章将系统阐述HSM转型的具体实施路径。针对三条产品线面临的不同挑战，HSM制定了差异化的转型策略：视频引伸计和视频应变仪将通过捆绑销售、供应链优化和标准化生产进一步强化竞争优势；视频跟踪仪将聚焦桥梁、隧道、边坡三大垂直领域，通过优化产业链、发展地区合作伙伴实现快速回款和资金周转率提升；同时加速柔性跟踪仪、并联跟踪仪等新产品的研发，提升行业竞争力。本章将从技术战略、市场战略、组织架构、数字化转型和生态合作五个维度详细阐述实施路径。</w:t>
      </w:r>
    </w:p>
    <w:bookmarkStart w:id="74" w:name="产品线差异化研发与创新"/>
    <w:p>
      <w:pPr>
        <w:pStyle w:val="3"/>
      </w:pPr>
      <w:r>
        <w:t xml:space="preserve">5.1产品线差异化研发与创新</w:t>
      </w:r>
    </w:p>
    <w:p>
      <w:pPr>
        <w:pStyle w:val="FirstParagraph"/>
      </w:pPr>
      <w:r>
        <w:t xml:space="preserve">HSM的技术战略聚焦于三条产品线的差异化研发需求，通过资源优化配置实现技术创新的最大化价值转化。</w:t>
      </w:r>
    </w:p>
    <w:bookmarkStart w:id="71" w:name="产品标准化生产与技术迭代"/>
    <w:p>
      <w:pPr>
        <w:pStyle w:val="4"/>
      </w:pPr>
      <w:r>
        <w:t xml:space="preserve">5.1.1产品标准化生产与技术迭代</w:t>
      </w:r>
    </w:p>
    <w:p>
      <w:pPr>
        <w:pStyle w:val="FirstParagraph"/>
      </w:pPr>
      <w:r>
        <w:t xml:space="preserve">视频引伸计和视频应变仪作为HSM的成熟产品线，已实现高度标准化生产。技术战略的重点从原始创新转向持续优化，具体体现在三个方面：一是算法精度提升，基于海量实验数据持续优化DIC算法，目标将测量精度从当前的0.01%提升至0.005%；二是硬件标准化设计，推动第四代硬件平台标准化，将核心组件从120个减少至80个，降低供应链复杂度；三是智能化升级，集成AI辅助分析功能，实现异常数据自动识别与预警。</w:t>
      </w:r>
    </w:p>
    <w:p>
      <w:pPr>
        <w:pStyle w:val="BodyText"/>
      </w:pPr>
      <w:r>
        <w:t xml:space="preserve">表5.1：视频引伸计与视频应变仪技术迭代路线图</w:t>
      </w:r>
    </w:p>
    <w:tbl>
      <w:tblPr>
        <w:tblStyle w:val="Table"/>
        <w:tblW w:type="pct" w:w="4872"/>
        <w:tblLook w:firstRow="1" w:lastRow="0" w:firstColumn="0" w:lastColumn="0" w:noHBand="0" w:noVBand="0" w:val="0020"/>
      </w:tblPr>
      <w:tblGrid>
        <w:gridCol w:w="1320"/>
        <w:gridCol w:w="1218"/>
        <w:gridCol w:w="1320"/>
        <w:gridCol w:w="1320"/>
        <w:gridCol w:w="2538"/>
      </w:tblGrid>
      <w:tr>
        <w:trPr>
          <w:tblHeader w:val="true"/>
        </w:trPr>
        <w:tc>
          <w:tcPr/>
          <w:p>
            <w:pPr>
              <w:pStyle w:val="Compact"/>
              <w:jc w:val="left"/>
            </w:pPr>
            <w:r>
              <w:t xml:space="preserve">技术方向</w:t>
            </w:r>
          </w:p>
        </w:tc>
        <w:tc>
          <w:tcPr/>
          <w:p>
            <w:pPr>
              <w:pStyle w:val="Compact"/>
              <w:jc w:val="left"/>
            </w:pPr>
            <w:r>
              <w:t xml:space="preserve">当前状态</w:t>
            </w:r>
          </w:p>
        </w:tc>
        <w:tc>
          <w:tcPr/>
          <w:p>
            <w:pPr>
              <w:pStyle w:val="Compact"/>
              <w:jc w:val="left"/>
            </w:pPr>
            <w:r>
              <w:t xml:space="preserve">2026年目标</w:t>
            </w:r>
          </w:p>
        </w:tc>
        <w:tc>
          <w:tcPr/>
          <w:p>
            <w:pPr>
              <w:pStyle w:val="Compact"/>
              <w:jc w:val="left"/>
            </w:pPr>
            <w:r>
              <w:t xml:space="preserve">2027年目标</w:t>
            </w:r>
          </w:p>
        </w:tc>
        <w:tc>
          <w:tcPr/>
          <w:p>
            <w:pPr>
              <w:pStyle w:val="Compact"/>
              <w:jc w:val="left"/>
            </w:pPr>
            <w:r>
              <w:t xml:space="preserve">关键举措</w:t>
            </w:r>
          </w:p>
        </w:tc>
      </w:tr>
      <w:tr>
        <w:tc>
          <w:tcPr/>
          <w:p>
            <w:pPr>
              <w:pStyle w:val="Compact"/>
              <w:jc w:val="left"/>
            </w:pPr>
            <w:r>
              <w:t xml:space="preserve">测量精度</w:t>
            </w:r>
          </w:p>
        </w:tc>
        <w:tc>
          <w:tcPr/>
          <w:p>
            <w:pPr>
              <w:pStyle w:val="Compact"/>
              <w:jc w:val="left"/>
            </w:pPr>
            <w:r>
              <w:t xml:space="preserve">0.01%应变</w:t>
            </w:r>
          </w:p>
        </w:tc>
        <w:tc>
          <w:tcPr/>
          <w:p>
            <w:pPr>
              <w:pStyle w:val="Compact"/>
              <w:jc w:val="left"/>
            </w:pPr>
            <w:r>
              <w:t xml:space="preserve">0.008%应变</w:t>
            </w:r>
          </w:p>
        </w:tc>
        <w:tc>
          <w:tcPr/>
          <w:p>
            <w:pPr>
              <w:pStyle w:val="Compact"/>
              <w:jc w:val="left"/>
            </w:pPr>
            <w:r>
              <w:t xml:space="preserve">0.005%应变</w:t>
            </w:r>
          </w:p>
        </w:tc>
        <w:tc>
          <w:tcPr/>
          <w:p>
            <w:pPr>
              <w:pStyle w:val="Compact"/>
              <w:jc w:val="left"/>
            </w:pPr>
            <w:r>
              <w:t xml:space="preserve">算法优化、标定技术改进</w:t>
            </w:r>
          </w:p>
        </w:tc>
      </w:tr>
      <w:tr>
        <w:tc>
          <w:tcPr/>
          <w:p>
            <w:pPr>
              <w:pStyle w:val="Compact"/>
              <w:jc w:val="left"/>
            </w:pPr>
            <w:r>
              <w:t xml:space="preserve">处理速度</w:t>
            </w:r>
          </w:p>
        </w:tc>
        <w:tc>
          <w:tcPr/>
          <w:p>
            <w:pPr>
              <w:pStyle w:val="Compact"/>
              <w:jc w:val="left"/>
            </w:pPr>
            <w:r>
              <w:t xml:space="preserve">30帧/秒</w:t>
            </w:r>
          </w:p>
        </w:tc>
        <w:tc>
          <w:tcPr/>
          <w:p>
            <w:pPr>
              <w:pStyle w:val="Compact"/>
              <w:jc w:val="left"/>
            </w:pPr>
            <w:r>
              <w:t xml:space="preserve">50帧/秒</w:t>
            </w:r>
          </w:p>
        </w:tc>
        <w:tc>
          <w:tcPr/>
          <w:p>
            <w:pPr>
              <w:pStyle w:val="Compact"/>
              <w:jc w:val="left"/>
            </w:pPr>
            <w:r>
              <w:t xml:space="preserve">100帧/秒</w:t>
            </w:r>
          </w:p>
        </w:tc>
        <w:tc>
          <w:tcPr/>
          <w:p>
            <w:pPr>
              <w:pStyle w:val="Compact"/>
              <w:jc w:val="left"/>
            </w:pPr>
            <w:r>
              <w:t xml:space="preserve">GPU加速算法、硬件升级</w:t>
            </w:r>
          </w:p>
        </w:tc>
      </w:tr>
      <w:tr>
        <w:tc>
          <w:tcPr/>
          <w:p>
            <w:pPr>
              <w:pStyle w:val="Compact"/>
              <w:jc w:val="left"/>
            </w:pPr>
            <w:r>
              <w:t xml:space="preserve">环境适应性</w:t>
            </w:r>
          </w:p>
        </w:tc>
        <w:tc>
          <w:tcPr/>
          <w:p>
            <w:pPr>
              <w:pStyle w:val="Compact"/>
              <w:jc w:val="left"/>
            </w:pPr>
            <w:r>
              <w:t xml:space="preserve">-10℃~50℃</w:t>
            </w:r>
          </w:p>
        </w:tc>
        <w:tc>
          <w:tcPr/>
          <w:p>
            <w:pPr>
              <w:pStyle w:val="Compact"/>
              <w:jc w:val="left"/>
            </w:pPr>
            <w:r>
              <w:t xml:space="preserve">-20℃~60℃</w:t>
            </w:r>
          </w:p>
        </w:tc>
        <w:tc>
          <w:tcPr/>
          <w:p>
            <w:pPr>
              <w:pStyle w:val="Compact"/>
              <w:jc w:val="left"/>
            </w:pPr>
            <w:r>
              <w:t xml:space="preserve">-30℃~70℃</w:t>
            </w:r>
          </w:p>
        </w:tc>
        <w:tc>
          <w:tcPr/>
          <w:p>
            <w:pPr>
              <w:pStyle w:val="Compact"/>
              <w:jc w:val="left"/>
            </w:pPr>
            <w:r>
              <w:t xml:space="preserve">工业级元器件、防护设计</w:t>
            </w:r>
          </w:p>
        </w:tc>
      </w:tr>
      <w:tr>
        <w:tc>
          <w:tcPr/>
          <w:p>
            <w:pPr>
              <w:pStyle w:val="Compact"/>
              <w:jc w:val="left"/>
            </w:pPr>
            <w:r>
              <w:t xml:space="preserve">智能化程度</w:t>
            </w:r>
          </w:p>
        </w:tc>
        <w:tc>
          <w:tcPr/>
          <w:p>
            <w:pPr>
              <w:pStyle w:val="Compact"/>
              <w:jc w:val="left"/>
            </w:pPr>
            <w:r>
              <w:t xml:space="preserve">基础分析</w:t>
            </w:r>
          </w:p>
        </w:tc>
        <w:tc>
          <w:tcPr/>
          <w:p>
            <w:pPr>
              <w:pStyle w:val="Compact"/>
              <w:jc w:val="left"/>
            </w:pPr>
            <w:r>
              <w:t xml:space="preserve">AI辅助分析</w:t>
            </w:r>
          </w:p>
        </w:tc>
        <w:tc>
          <w:tcPr/>
          <w:p>
            <w:pPr>
              <w:pStyle w:val="Compact"/>
              <w:jc w:val="left"/>
            </w:pPr>
            <w:r>
              <w:t xml:space="preserve">全自动分析</w:t>
            </w:r>
          </w:p>
        </w:tc>
        <w:tc>
          <w:tcPr/>
          <w:p>
            <w:pPr>
              <w:pStyle w:val="Compact"/>
              <w:jc w:val="left"/>
            </w:pPr>
            <w:r>
              <w:t xml:space="preserve">AI算法集成、大数据训练</w:t>
            </w:r>
          </w:p>
        </w:tc>
      </w:tr>
      <w:tr>
        <w:tc>
          <w:tcPr/>
          <w:p>
            <w:pPr>
              <w:pStyle w:val="Compact"/>
              <w:jc w:val="left"/>
            </w:pPr>
            <w:r>
              <w:t xml:space="preserve">标准化程度</w:t>
            </w:r>
          </w:p>
        </w:tc>
        <w:tc>
          <w:tcPr/>
          <w:p>
            <w:pPr>
              <w:pStyle w:val="Compact"/>
              <w:jc w:val="left"/>
            </w:pPr>
            <w:r>
              <w:t xml:space="preserve">85%</w:t>
            </w:r>
          </w:p>
        </w:tc>
        <w:tc>
          <w:tcPr/>
          <w:p>
            <w:pPr>
              <w:pStyle w:val="Compact"/>
              <w:jc w:val="left"/>
            </w:pPr>
            <w:r>
              <w:t xml:space="preserve">90%</w:t>
            </w:r>
          </w:p>
        </w:tc>
        <w:tc>
          <w:tcPr/>
          <w:p>
            <w:pPr>
              <w:pStyle w:val="Compact"/>
              <w:jc w:val="left"/>
            </w:pPr>
            <w:r>
              <w:t xml:space="preserve">95%</w:t>
            </w:r>
          </w:p>
        </w:tc>
        <w:tc>
          <w:tcPr/>
          <w:p>
            <w:pPr>
              <w:pStyle w:val="Compact"/>
              <w:jc w:val="left"/>
            </w:pPr>
            <w:r>
              <w:t xml:space="preserve">模块化设计、接口统一</w:t>
            </w:r>
          </w:p>
        </w:tc>
      </w:tr>
    </w:tbl>
    <w:bookmarkEnd w:id="71"/>
    <w:bookmarkStart w:id="72" w:name="垂直领域技术聚焦与新产品研发"/>
    <w:p>
      <w:pPr>
        <w:pStyle w:val="4"/>
      </w:pPr>
      <w:r>
        <w:t xml:space="preserve">5.1.2垂直领域技术聚焦与新产品研发</w:t>
      </w:r>
    </w:p>
    <w:p>
      <w:pPr>
        <w:pStyle w:val="FirstParagraph"/>
      </w:pPr>
      <w:r>
        <w:t xml:space="preserve">视频跟踪仪的技术战略从广泛定制转向垂直领域深度聚焦，具体体现在四个方向：一是桥梁监测专项技术，开发大跨径桥梁动态变形监测算法，适应风荷载、温度变化等复杂环境；二是隧道收敛监测技术，针对隧道施工与运营期收敛变形监测需求，开发多相机同步测量系统；三是边坡稳定性监测，结合地质雷达数据，开发边坡表面位移与内部变形关联分析模型；四是新产品研发，启动柔性跟踪仪和并联跟踪仪的研发，前者适用于柔性结构监测，后者实现多点同步测量。</w:t>
      </w:r>
    </w:p>
    <w:bookmarkEnd w:id="72"/>
    <w:bookmarkStart w:id="73" w:name="下一代产品布局"/>
    <w:p>
      <w:pPr>
        <w:pStyle w:val="4"/>
      </w:pPr>
      <w:r>
        <w:t xml:space="preserve">5.1.3下一代产品布局</w:t>
      </w:r>
    </w:p>
    <w:p>
      <w:pPr>
        <w:pStyle w:val="FirstParagraph"/>
      </w:pPr>
      <w:r>
        <w:t xml:space="preserve">为保持技术领先优势，HSM启动下一代产品研发，主要包括两个方向：柔性跟踪仪采用柔性传感器阵列，适用于复合材料、生物组织等柔性结构的全场应变测量；并联跟踪仪通过多相机并联架构，实现大型结构的多区域同步监测，测量范围扩大至传统产品的3-5倍。</w:t>
      </w:r>
    </w:p>
    <w:bookmarkEnd w:id="73"/>
    <w:bookmarkEnd w:id="74"/>
    <w:bookmarkStart w:id="78" w:name="市场销售模式重构与市场聚焦"/>
    <w:p>
      <w:pPr>
        <w:pStyle w:val="3"/>
      </w:pPr>
      <w:r>
        <w:t xml:space="preserve">5.2 市场销售模式重构与市场聚焦</w:t>
      </w:r>
    </w:p>
    <w:p>
      <w:pPr>
        <w:pStyle w:val="FirstParagraph"/>
      </w:pPr>
      <w:r>
        <w:t xml:space="preserve">HSM的市场战略以产品线特性为基础，构建差异化的销售模式和市场拓展路径。</w:t>
      </w:r>
    </w:p>
    <w:bookmarkStart w:id="75" w:name="捆绑销售模式与渠道合作"/>
    <w:p>
      <w:pPr>
        <w:pStyle w:val="4"/>
      </w:pPr>
      <w:r>
        <w:t xml:space="preserve">5.2.1捆绑销售模式与渠道合作</w:t>
      </w:r>
    </w:p>
    <w:p>
      <w:pPr>
        <w:pStyle w:val="FirstParagraph"/>
      </w:pPr>
      <w:r>
        <w:t xml:space="preserve">针对视频引伸计和视频应变仪的高标准化特性，HSM推行捆绑销售模式，主要包括三个方面：一是与试验机厂家开展战略合作，将HSM产品作为试验机标准配置，通过厂家渠道触达终端客户；二是建立渠道利润共享机制，通过阶梯式返点激励合作伙伴推广HSM产品；三是开展联合品牌推广，与合作伙伴联合举办技术研讨会和行业展会，共同提升品牌影响力。</w:t>
      </w:r>
    </w:p>
    <w:p>
      <w:pPr>
        <w:pStyle w:val="BodyText"/>
      </w:pPr>
      <w:r>
        <w:t xml:space="preserve">表5.2：视频引伸计/应变仪捆绑销售合作厂家列表</w:t>
      </w:r>
    </w:p>
    <w:tbl>
      <w:tblPr>
        <w:tblStyle w:val="Table"/>
        <w:tblW w:type="pct" w:w="4907"/>
        <w:tblLook w:firstRow="0" w:lastRow="0" w:firstColumn="0" w:lastColumn="0" w:noHBand="0" w:noVBand="0" w:val="0000"/>
      </w:tblPr>
      <w:tblGrid>
        <w:gridCol w:w="1628"/>
        <w:gridCol w:w="814"/>
        <w:gridCol w:w="1110"/>
        <w:gridCol w:w="962"/>
        <w:gridCol w:w="1110"/>
        <w:gridCol w:w="2146"/>
      </w:tblGrid>
      <w:tr>
        <w:tc>
          <w:tcPr/>
          <w:p>
            <w:pPr>
              <w:pStyle w:val="Compact"/>
              <w:jc w:val="left"/>
            </w:pPr>
            <w:r>
              <w:t xml:space="preserve">合作厂家</w:t>
            </w:r>
          </w:p>
        </w:tc>
        <w:tc>
          <w:tcPr/>
          <w:p>
            <w:pPr>
              <w:pStyle w:val="Compact"/>
              <w:jc w:val="left"/>
            </w:pPr>
            <w:r>
              <w:t xml:space="preserve">所在地区</w:t>
            </w:r>
          </w:p>
        </w:tc>
        <w:tc>
          <w:tcPr/>
          <w:p>
            <w:pPr>
              <w:pStyle w:val="Compact"/>
              <w:jc w:val="left"/>
            </w:pPr>
            <w:r>
              <w:t xml:space="preserve">合作模式</w:t>
            </w:r>
          </w:p>
        </w:tc>
        <w:tc>
          <w:tcPr/>
          <w:p>
            <w:pPr>
              <w:pStyle w:val="Compact"/>
              <w:jc w:val="left"/>
            </w:pPr>
            <w:r>
              <w:t xml:space="preserve">年预期销量</w:t>
            </w:r>
          </w:p>
        </w:tc>
        <w:tc>
          <w:tcPr/>
          <w:p>
            <w:pPr>
              <w:pStyle w:val="Compact"/>
              <w:jc w:val="left"/>
            </w:pPr>
            <w:r>
              <w:t xml:space="preserve">合作启动时间</w:t>
            </w:r>
          </w:p>
        </w:tc>
        <w:tc>
          <w:tcPr/>
          <w:p>
            <w:pPr>
              <w:pStyle w:val="Compact"/>
              <w:jc w:val="left"/>
            </w:pPr>
            <w:r>
              <w:t xml:space="preserve">战略意义</w:t>
            </w:r>
          </w:p>
        </w:tc>
      </w:tr>
      <w:tr>
        <w:tc>
          <w:tcPr/>
          <w:p>
            <w:pPr>
              <w:pStyle w:val="Compact"/>
              <w:jc w:val="left"/>
            </w:pPr>
            <w:r>
              <w:t xml:space="preserve">国内试验机龙头企业A</w:t>
            </w:r>
          </w:p>
        </w:tc>
        <w:tc>
          <w:tcPr/>
          <w:p>
            <w:pPr>
              <w:pStyle w:val="Compact"/>
              <w:jc w:val="left"/>
            </w:pPr>
            <w:r>
              <w:t xml:space="preserve">北京</w:t>
            </w:r>
          </w:p>
        </w:tc>
        <w:tc>
          <w:tcPr/>
          <w:p>
            <w:pPr>
              <w:pStyle w:val="Compact"/>
              <w:jc w:val="left"/>
            </w:pPr>
            <w:r>
              <w:t xml:space="preserve">独家捆绑合作</w:t>
            </w:r>
          </w:p>
        </w:tc>
        <w:tc>
          <w:tcPr/>
          <w:p>
            <w:pPr>
              <w:pStyle w:val="Compact"/>
              <w:jc w:val="left"/>
            </w:pPr>
            <w:r>
              <w:t xml:space="preserve">300台</w:t>
            </w:r>
          </w:p>
        </w:tc>
        <w:tc>
          <w:tcPr/>
          <w:p>
            <w:pPr>
              <w:pStyle w:val="Compact"/>
              <w:jc w:val="left"/>
            </w:pPr>
            <w:r>
              <w:t xml:space="preserve">2026Q2</w:t>
            </w:r>
          </w:p>
        </w:tc>
        <w:tc>
          <w:tcPr/>
          <w:p>
            <w:pPr>
              <w:pStyle w:val="Compact"/>
              <w:jc w:val="left"/>
            </w:pPr>
            <w:r>
              <w:t xml:space="preserve">覆盖华北市场，树立标杆案例</w:t>
            </w:r>
          </w:p>
        </w:tc>
      </w:tr>
      <w:tr>
        <w:tc>
          <w:tcPr/>
          <w:p>
            <w:pPr>
              <w:pStyle w:val="Compact"/>
              <w:jc w:val="left"/>
            </w:pPr>
            <w:r>
              <w:t xml:space="preserve">国际试验机品牌B</w:t>
            </w:r>
          </w:p>
        </w:tc>
        <w:tc>
          <w:tcPr/>
          <w:p>
            <w:pPr>
              <w:pStyle w:val="Compact"/>
              <w:jc w:val="left"/>
            </w:pPr>
            <w:r>
              <w:t xml:space="preserve">上海</w:t>
            </w:r>
          </w:p>
        </w:tc>
        <w:tc>
          <w:tcPr/>
          <w:p>
            <w:pPr>
              <w:pStyle w:val="Compact"/>
              <w:jc w:val="left"/>
            </w:pPr>
            <w:r>
              <w:t xml:space="preserve">区域代理合作</w:t>
            </w:r>
          </w:p>
        </w:tc>
        <w:tc>
          <w:tcPr/>
          <w:p>
            <w:pPr>
              <w:pStyle w:val="Compact"/>
              <w:jc w:val="left"/>
            </w:pPr>
            <w:r>
              <w:t xml:space="preserve">200台</w:t>
            </w:r>
          </w:p>
        </w:tc>
        <w:tc>
          <w:tcPr/>
          <w:p>
            <w:pPr>
              <w:pStyle w:val="Compact"/>
              <w:jc w:val="left"/>
            </w:pPr>
            <w:r>
              <w:t xml:space="preserve">2026Q3</w:t>
            </w:r>
          </w:p>
        </w:tc>
        <w:tc>
          <w:tcPr/>
          <w:p>
            <w:pPr>
              <w:pStyle w:val="Compact"/>
              <w:jc w:val="left"/>
            </w:pPr>
            <w:r>
              <w:t xml:space="preserve">提升国际品牌影响力</w:t>
            </w:r>
          </w:p>
        </w:tc>
      </w:tr>
      <w:tr>
        <w:tc>
          <w:tcPr/>
          <w:p>
            <w:pPr>
              <w:pStyle w:val="Compact"/>
              <w:jc w:val="left"/>
            </w:pPr>
            <w:r>
              <w:t xml:space="preserve">专业检测设备公司C</w:t>
            </w:r>
          </w:p>
        </w:tc>
        <w:tc>
          <w:tcPr/>
          <w:p>
            <w:pPr>
              <w:pStyle w:val="Compact"/>
              <w:jc w:val="left"/>
            </w:pPr>
            <w:r>
              <w:t xml:space="preserve">广州</w:t>
            </w:r>
          </w:p>
        </w:tc>
        <w:tc>
          <w:tcPr/>
          <w:p>
            <w:pPr>
              <w:pStyle w:val="Compact"/>
              <w:jc w:val="left"/>
            </w:pPr>
            <w:r>
              <w:t xml:space="preserve">OEM合作</w:t>
            </w:r>
          </w:p>
        </w:tc>
        <w:tc>
          <w:tcPr/>
          <w:p>
            <w:pPr>
              <w:pStyle w:val="Compact"/>
              <w:jc w:val="left"/>
            </w:pPr>
            <w:r>
              <w:t xml:space="preserve">150台</w:t>
            </w:r>
          </w:p>
        </w:tc>
        <w:tc>
          <w:tcPr/>
          <w:p>
            <w:pPr>
              <w:pStyle w:val="Compact"/>
              <w:jc w:val="left"/>
            </w:pPr>
            <w:r>
              <w:t xml:space="preserve">2026Q4</w:t>
            </w:r>
          </w:p>
        </w:tc>
        <w:tc>
          <w:tcPr/>
          <w:p>
            <w:pPr>
              <w:pStyle w:val="Compact"/>
              <w:jc w:val="left"/>
            </w:pPr>
            <w:r>
              <w:t xml:space="preserve">拓展华南市场，快速增量</w:t>
            </w:r>
          </w:p>
        </w:tc>
      </w:tr>
      <w:tr>
        <w:tc>
          <w:tcPr/>
          <w:p>
            <w:pPr>
              <w:pStyle w:val="Compact"/>
              <w:jc w:val="left"/>
            </w:pPr>
            <w:r>
              <w:t xml:space="preserve">科研仪器集团D</w:t>
            </w:r>
          </w:p>
        </w:tc>
        <w:tc>
          <w:tcPr/>
          <w:p>
            <w:pPr>
              <w:pStyle w:val="Compact"/>
              <w:jc w:val="left"/>
            </w:pPr>
            <w:r>
              <w:t xml:space="preserve">武汉</w:t>
            </w:r>
          </w:p>
        </w:tc>
        <w:tc>
          <w:tcPr/>
          <w:p>
            <w:pPr>
              <w:pStyle w:val="Compact"/>
              <w:jc w:val="left"/>
            </w:pPr>
            <w:r>
              <w:t xml:space="preserve">分销合作</w:t>
            </w:r>
          </w:p>
        </w:tc>
        <w:tc>
          <w:tcPr/>
          <w:p>
            <w:pPr>
              <w:pStyle w:val="Compact"/>
              <w:jc w:val="left"/>
            </w:pPr>
            <w:r>
              <w:t xml:space="preserve">100台</w:t>
            </w:r>
          </w:p>
        </w:tc>
        <w:tc>
          <w:tcPr/>
          <w:p>
            <w:pPr>
              <w:pStyle w:val="Compact"/>
              <w:jc w:val="left"/>
            </w:pPr>
            <w:r>
              <w:t xml:space="preserve">2027Q1</w:t>
            </w:r>
          </w:p>
        </w:tc>
        <w:tc>
          <w:tcPr/>
          <w:p>
            <w:pPr>
              <w:pStyle w:val="Compact"/>
              <w:jc w:val="left"/>
            </w:pPr>
            <w:r>
              <w:t xml:space="preserve">覆盖高校科研市场</w:t>
            </w:r>
          </w:p>
        </w:tc>
      </w:tr>
      <w:tr>
        <w:tc>
          <w:tcPr/>
          <w:p>
            <w:pPr>
              <w:pStyle w:val="Compact"/>
              <w:jc w:val="left"/>
            </w:pPr>
            <w:r>
              <w:t xml:space="preserve">工业检测方案商E</w:t>
            </w:r>
          </w:p>
        </w:tc>
        <w:tc>
          <w:tcPr/>
          <w:p>
            <w:pPr>
              <w:pStyle w:val="Compact"/>
              <w:jc w:val="left"/>
            </w:pPr>
            <w:r>
              <w:t xml:space="preserve">成都</w:t>
            </w:r>
          </w:p>
        </w:tc>
        <w:tc>
          <w:tcPr/>
          <w:p>
            <w:pPr>
              <w:pStyle w:val="Compact"/>
              <w:jc w:val="left"/>
            </w:pPr>
            <w:r>
              <w:t xml:space="preserve">项目合作</w:t>
            </w:r>
          </w:p>
        </w:tc>
        <w:tc>
          <w:tcPr/>
          <w:p>
            <w:pPr>
              <w:pStyle w:val="Compact"/>
              <w:jc w:val="left"/>
            </w:pPr>
            <w:r>
              <w:t xml:space="preserve">80台</w:t>
            </w:r>
          </w:p>
        </w:tc>
        <w:tc>
          <w:tcPr/>
          <w:p>
            <w:pPr>
              <w:pStyle w:val="Compact"/>
              <w:jc w:val="left"/>
            </w:pPr>
            <w:r>
              <w:t xml:space="preserve">2027Q2</w:t>
            </w:r>
          </w:p>
        </w:tc>
        <w:tc>
          <w:tcPr/>
          <w:p>
            <w:pPr>
              <w:pStyle w:val="Compact"/>
              <w:jc w:val="left"/>
            </w:pPr>
            <w:r>
              <w:t xml:space="preserve">拓展西南工业市场</w:t>
            </w:r>
          </w:p>
        </w:tc>
      </w:tr>
    </w:tbl>
    <w:bookmarkEnd w:id="75"/>
    <w:bookmarkStart w:id="76" w:name="垂直行业聚焦与地区合作伙伴体系"/>
    <w:p>
      <w:pPr>
        <w:pStyle w:val="4"/>
      </w:pPr>
      <w:r>
        <w:t xml:space="preserve">5.2.2垂直行业聚焦与地区合作伙伴体系</w:t>
      </w:r>
    </w:p>
    <w:p>
      <w:pPr>
        <w:pStyle w:val="FirstParagraph"/>
      </w:pPr>
      <w:r>
        <w:t xml:space="preserve">视频跟踪仪的市场战略从全面铺开转向垂直深耕，具体策略包括三个方面：一是聚焦桥梁、隧道、边坡监测三大垂直领域，在每个领域建立专业解决方案团队；二是在每个重点区域发展2-3家类似”亿维”的整包项目合作伙伴；三是优化快速回款机制，通过合同条款优化将回款周期从270天缩短至120天以内。</w:t>
      </w:r>
    </w:p>
    <w:p>
      <w:pPr>
        <w:pStyle w:val="BodyText"/>
      </w:pPr>
      <w:r>
        <w:t xml:space="preserve">表5.3：视频跟踪仪垂直领域市场聚焦策略</w:t>
      </w:r>
    </w:p>
    <w:tbl>
      <w:tblPr>
        <w:tblStyle w:val="Table"/>
        <w:tblW w:type="pct" w:w="4907"/>
        <w:tblLook w:firstRow="1" w:lastRow="0" w:firstColumn="0" w:lastColumn="0" w:noHBand="0" w:noVBand="0" w:val="0020"/>
      </w:tblPr>
      <w:tblGrid>
        <w:gridCol w:w="814"/>
        <w:gridCol w:w="1554"/>
        <w:gridCol w:w="1702"/>
        <w:gridCol w:w="1628"/>
        <w:gridCol w:w="962"/>
        <w:gridCol w:w="1110"/>
      </w:tblGrid>
      <w:tr>
        <w:trPr>
          <w:tblHeader w:val="true"/>
        </w:trPr>
        <w:tc>
          <w:tcPr/>
          <w:p>
            <w:pPr>
              <w:pStyle w:val="Compact"/>
              <w:jc w:val="left"/>
            </w:pPr>
            <w:r>
              <w:t xml:space="preserve">垂直领域</w:t>
            </w:r>
          </w:p>
        </w:tc>
        <w:tc>
          <w:tcPr/>
          <w:p>
            <w:pPr>
              <w:pStyle w:val="Compact"/>
              <w:jc w:val="left"/>
            </w:pPr>
            <w:r>
              <w:t xml:space="preserve">重点应用场景</w:t>
            </w:r>
          </w:p>
        </w:tc>
        <w:tc>
          <w:tcPr/>
          <w:p>
            <w:pPr>
              <w:pStyle w:val="Compact"/>
              <w:jc w:val="left"/>
            </w:pPr>
            <w:r>
              <w:t xml:space="preserve">目标客户</w:t>
            </w:r>
          </w:p>
        </w:tc>
        <w:tc>
          <w:tcPr/>
          <w:p>
            <w:pPr>
              <w:pStyle w:val="Compact"/>
              <w:jc w:val="left"/>
            </w:pPr>
            <w:r>
              <w:t xml:space="preserve">竞争策略</w:t>
            </w:r>
          </w:p>
        </w:tc>
        <w:tc>
          <w:tcPr/>
          <w:p>
            <w:pPr>
              <w:pStyle w:val="Compact"/>
              <w:jc w:val="left"/>
            </w:pPr>
            <w:r>
              <w:t xml:space="preserve">2026年目标</w:t>
            </w:r>
          </w:p>
        </w:tc>
        <w:tc>
          <w:tcPr/>
          <w:p>
            <w:pPr>
              <w:pStyle w:val="Compact"/>
              <w:jc w:val="left"/>
            </w:pPr>
            <w:r>
              <w:t xml:space="preserve">资源投入</w:t>
            </w:r>
          </w:p>
        </w:tc>
      </w:tr>
      <w:tr>
        <w:tc>
          <w:tcPr/>
          <w:p>
            <w:pPr>
              <w:pStyle w:val="Compact"/>
              <w:jc w:val="left"/>
            </w:pPr>
            <w:r>
              <w:t xml:space="preserve">桥梁监测</w:t>
            </w:r>
          </w:p>
        </w:tc>
        <w:tc>
          <w:tcPr/>
          <w:p>
            <w:pPr>
              <w:pStyle w:val="Compact"/>
              <w:jc w:val="left"/>
            </w:pPr>
            <w:r>
              <w:t xml:space="preserve">大跨径桥梁健康监测</w:t>
            </w:r>
          </w:p>
        </w:tc>
        <w:tc>
          <w:tcPr/>
          <w:p>
            <w:pPr>
              <w:pStyle w:val="Compact"/>
              <w:jc w:val="left"/>
            </w:pPr>
            <w:r>
              <w:t xml:space="preserve">交通厅、桥梁管理公司</w:t>
            </w:r>
          </w:p>
        </w:tc>
        <w:tc>
          <w:tcPr/>
          <w:p>
            <w:pPr>
              <w:pStyle w:val="Compact"/>
              <w:jc w:val="left"/>
            </w:pPr>
            <w:r>
              <w:t xml:space="preserve">技术差异化+本地服务</w:t>
            </w:r>
          </w:p>
        </w:tc>
        <w:tc>
          <w:tcPr/>
          <w:p>
            <w:pPr>
              <w:pStyle w:val="Compact"/>
              <w:jc w:val="left"/>
            </w:pPr>
            <w:r>
              <w:t xml:space="preserve">30个项目</w:t>
            </w:r>
          </w:p>
        </w:tc>
        <w:tc>
          <w:tcPr/>
          <w:p>
            <w:pPr>
              <w:pStyle w:val="Compact"/>
              <w:jc w:val="left"/>
            </w:pPr>
            <w:r>
              <w:t xml:space="preserve">专项研发团队</w:t>
            </w:r>
          </w:p>
        </w:tc>
      </w:tr>
      <w:tr>
        <w:tc>
          <w:tcPr/>
          <w:p>
            <w:pPr>
              <w:pStyle w:val="Compact"/>
              <w:jc w:val="left"/>
            </w:pPr>
            <w:r>
              <w:t xml:space="preserve">隧道监测</w:t>
            </w:r>
          </w:p>
        </w:tc>
        <w:tc>
          <w:tcPr/>
          <w:p>
            <w:pPr>
              <w:pStyle w:val="Compact"/>
              <w:jc w:val="left"/>
            </w:pPr>
            <w:r>
              <w:t xml:space="preserve">施工期收敛监测</w:t>
            </w:r>
          </w:p>
        </w:tc>
        <w:tc>
          <w:tcPr/>
          <w:p>
            <w:pPr>
              <w:pStyle w:val="Compact"/>
              <w:jc w:val="left"/>
            </w:pPr>
            <w:r>
              <w:t xml:space="preserve">中铁、中建等施工单位</w:t>
            </w:r>
          </w:p>
        </w:tc>
        <w:tc>
          <w:tcPr/>
          <w:p>
            <w:pPr>
              <w:pStyle w:val="Compact"/>
              <w:jc w:val="left"/>
            </w:pPr>
            <w:r>
              <w:t xml:space="preserve">快速部署+高精度</w:t>
            </w:r>
          </w:p>
        </w:tc>
        <w:tc>
          <w:tcPr/>
          <w:p>
            <w:pPr>
              <w:pStyle w:val="Compact"/>
              <w:jc w:val="left"/>
            </w:pPr>
            <w:r>
              <w:t xml:space="preserve">25个项目</w:t>
            </w:r>
          </w:p>
        </w:tc>
        <w:tc>
          <w:tcPr/>
          <w:p>
            <w:pPr>
              <w:pStyle w:val="Compact"/>
              <w:jc w:val="left"/>
            </w:pPr>
            <w:r>
              <w:t xml:space="preserve">实施团队建设</w:t>
            </w:r>
          </w:p>
        </w:tc>
      </w:tr>
      <w:tr>
        <w:tc>
          <w:tcPr/>
          <w:p>
            <w:pPr>
              <w:pStyle w:val="Compact"/>
              <w:jc w:val="left"/>
            </w:pPr>
            <w:r>
              <w:t xml:space="preserve">边坡监测</w:t>
            </w:r>
          </w:p>
        </w:tc>
        <w:tc>
          <w:tcPr/>
          <w:p>
            <w:pPr>
              <w:pStyle w:val="Compact"/>
              <w:jc w:val="left"/>
            </w:pPr>
            <w:r>
              <w:t xml:space="preserve">地质灾害预警</w:t>
            </w:r>
          </w:p>
        </w:tc>
        <w:tc>
          <w:tcPr/>
          <w:p>
            <w:pPr>
              <w:pStyle w:val="Compact"/>
              <w:jc w:val="left"/>
            </w:pPr>
            <w:r>
              <w:t xml:space="preserve">自然资源局、矿山企业</w:t>
            </w:r>
          </w:p>
        </w:tc>
        <w:tc>
          <w:tcPr/>
          <w:p>
            <w:pPr>
              <w:pStyle w:val="Compact"/>
              <w:jc w:val="left"/>
            </w:pPr>
            <w:r>
              <w:t xml:space="preserve">自动化+实时预警</w:t>
            </w:r>
          </w:p>
        </w:tc>
        <w:tc>
          <w:tcPr/>
          <w:p>
            <w:pPr>
              <w:pStyle w:val="Compact"/>
              <w:jc w:val="left"/>
            </w:pPr>
            <w:r>
              <w:t xml:space="preserve">20个项目</w:t>
            </w:r>
          </w:p>
        </w:tc>
        <w:tc>
          <w:tcPr/>
          <w:p>
            <w:pPr>
              <w:pStyle w:val="Compact"/>
              <w:jc w:val="left"/>
            </w:pPr>
            <w:r>
              <w:t xml:space="preserve">算法优化投入</w:t>
            </w:r>
          </w:p>
        </w:tc>
      </w:tr>
      <w:tr>
        <w:tc>
          <w:tcPr/>
          <w:p>
            <w:pPr>
              <w:pStyle w:val="Compact"/>
              <w:jc w:val="left"/>
            </w:pPr>
            <w:r>
              <w:t xml:space="preserve">合计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75个项目</w:t>
            </w:r>
          </w:p>
        </w:tc>
        <w:tc>
          <w:tcPr/>
          <w:p>
            <w:pPr>
              <w:pStyle w:val="Compact"/>
              <w:jc w:val="left"/>
            </w:pPr>
            <w:r>
              <w:t xml:space="preserve">集中优势资源</w:t>
            </w:r>
          </w:p>
        </w:tc>
      </w:tr>
    </w:tbl>
    <w:bookmarkEnd w:id="76"/>
    <w:bookmarkStart w:id="77" w:name="回款机制优化与资金周转率提升"/>
    <w:p>
      <w:pPr>
        <w:pStyle w:val="4"/>
      </w:pPr>
      <w:r>
        <w:t xml:space="preserve">5.2.3 回款机制优化与资金周转率提升</w:t>
      </w:r>
    </w:p>
    <w:p>
      <w:pPr>
        <w:pStyle w:val="FirstParagraph"/>
      </w:pPr>
      <w:r>
        <w:t xml:space="preserve">针对视频跟踪仪项目回款慢的问题，HSM制定系统性优化方案，主要包括三个方面：一是优化合同条款，增加预付款比例（从10%提升至30%）并缩短中期付款节点；二是建立客户信用管理体系，对不同信用等级客户采取差异化的付款条件；三是探索应收账款证券化，与金融机构合作对优质项目的应收账款进行保理融资。</w:t>
      </w:r>
    </w:p>
    <w:p>
      <w:pPr>
        <w:pStyle w:val="BodyText"/>
      </w:pPr>
      <w:r>
        <w:t xml:space="preserve">表5.4：回款机制优化前后对比</w:t>
      </w:r>
    </w:p>
    <w:tbl>
      <w:tblPr>
        <w:tblStyle w:val="Table"/>
        <w:tblW w:type="pct" w:w="4892"/>
        <w:tblLook w:firstRow="1" w:lastRow="0" w:firstColumn="0" w:lastColumn="0" w:noHBand="0" w:noVBand="0" w:val="0020"/>
      </w:tblPr>
      <w:tblGrid>
        <w:gridCol w:w="1447"/>
        <w:gridCol w:w="1618"/>
        <w:gridCol w:w="1788"/>
        <w:gridCol w:w="936"/>
        <w:gridCol w:w="1958"/>
      </w:tblGrid>
      <w:tr>
        <w:trPr>
          <w:tblHeader w:val="true"/>
        </w:trPr>
        <w:tc>
          <w:tcPr/>
          <w:p>
            <w:pPr>
              <w:pStyle w:val="Compact"/>
              <w:jc w:val="left"/>
            </w:pPr>
            <w:r>
              <w:t xml:space="preserve">指标</w:t>
            </w:r>
          </w:p>
        </w:tc>
        <w:tc>
          <w:tcPr/>
          <w:p>
            <w:pPr>
              <w:pStyle w:val="Compact"/>
              <w:jc w:val="left"/>
            </w:pPr>
            <w:r>
              <w:t xml:space="preserve">优化前（2024年）</w:t>
            </w:r>
          </w:p>
        </w:tc>
        <w:tc>
          <w:tcPr/>
          <w:p>
            <w:pPr>
              <w:pStyle w:val="Compact"/>
              <w:jc w:val="left"/>
            </w:pPr>
            <w:r>
              <w:t xml:space="preserve">优化目标（2026年）</w:t>
            </w:r>
          </w:p>
        </w:tc>
        <w:tc>
          <w:tcPr/>
          <w:p>
            <w:pPr>
              <w:pStyle w:val="Compact"/>
              <w:jc w:val="left"/>
            </w:pPr>
            <w:r>
              <w:t xml:space="preserve">改善幅度</w:t>
            </w:r>
          </w:p>
        </w:tc>
        <w:tc>
          <w:tcPr/>
          <w:p>
            <w:pPr>
              <w:pStyle w:val="Compact"/>
              <w:jc w:val="left"/>
            </w:pPr>
            <w:r>
              <w:t xml:space="preserve">具体措施</w:t>
            </w:r>
          </w:p>
        </w:tc>
      </w:tr>
      <w:tr>
        <w:tc>
          <w:tcPr/>
          <w:p>
            <w:pPr>
              <w:pStyle w:val="Compact"/>
              <w:jc w:val="left"/>
            </w:pPr>
            <w:r>
              <w:t xml:space="preserve">平均回款周期</w:t>
            </w:r>
          </w:p>
        </w:tc>
        <w:tc>
          <w:tcPr/>
          <w:p>
            <w:pPr>
              <w:pStyle w:val="Compact"/>
              <w:jc w:val="left"/>
            </w:pPr>
            <w:r>
              <w:t xml:space="preserve">270天</w:t>
            </w:r>
          </w:p>
        </w:tc>
        <w:tc>
          <w:tcPr/>
          <w:p>
            <w:pPr>
              <w:pStyle w:val="Compact"/>
              <w:jc w:val="left"/>
            </w:pPr>
            <w:r>
              <w:t xml:space="preserve">120天</w:t>
            </w:r>
          </w:p>
        </w:tc>
        <w:tc>
          <w:tcPr/>
          <w:p>
            <w:pPr>
              <w:pStyle w:val="Compact"/>
              <w:jc w:val="left"/>
            </w:pPr>
            <w:r>
              <w:t xml:space="preserve">缩短55%</w:t>
            </w:r>
          </w:p>
        </w:tc>
        <w:tc>
          <w:tcPr/>
          <w:p>
            <w:pPr>
              <w:pStyle w:val="Compact"/>
              <w:jc w:val="left"/>
            </w:pPr>
            <w:r>
              <w:t xml:space="preserve">预付款提升、节点优化</w:t>
            </w:r>
          </w:p>
        </w:tc>
      </w:tr>
      <w:tr>
        <w:tc>
          <w:tcPr/>
          <w:p>
            <w:pPr>
              <w:pStyle w:val="Compact"/>
              <w:jc w:val="left"/>
            </w:pPr>
            <w:r>
              <w:t xml:space="preserve">应收账款周转率</w:t>
            </w:r>
          </w:p>
        </w:tc>
        <w:tc>
          <w:tcPr/>
          <w:p>
            <w:pPr>
              <w:pStyle w:val="Compact"/>
              <w:jc w:val="left"/>
            </w:pPr>
            <w:r>
              <w:t xml:space="preserve">1.33次/年</w:t>
            </w:r>
          </w:p>
        </w:tc>
        <w:tc>
          <w:tcPr/>
          <w:p>
            <w:pPr>
              <w:pStyle w:val="Compact"/>
              <w:jc w:val="left"/>
            </w:pPr>
            <w:r>
              <w:t xml:space="preserve">3.0次/年</w:t>
            </w:r>
          </w:p>
        </w:tc>
        <w:tc>
          <w:tcPr/>
          <w:p>
            <w:pPr>
              <w:pStyle w:val="Compact"/>
              <w:jc w:val="left"/>
            </w:pPr>
            <w:r>
              <w:t xml:space="preserve">提升125%</w:t>
            </w:r>
          </w:p>
        </w:tc>
        <w:tc>
          <w:tcPr/>
          <w:p>
            <w:pPr>
              <w:pStyle w:val="Compact"/>
              <w:jc w:val="left"/>
            </w:pPr>
            <w:r>
              <w:t xml:space="preserve">信用管理、金融工具</w:t>
            </w:r>
          </w:p>
        </w:tc>
      </w:tr>
      <w:tr>
        <w:tc>
          <w:tcPr/>
          <w:p>
            <w:pPr>
              <w:pStyle w:val="Compact"/>
              <w:jc w:val="left"/>
            </w:pPr>
            <w:r>
              <w:t xml:space="preserve">坏账率</w:t>
            </w:r>
          </w:p>
        </w:tc>
        <w:tc>
          <w:tcPr/>
          <w:p>
            <w:pPr>
              <w:pStyle w:val="Compact"/>
              <w:jc w:val="left"/>
            </w:pPr>
            <w:r>
              <w:t xml:space="preserve">3.5%</w:t>
            </w:r>
          </w:p>
        </w:tc>
        <w:tc>
          <w:tcPr/>
          <w:p>
            <w:pPr>
              <w:pStyle w:val="Compact"/>
              <w:jc w:val="left"/>
            </w:pPr>
            <w:r>
              <w:t xml:space="preserve">1.5%</w:t>
            </w:r>
          </w:p>
        </w:tc>
        <w:tc>
          <w:tcPr/>
          <w:p>
            <w:pPr>
              <w:pStyle w:val="Compact"/>
              <w:jc w:val="left"/>
            </w:pPr>
            <w:r>
              <w:t xml:space="preserve">降低57%</w:t>
            </w:r>
          </w:p>
        </w:tc>
        <w:tc>
          <w:tcPr/>
          <w:p>
            <w:pPr>
              <w:pStyle w:val="Compact"/>
              <w:jc w:val="left"/>
            </w:pPr>
            <w:r>
              <w:t xml:space="preserve">客户筛选、风险控制</w:t>
            </w:r>
          </w:p>
        </w:tc>
      </w:tr>
      <w:tr>
        <w:tc>
          <w:tcPr/>
          <w:p>
            <w:pPr>
              <w:pStyle w:val="Compact"/>
              <w:jc w:val="left"/>
            </w:pPr>
            <w:r>
              <w:t xml:space="preserve">资金占用成本</w:t>
            </w:r>
          </w:p>
        </w:tc>
        <w:tc>
          <w:tcPr/>
          <w:p>
            <w:pPr>
              <w:pStyle w:val="Compact"/>
              <w:jc w:val="left"/>
            </w:pPr>
            <w:r>
              <w:t xml:space="preserve">8.2%</w:t>
            </w:r>
          </w:p>
        </w:tc>
        <w:tc>
          <w:tcPr/>
          <w:p>
            <w:pPr>
              <w:pStyle w:val="Compact"/>
              <w:jc w:val="left"/>
            </w:pPr>
            <w:r>
              <w:t xml:space="preserve">4.5%</w:t>
            </w:r>
          </w:p>
        </w:tc>
        <w:tc>
          <w:tcPr/>
          <w:p>
            <w:pPr>
              <w:pStyle w:val="Compact"/>
              <w:jc w:val="left"/>
            </w:pPr>
            <w:r>
              <w:t xml:space="preserve">降低45%</w:t>
            </w:r>
          </w:p>
        </w:tc>
        <w:tc>
          <w:tcPr/>
          <w:p>
            <w:pPr>
              <w:pStyle w:val="Compact"/>
              <w:jc w:val="left"/>
            </w:pPr>
            <w:r>
              <w:t xml:space="preserve">优化付款节奏</w:t>
            </w:r>
          </w:p>
        </w:tc>
      </w:tr>
      <w:tr>
        <w:tc>
          <w:tcPr/>
          <w:p>
            <w:pPr>
              <w:pStyle w:val="Compact"/>
              <w:jc w:val="left"/>
            </w:pPr>
            <w:r>
              <w:t xml:space="preserve">现金流健康度</w:t>
            </w:r>
          </w:p>
        </w:tc>
        <w:tc>
          <w:tcPr/>
          <w:p>
            <w:pPr>
              <w:pStyle w:val="Compact"/>
              <w:jc w:val="left"/>
            </w:pPr>
            <w:r>
              <w:t xml:space="preserve">紧张</w:t>
            </w:r>
          </w:p>
        </w:tc>
        <w:tc>
          <w:tcPr/>
          <w:p>
            <w:pPr>
              <w:pStyle w:val="Compact"/>
              <w:jc w:val="left"/>
            </w:pPr>
            <w:r>
              <w:t xml:space="preserve">良好</w:t>
            </w:r>
          </w:p>
        </w:tc>
        <w:tc>
          <w:tcPr/>
          <w:p>
            <w:pPr>
              <w:pStyle w:val="Compact"/>
              <w:jc w:val="left"/>
            </w:pPr>
            <w:r>
              <w:t xml:space="preserve">显著改善</w:t>
            </w:r>
          </w:p>
        </w:tc>
        <w:tc>
          <w:tcPr/>
          <w:p>
            <w:pPr>
              <w:pStyle w:val="Compact"/>
              <w:jc w:val="left"/>
            </w:pPr>
            <w:r>
              <w:t xml:space="preserve">综合优化</w:t>
            </w:r>
          </w:p>
        </w:tc>
      </w:tr>
    </w:tbl>
    <w:bookmarkEnd w:id="77"/>
    <w:bookmarkEnd w:id="78"/>
    <w:bookmarkStart w:id="82" w:name="资源重新配置与团队转型"/>
    <w:p>
      <w:pPr>
        <w:pStyle w:val="3"/>
      </w:pPr>
      <w:r>
        <w:t xml:space="preserve">5.3资源重新配置与团队转型</w:t>
      </w:r>
    </w:p>
    <w:p>
      <w:pPr>
        <w:pStyle w:val="FirstParagraph"/>
      </w:pPr>
      <w:r>
        <w:t xml:space="preserve">为支撑产品线差异化战略，HSM对组织架构进行系统性重组。</w:t>
      </w:r>
    </w:p>
    <w:bookmarkStart w:id="79" w:name="研发资源向标准化产品倾斜"/>
    <w:p>
      <w:pPr>
        <w:pStyle w:val="4"/>
      </w:pPr>
      <w:r>
        <w:t xml:space="preserve">5.3.1 研发资源向标准化产品倾斜</w:t>
      </w:r>
    </w:p>
    <w:p>
      <w:pPr>
        <w:pStyle w:val="FirstParagraph"/>
      </w:pPr>
      <w:r>
        <w:t xml:space="preserve">基于”减少售前，增大研发”的原则，重新配置研发资源，具体措施包括三个方面：一是重新分配研发人员，将视频跟踪仪定制开发团队50%的人员转向标准化产品研发；二是建立产品线研发中心，分别为三条产品线设立独立的研发团队，专注各自领域技术突破；三是创新激励机制，设立产品创新奖，鼓励研发人员申报专利和发表论文。</w:t>
      </w:r>
    </w:p>
    <w:p>
      <w:pPr>
        <w:pStyle w:val="BodyText"/>
      </w:pPr>
      <w:r>
        <w:t xml:space="preserve">表5.5：研发资源重新配置方案</w:t>
      </w:r>
    </w:p>
    <w:tbl>
      <w:tblPr>
        <w:tblStyle w:val="Table"/>
        <w:tblW w:type="pct" w:w="4904"/>
        <w:tblLook w:firstRow="0" w:lastRow="0" w:firstColumn="0" w:lastColumn="0" w:noHBand="0" w:noVBand="0" w:val="0000"/>
      </w:tblPr>
      <w:tblGrid>
        <w:gridCol w:w="1142"/>
        <w:gridCol w:w="2284"/>
        <w:gridCol w:w="1751"/>
        <w:gridCol w:w="1599"/>
        <w:gridCol w:w="990"/>
      </w:tblGrid>
      <w:tr>
        <w:tc>
          <w:tcPr/>
          <w:p>
            <w:pPr>
              <w:pStyle w:val="Compact"/>
              <w:jc w:val="left"/>
            </w:pPr>
            <w:r>
              <w:t xml:space="preserve">资源类型</w:t>
            </w:r>
          </w:p>
        </w:tc>
        <w:tc>
          <w:tcPr/>
          <w:p>
            <w:pPr>
              <w:pStyle w:val="Compact"/>
              <w:jc w:val="left"/>
            </w:pPr>
            <w:r>
              <w:t xml:space="preserve">视频引伸计/应变仪（优化后）</w:t>
            </w:r>
          </w:p>
        </w:tc>
        <w:tc>
          <w:tcPr/>
          <w:p>
            <w:pPr>
              <w:pStyle w:val="Compact"/>
              <w:jc w:val="left"/>
            </w:pPr>
            <w:r>
              <w:t xml:space="preserve">视频跟踪仪（优化后）</w:t>
            </w:r>
          </w:p>
        </w:tc>
        <w:tc>
          <w:tcPr/>
          <w:p>
            <w:pPr>
              <w:pStyle w:val="Compact"/>
              <w:jc w:val="left"/>
            </w:pPr>
            <w:r>
              <w:t xml:space="preserve">新产品研发（新增）</w:t>
            </w:r>
          </w:p>
        </w:tc>
        <w:tc>
          <w:tcPr/>
          <w:p>
            <w:pPr>
              <w:pStyle w:val="Compact"/>
              <w:jc w:val="left"/>
            </w:pPr>
            <w:r>
              <w:t xml:space="preserve">总体变化</w:t>
            </w:r>
          </w:p>
        </w:tc>
      </w:tr>
      <w:tr>
        <w:tc>
          <w:tcPr/>
          <w:p>
            <w:pPr>
              <w:pStyle w:val="Compact"/>
              <w:jc w:val="left"/>
            </w:pPr>
            <w:r>
              <w:t xml:space="preserve">研发人员数量</w:t>
            </w:r>
          </w:p>
        </w:tc>
        <w:tc>
          <w:tcPr/>
          <w:p>
            <w:pPr>
              <w:pStyle w:val="Compact"/>
              <w:jc w:val="left"/>
            </w:pPr>
            <w:r>
              <w:t xml:space="preserve">25人（+8人）</w:t>
            </w:r>
          </w:p>
        </w:tc>
        <w:tc>
          <w:tcPr/>
          <w:p>
            <w:pPr>
              <w:pStyle w:val="Compact"/>
              <w:jc w:val="left"/>
            </w:pPr>
            <w:r>
              <w:t xml:space="preserve">15人（-10人）</w:t>
            </w:r>
          </w:p>
        </w:tc>
        <w:tc>
          <w:tcPr/>
          <w:p>
            <w:pPr>
              <w:pStyle w:val="Compact"/>
              <w:jc w:val="left"/>
            </w:pPr>
            <w:r>
              <w:t xml:space="preserve">10人（新增）</w:t>
            </w:r>
          </w:p>
        </w:tc>
        <w:tc>
          <w:tcPr/>
          <w:p>
            <w:pPr>
              <w:pStyle w:val="Compact"/>
              <w:jc w:val="left"/>
            </w:pPr>
            <w:r>
              <w:t xml:space="preserve">总数50人</w:t>
            </w:r>
          </w:p>
        </w:tc>
      </w:tr>
      <w:tr>
        <w:tc>
          <w:tcPr/>
          <w:p>
            <w:pPr>
              <w:pStyle w:val="Compact"/>
              <w:jc w:val="left"/>
            </w:pPr>
            <w:r>
              <w:t xml:space="preserve">研发预算占比</w:t>
            </w:r>
          </w:p>
        </w:tc>
        <w:tc>
          <w:tcPr/>
          <w:p>
            <w:pPr>
              <w:pStyle w:val="Compact"/>
              <w:jc w:val="left"/>
            </w:pPr>
            <w:r>
              <w:t xml:space="preserve">50%</w:t>
            </w:r>
          </w:p>
        </w:tc>
        <w:tc>
          <w:tcPr/>
          <w:p>
            <w:pPr>
              <w:pStyle w:val="Compact"/>
              <w:jc w:val="left"/>
            </w:pPr>
            <w:r>
              <w:t xml:space="preserve">30%</w:t>
            </w:r>
          </w:p>
        </w:tc>
        <w:tc>
          <w:tcPr/>
          <w:p>
            <w:pPr>
              <w:pStyle w:val="Compact"/>
              <w:jc w:val="left"/>
            </w:pPr>
            <w:r>
              <w:t xml:space="preserve">20%</w:t>
            </w:r>
          </w:p>
        </w:tc>
        <w:tc>
          <w:tcPr/>
          <w:p>
            <w:pPr>
              <w:pStyle w:val="Compact"/>
              <w:jc w:val="left"/>
            </w:pPr>
            <w:r>
              <w:t xml:space="preserve">重新分配</w:t>
            </w:r>
          </w:p>
        </w:tc>
      </w:tr>
      <w:tr>
        <w:tc>
          <w:tcPr/>
          <w:p>
            <w:pPr>
              <w:pStyle w:val="Compact"/>
              <w:jc w:val="left"/>
            </w:pPr>
            <w:r>
              <w:t xml:space="preserve">专利产出目标</w:t>
            </w:r>
          </w:p>
        </w:tc>
        <w:tc>
          <w:tcPr/>
          <w:p>
            <w:pPr>
              <w:pStyle w:val="Compact"/>
              <w:jc w:val="left"/>
            </w:pPr>
            <w:r>
              <w:t xml:space="preserve">8项/年</w:t>
            </w:r>
          </w:p>
        </w:tc>
        <w:tc>
          <w:tcPr/>
          <w:p>
            <w:pPr>
              <w:pStyle w:val="Compact"/>
              <w:jc w:val="left"/>
            </w:pPr>
            <w:r>
              <w:t xml:space="preserve">5项/年</w:t>
            </w:r>
          </w:p>
        </w:tc>
        <w:tc>
          <w:tcPr/>
          <w:p>
            <w:pPr>
              <w:pStyle w:val="Compact"/>
              <w:jc w:val="left"/>
            </w:pPr>
            <w:r>
              <w:t xml:space="preserve">5项/年</w:t>
            </w:r>
          </w:p>
        </w:tc>
        <w:tc>
          <w:tcPr/>
          <w:p>
            <w:pPr>
              <w:pStyle w:val="Compact"/>
              <w:jc w:val="left"/>
            </w:pPr>
            <w:r>
              <w:t xml:space="preserve">18项/年</w:t>
            </w:r>
          </w:p>
        </w:tc>
      </w:tr>
      <w:tr>
        <w:tc>
          <w:tcPr/>
          <w:p>
            <w:pPr>
              <w:pStyle w:val="Compact"/>
              <w:jc w:val="left"/>
            </w:pPr>
            <w:r>
              <w:t xml:space="preserve">核心技术突破</w:t>
            </w:r>
          </w:p>
        </w:tc>
        <w:tc>
          <w:tcPr/>
          <w:p>
            <w:pPr>
              <w:pStyle w:val="Compact"/>
              <w:jc w:val="left"/>
            </w:pPr>
            <w:r>
              <w:t xml:space="preserve">测量精度提升</w:t>
            </w:r>
          </w:p>
        </w:tc>
        <w:tc>
          <w:tcPr/>
          <w:p>
            <w:pPr>
              <w:pStyle w:val="Compact"/>
              <w:jc w:val="left"/>
            </w:pPr>
            <w:r>
              <w:t xml:space="preserve">垂直领域算法</w:t>
            </w:r>
          </w:p>
        </w:tc>
        <w:tc>
          <w:tcPr/>
          <w:p>
            <w:pPr>
              <w:pStyle w:val="Compact"/>
              <w:jc w:val="left"/>
            </w:pPr>
            <w:r>
              <w:t xml:space="preserve">新产品原型</w:t>
            </w:r>
          </w:p>
        </w:tc>
        <w:tc>
          <w:tcPr/>
          <w:p>
            <w:pPr>
              <w:pStyle w:val="Compact"/>
              <w:jc w:val="left"/>
            </w:pPr>
            <w:r>
              <w:t xml:space="preserve">差异化聚焦</w:t>
            </w:r>
          </w:p>
        </w:tc>
      </w:tr>
      <w:tr>
        <w:tc>
          <w:tcPr/>
          <w:p>
            <w:pPr>
              <w:pStyle w:val="Compact"/>
              <w:jc w:val="left"/>
            </w:pPr>
            <w:r>
              <w:t xml:space="preserve">资源使用效率</w:t>
            </w:r>
          </w:p>
        </w:tc>
        <w:tc>
          <w:tcPr/>
          <w:p>
            <w:pPr>
              <w:pStyle w:val="Compact"/>
              <w:jc w:val="left"/>
            </w:pPr>
            <w:r>
              <w:t xml:space="preserve">提升40%</w:t>
            </w:r>
          </w:p>
        </w:tc>
        <w:tc>
          <w:tcPr/>
          <w:p>
            <w:pPr>
              <w:pStyle w:val="Compact"/>
              <w:jc w:val="left"/>
            </w:pPr>
            <w:r>
              <w:t xml:space="preserve">提升60%</w:t>
            </w:r>
          </w:p>
        </w:tc>
        <w:tc>
          <w:tcPr/>
          <w:p>
            <w:pPr>
              <w:pStyle w:val="Compact"/>
              <w:jc w:val="left"/>
            </w:pPr>
            <w:r>
              <w:t xml:space="preserve">新投入</w:t>
            </w:r>
          </w:p>
        </w:tc>
        <w:tc>
          <w:tcPr/>
          <w:p>
            <w:pPr>
              <w:pStyle w:val="Compact"/>
              <w:jc w:val="left"/>
            </w:pPr>
            <w:r>
              <w:t xml:space="preserve">整体提升</w:t>
            </w:r>
          </w:p>
        </w:tc>
      </w:tr>
    </w:tbl>
    <w:bookmarkEnd w:id="79"/>
    <w:bookmarkStart w:id="80" w:name="销售团队从售前向售中售后转型"/>
    <w:p>
      <w:pPr>
        <w:pStyle w:val="4"/>
      </w:pPr>
      <w:r>
        <w:t xml:space="preserve">5.3.2 销售团队从售前向售中售后转型</w:t>
      </w:r>
    </w:p>
    <w:p>
      <w:pPr>
        <w:pStyle w:val="FirstParagraph"/>
      </w:pPr>
      <w:r>
        <w:t xml:space="preserve">销售团队职能从单纯售前拓展至全周期客户价值管理，具体措施包括三个方面：一是精简售前团队，将售前工程师从项目方案设计中解放出来，专注于标准化产品技术支持；二是加强售中实施支持，建立快速响应机制确保产品交付与客户预期一致；三是深化售后价值挖掘，通过定期回访、软件升级和功能拓展挖掘客户终身价值。</w:t>
      </w:r>
    </w:p>
    <w:bookmarkEnd w:id="80"/>
    <w:bookmarkStart w:id="81" w:name="项目制团队向产品化团队转型"/>
    <w:p>
      <w:pPr>
        <w:pStyle w:val="4"/>
      </w:pPr>
      <w:r>
        <w:t xml:space="preserve">5.3.3 项目制团队向产品化团队转型</w:t>
      </w:r>
    </w:p>
    <w:p>
      <w:pPr>
        <w:pStyle w:val="FirstParagraph"/>
      </w:pPr>
      <w:r>
        <w:t xml:space="preserve">视频跟踪仪团队从项目制向产品化转型，主要举措包括三个方面：一是建立产品经理负责制，在每个垂直领域（桥梁、隧道、边坡）设立专职产品经理；二是建设标准化方案库，将项目经验沉淀为标准化方案模块，使复用率从30%提升至70%；三是实施外包管理，将现场安装、调试等工作外包给地区合作伙伴，使团队能够专注于核心价值环节。</w:t>
      </w:r>
    </w:p>
    <w:bookmarkEnd w:id="81"/>
    <w:bookmarkEnd w:id="82"/>
    <w:bookmarkStart w:id="86" w:name="供应链与生产流程优化"/>
    <w:p>
      <w:pPr>
        <w:pStyle w:val="3"/>
      </w:pPr>
      <w:r>
        <w:t xml:space="preserve">5.4供应链与生产流程优化</w:t>
      </w:r>
    </w:p>
    <w:p>
      <w:pPr>
        <w:pStyle w:val="FirstParagraph"/>
      </w:pPr>
      <w:r>
        <w:t xml:space="preserve">数字化转型是HSM转型的技术基础，重点优化供应链和生产流程。</w:t>
      </w:r>
    </w:p>
    <w:bookmarkStart w:id="83" w:name="供应链调整与标准化生产"/>
    <w:p>
      <w:pPr>
        <w:pStyle w:val="4"/>
      </w:pPr>
      <w:r>
        <w:t xml:space="preserve">5.4.1供应链调整与标准化生产</w:t>
      </w:r>
    </w:p>
    <w:p>
      <w:pPr>
        <w:pStyle w:val="FirstParagraph"/>
      </w:pPr>
      <w:r>
        <w:t xml:space="preserve">针对标准化产品线，数字化转型聚焦供应链优化，具体措施包括三个方面：一是建立供应链可视化平台，实时监控原材料库存、生产进度和物流状态；二是构建供应商协同系统，与核心供应商共享需求预测，实现JIT（准时制）供货；三是推进生产自动化升级，引入自动化测试设备，将人工测试环节减少50%。</w:t>
      </w:r>
    </w:p>
    <w:p>
      <w:pPr>
        <w:pStyle w:val="BodyText"/>
      </w:pPr>
      <w:r>
        <w:t xml:space="preserve">表5.6：视频引伸计/应变仪供应链调整效果预测</w:t>
      </w:r>
    </w:p>
    <w:tbl>
      <w:tblPr>
        <w:tblStyle w:val="Table"/>
        <w:tblW w:type="pct" w:w="4870"/>
        <w:tblLook w:firstRow="1" w:lastRow="0" w:firstColumn="0" w:lastColumn="0" w:noHBand="0" w:noVBand="0" w:val="0020"/>
      </w:tblPr>
      <w:tblGrid>
        <w:gridCol w:w="1337"/>
        <w:gridCol w:w="1131"/>
        <w:gridCol w:w="1337"/>
        <w:gridCol w:w="1131"/>
        <w:gridCol w:w="2777"/>
      </w:tblGrid>
      <w:tr>
        <w:trPr>
          <w:tblHeader w:val="true"/>
        </w:trPr>
        <w:tc>
          <w:tcPr/>
          <w:p>
            <w:pPr>
              <w:pStyle w:val="Compact"/>
              <w:jc w:val="left"/>
            </w:pPr>
            <w:r>
              <w:t xml:space="preserve">供应链指标</w:t>
            </w:r>
          </w:p>
        </w:tc>
        <w:tc>
          <w:tcPr/>
          <w:p>
            <w:pPr>
              <w:pStyle w:val="Compact"/>
              <w:jc w:val="left"/>
            </w:pPr>
            <w:r>
              <w:t xml:space="preserve">调整前</w:t>
            </w:r>
          </w:p>
        </w:tc>
        <w:tc>
          <w:tcPr/>
          <w:p>
            <w:pPr>
              <w:pStyle w:val="Compact"/>
              <w:jc w:val="left"/>
            </w:pPr>
            <w:r>
              <w:t xml:space="preserve">调整后目标</w:t>
            </w:r>
          </w:p>
        </w:tc>
        <w:tc>
          <w:tcPr/>
          <w:p>
            <w:pPr>
              <w:pStyle w:val="Compact"/>
              <w:jc w:val="left"/>
            </w:pPr>
            <w:r>
              <w:t xml:space="preserve">改善效果</w:t>
            </w:r>
          </w:p>
        </w:tc>
        <w:tc>
          <w:tcPr/>
          <w:p>
            <w:pPr>
              <w:pStyle w:val="Compact"/>
              <w:jc w:val="left"/>
            </w:pPr>
            <w:r>
              <w:t xml:space="preserve">实施举措</w:t>
            </w:r>
          </w:p>
        </w:tc>
      </w:tr>
      <w:tr>
        <w:tc>
          <w:tcPr/>
          <w:p>
            <w:pPr>
              <w:pStyle w:val="Compact"/>
              <w:jc w:val="left"/>
            </w:pPr>
            <w:r>
              <w:t xml:space="preserve">采购周期</w:t>
            </w:r>
          </w:p>
        </w:tc>
        <w:tc>
          <w:tcPr/>
          <w:p>
            <w:pPr>
              <w:pStyle w:val="Compact"/>
              <w:jc w:val="left"/>
            </w:pPr>
            <w:r>
              <w:t xml:space="preserve">45天</w:t>
            </w:r>
          </w:p>
        </w:tc>
        <w:tc>
          <w:tcPr/>
          <w:p>
            <w:pPr>
              <w:pStyle w:val="Compact"/>
              <w:jc w:val="left"/>
            </w:pPr>
            <w:r>
              <w:t xml:space="preserve">30天</w:t>
            </w:r>
          </w:p>
        </w:tc>
        <w:tc>
          <w:tcPr/>
          <w:p>
            <w:pPr>
              <w:pStyle w:val="Compact"/>
              <w:jc w:val="left"/>
            </w:pPr>
            <w:r>
              <w:t xml:space="preserve">缩短33%</w:t>
            </w:r>
          </w:p>
        </w:tc>
        <w:tc>
          <w:tcPr/>
          <w:p>
            <w:pPr>
              <w:pStyle w:val="Compact"/>
              <w:jc w:val="left"/>
            </w:pPr>
            <w:r>
              <w:t xml:space="preserve">供应商协同、安全库存优化</w:t>
            </w:r>
          </w:p>
        </w:tc>
      </w:tr>
      <w:tr>
        <w:tc>
          <w:tcPr/>
          <w:p>
            <w:pPr>
              <w:pStyle w:val="Compact"/>
              <w:jc w:val="left"/>
            </w:pPr>
            <w:r>
              <w:t xml:space="preserve">库存周转率</w:t>
            </w:r>
          </w:p>
        </w:tc>
        <w:tc>
          <w:tcPr/>
          <w:p>
            <w:pPr>
              <w:pStyle w:val="Compact"/>
              <w:jc w:val="left"/>
            </w:pPr>
            <w:r>
              <w:t xml:space="preserve">4.5次/年</w:t>
            </w:r>
          </w:p>
        </w:tc>
        <w:tc>
          <w:tcPr/>
          <w:p>
            <w:pPr>
              <w:pStyle w:val="Compact"/>
              <w:jc w:val="left"/>
            </w:pPr>
            <w:r>
              <w:t xml:space="preserve">6.5次/年</w:t>
            </w:r>
          </w:p>
        </w:tc>
        <w:tc>
          <w:tcPr/>
          <w:p>
            <w:pPr>
              <w:pStyle w:val="Compact"/>
              <w:jc w:val="left"/>
            </w:pPr>
            <w:r>
              <w:t xml:space="preserve">提升44%</w:t>
            </w:r>
          </w:p>
        </w:tc>
        <w:tc>
          <w:tcPr/>
          <w:p>
            <w:pPr>
              <w:pStyle w:val="Compact"/>
              <w:jc w:val="left"/>
            </w:pPr>
            <w:r>
              <w:t xml:space="preserve">需求预测系统、精准采购</w:t>
            </w:r>
          </w:p>
        </w:tc>
      </w:tr>
      <w:tr>
        <w:tc>
          <w:tcPr/>
          <w:p>
            <w:pPr>
              <w:pStyle w:val="Compact"/>
              <w:jc w:val="left"/>
            </w:pPr>
            <w:r>
              <w:t xml:space="preserve">成本降低</w:t>
            </w:r>
          </w:p>
        </w:tc>
        <w:tc>
          <w:tcPr/>
          <w:p>
            <w:pPr>
              <w:pStyle w:val="Compact"/>
              <w:jc w:val="left"/>
            </w:pPr>
            <w:r>
              <w:t xml:space="preserve">-</w:t>
            </w:r>
          </w:p>
        </w:tc>
        <w:tc>
          <w:tcPr/>
          <w:p>
            <w:pPr>
              <w:pStyle w:val="Compact"/>
              <w:jc w:val="left"/>
            </w:pPr>
            <w:r>
              <w:t xml:space="preserve">15%</w:t>
            </w:r>
          </w:p>
        </w:tc>
        <w:tc>
          <w:tcPr/>
          <w:p>
            <w:pPr>
              <w:pStyle w:val="Compact"/>
              <w:jc w:val="left"/>
            </w:pPr>
            <w:r>
              <w:t xml:space="preserve">显著</w:t>
            </w:r>
          </w:p>
        </w:tc>
        <w:tc>
          <w:tcPr/>
          <w:p>
            <w:pPr>
              <w:pStyle w:val="Compact"/>
              <w:jc w:val="left"/>
            </w:pPr>
            <w:r>
              <w:t xml:space="preserve">集中采购、标准化设计</w:t>
            </w:r>
          </w:p>
        </w:tc>
      </w:tr>
      <w:tr>
        <w:tc>
          <w:tcPr/>
          <w:p>
            <w:pPr>
              <w:pStyle w:val="Compact"/>
              <w:jc w:val="left"/>
            </w:pPr>
            <w:r>
              <w:t xml:space="preserve">质量合格率</w:t>
            </w:r>
          </w:p>
        </w:tc>
        <w:tc>
          <w:tcPr/>
          <w:p>
            <w:pPr>
              <w:pStyle w:val="Compact"/>
              <w:jc w:val="left"/>
            </w:pPr>
            <w:r>
              <w:t xml:space="preserve">99.0%</w:t>
            </w:r>
          </w:p>
        </w:tc>
        <w:tc>
          <w:tcPr/>
          <w:p>
            <w:pPr>
              <w:pStyle w:val="Compact"/>
              <w:jc w:val="left"/>
            </w:pPr>
            <w:r>
              <w:t xml:space="preserve">99.5%</w:t>
            </w:r>
          </w:p>
        </w:tc>
        <w:tc>
          <w:tcPr/>
          <w:p>
            <w:pPr>
              <w:pStyle w:val="Compact"/>
              <w:jc w:val="left"/>
            </w:pPr>
            <w:r>
              <w:t xml:space="preserve">提升0.5%</w:t>
            </w:r>
          </w:p>
        </w:tc>
        <w:tc>
          <w:tcPr/>
          <w:p>
            <w:pPr>
              <w:pStyle w:val="Compact"/>
              <w:jc w:val="left"/>
            </w:pPr>
            <w:r>
              <w:t xml:space="preserve">供应商质量管理</w:t>
            </w:r>
          </w:p>
        </w:tc>
      </w:tr>
      <w:tr>
        <w:tc>
          <w:tcPr/>
          <w:p>
            <w:pPr>
              <w:pStyle w:val="Compact"/>
              <w:jc w:val="left"/>
            </w:pPr>
            <w:r>
              <w:t xml:space="preserve">交货准时率</w:t>
            </w:r>
          </w:p>
        </w:tc>
        <w:tc>
          <w:tcPr/>
          <w:p>
            <w:pPr>
              <w:pStyle w:val="Compact"/>
              <w:jc w:val="left"/>
            </w:pPr>
            <w:r>
              <w:t xml:space="preserve">85%</w:t>
            </w:r>
          </w:p>
        </w:tc>
        <w:tc>
          <w:tcPr/>
          <w:p>
            <w:pPr>
              <w:pStyle w:val="Compact"/>
              <w:jc w:val="left"/>
            </w:pPr>
            <w:r>
              <w:t xml:space="preserve">95%</w:t>
            </w:r>
          </w:p>
        </w:tc>
        <w:tc>
          <w:tcPr/>
          <w:p>
            <w:pPr>
              <w:pStyle w:val="Compact"/>
              <w:jc w:val="left"/>
            </w:pPr>
            <w:r>
              <w:t xml:space="preserve">提升10%</w:t>
            </w:r>
          </w:p>
        </w:tc>
        <w:tc>
          <w:tcPr/>
          <w:p>
            <w:pPr>
              <w:pStyle w:val="Compact"/>
              <w:jc w:val="left"/>
            </w:pPr>
            <w:r>
              <w:t xml:space="preserve">生产计划优化</w:t>
            </w:r>
          </w:p>
        </w:tc>
      </w:tr>
    </w:tbl>
    <w:bookmarkEnd w:id="83"/>
    <w:bookmarkStart w:id="84" w:name="产业链优化与合作伙伴协同平台"/>
    <w:p>
      <w:pPr>
        <w:pStyle w:val="4"/>
      </w:pPr>
      <w:r>
        <w:t xml:space="preserve">5.4.2产业链优化与合作伙伴协同平台</w:t>
      </w:r>
    </w:p>
    <w:p>
      <w:pPr>
        <w:pStyle w:val="FirstParagraph"/>
      </w:pPr>
      <w:r>
        <w:t xml:space="preserve">视频跟踪仪的数字化转型重点在产业链协同，主要举措包括三个方面：一是建立合作伙伴门户，为地区合作伙伴提供方案设计、技术支持、项目管理的在线平台；二是开发远程诊断系统，通过物联网技术实现设备远程监控、故障预警和诊断；三是部署项目协同工具，支持多参与方在线协作，提高项目执行效率。</w:t>
      </w:r>
    </w:p>
    <w:bookmarkEnd w:id="84"/>
    <w:bookmarkStart w:id="85" w:name="数字化工具提升管理效率"/>
    <w:p>
      <w:pPr>
        <w:pStyle w:val="4"/>
      </w:pPr>
      <w:r>
        <w:t xml:space="preserve">5.4.3 数字化工具提升管理效率</w:t>
      </w:r>
    </w:p>
    <w:p>
      <w:pPr>
        <w:pStyle w:val="FirstParagraph"/>
      </w:pPr>
      <w:r>
        <w:t xml:space="preserve">公司层面推广数字化管理工具，主要包括三个方面：一是升级ERP系统，集成销售、生产、财务、人力资源模块，实现数据一体化；二是建设BI数据分析平台，实时监控三条产品线的关键绩效指标，支持数据驱动决策；三是部署移动办公系统，支持远程协作，适应后疫情时代的灵活工作模式。</w:t>
      </w:r>
    </w:p>
    <w:bookmarkEnd w:id="85"/>
    <w:bookmarkEnd w:id="86"/>
    <w:bookmarkStart w:id="90" w:name="构建可持续发展伙伴关系"/>
    <w:p>
      <w:pPr>
        <w:pStyle w:val="3"/>
      </w:pPr>
      <w:r>
        <w:t xml:space="preserve">5.5构建可持续发展伙伴关系</w:t>
      </w:r>
    </w:p>
    <w:p>
      <w:pPr>
        <w:pStyle w:val="FirstParagraph"/>
      </w:pPr>
      <w:r>
        <w:t xml:space="preserve">生态合作是HSM转型的长期保障，通过构建多层次伙伴关系实现共赢发展。</w:t>
      </w:r>
    </w:p>
    <w:bookmarkStart w:id="87" w:name="与试验机厂家的深度合作模式"/>
    <w:p>
      <w:pPr>
        <w:pStyle w:val="4"/>
      </w:pPr>
      <w:r>
        <w:t xml:space="preserve">5.5.1 与试验机厂家的深度合作模式</w:t>
      </w:r>
    </w:p>
    <w:p>
      <w:pPr>
        <w:pStyle w:val="FirstParagraph"/>
      </w:pPr>
      <w:r>
        <w:t xml:space="preserve">与试验机厂家的合作超越简单的产品销售，主要体现在三个方面：一是开展技术集成合作，将HSM的DIC技术深度集成到试验机控制系统中；二是推进联合研发，共同开发面向特定材料测试的专用测量模块；三是实施市场共拓，共享客户资源，联合拓展海外市场。</w:t>
      </w:r>
    </w:p>
    <w:bookmarkEnd w:id="87"/>
    <w:bookmarkStart w:id="88" w:name="地区合作伙伴培育与管理体系"/>
    <w:p>
      <w:pPr>
        <w:pStyle w:val="4"/>
      </w:pPr>
      <w:r>
        <w:t xml:space="preserve">5.5.2 地区合作伙伴培育与管理体系</w:t>
      </w:r>
    </w:p>
    <w:p>
      <w:pPr>
        <w:pStyle w:val="FirstParagraph"/>
      </w:pPr>
      <w:r>
        <w:t xml:space="preserve">针对视频跟踪仪业务，建立地区合作伙伴培育体系，主要包括三个方面：一是实施合作伙伴分级管理，根据能力、业绩将合作伙伴分为金牌、银牌、铜牌三级；二是提供全方位支持，包括技术培训、市场资源、项目协作、资金支持等赋能措施；三是建立利益共享机制，通过透明的利润分配确保合作伙伴有持续合作动力。</w:t>
      </w:r>
    </w:p>
    <w:p>
      <w:pPr>
        <w:pStyle w:val="BodyText"/>
      </w:pPr>
      <w:r>
        <w:t xml:space="preserve">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技术能力</w:t>
            </w:r>
          </w:p>
        </w:tc>
        <w:tc>
          <w:tcPr/>
          <w:p>
            <w:pPr>
              <w:pStyle w:val="Compact"/>
              <w:jc w:val="left"/>
            </w:pPr>
            <w:r>
              <w:t xml:space="preserve">自有研发团队</w:t>
            </w:r>
          </w:p>
        </w:tc>
        <w:tc>
          <w:tcPr/>
          <w:p>
            <w:pPr>
              <w:pStyle w:val="Compact"/>
              <w:jc w:val="left"/>
            </w:pPr>
            <w:r>
              <w:t xml:space="preserve">技术实施团队</w:t>
            </w:r>
          </w:p>
        </w:tc>
        <w:tc>
          <w:tcPr/>
          <w:p>
            <w:pPr>
              <w:pStyle w:val="Compact"/>
              <w:jc w:val="left"/>
            </w:pPr>
            <w:r>
              <w:t xml:space="preserve">基础技术能力</w:t>
            </w:r>
          </w:p>
        </w:tc>
        <w:tc>
          <w:tcPr/>
          <w:p>
            <w:pPr>
              <w:pStyle w:val="Compact"/>
              <w:jc w:val="left"/>
            </w:pPr>
            <w:r>
              <w:t xml:space="preserve">技术培训</w:t>
            </w:r>
          </w:p>
        </w:tc>
      </w:tr>
      <w:tr>
        <w:tc>
          <w:tcPr/>
          <w:p>
            <w:pPr>
              <w:pStyle w:val="Compact"/>
              <w:jc w:val="left"/>
            </w:pPr>
            <w:r>
              <w:t xml:space="preserve">行业经验</w:t>
            </w:r>
          </w:p>
        </w:tc>
        <w:tc>
          <w:tcPr/>
          <w:p>
            <w:pPr>
              <w:pStyle w:val="Compact"/>
              <w:jc w:val="left"/>
            </w:pPr>
            <w:r>
              <w:t xml:space="preserve">5年以上</w:t>
            </w:r>
          </w:p>
        </w:tc>
        <w:tc>
          <w:tcPr/>
          <w:p>
            <w:pPr>
              <w:pStyle w:val="Compact"/>
              <w:jc w:val="left"/>
            </w:pPr>
            <w:r>
              <w:t xml:space="preserve">3-5年</w:t>
            </w:r>
          </w:p>
        </w:tc>
        <w:tc>
          <w:tcPr/>
          <w:p>
            <w:pPr>
              <w:pStyle w:val="Compact"/>
              <w:jc w:val="left"/>
            </w:pPr>
            <w:r>
              <w:t xml:space="preserve">1-3年</w:t>
            </w:r>
          </w:p>
        </w:tc>
        <w:tc>
          <w:tcPr/>
          <w:p>
            <w:pPr>
              <w:pStyle w:val="Compact"/>
              <w:jc w:val="left"/>
            </w:pPr>
            <w:r>
              <w:t xml:space="preserve">案例分享</w:t>
            </w:r>
          </w:p>
        </w:tc>
      </w:tr>
      <w:tr>
        <w:tc>
          <w:tcPr/>
          <w:p>
            <w:pPr>
              <w:pStyle w:val="Compact"/>
              <w:jc w:val="left"/>
            </w:pPr>
            <w:r>
              <w:t xml:space="preserve">资金实力</w:t>
            </w:r>
          </w:p>
        </w:tc>
        <w:tc>
          <w:tcPr/>
          <w:p>
            <w:pPr>
              <w:pStyle w:val="Compact"/>
              <w:jc w:val="left"/>
            </w:pPr>
            <w:r>
              <w:t xml:space="preserve">雄厚</w:t>
            </w:r>
          </w:p>
        </w:tc>
        <w:tc>
          <w:tcPr/>
          <w:p>
            <w:pPr>
              <w:pStyle w:val="Compact"/>
              <w:jc w:val="left"/>
            </w:pPr>
            <w:r>
              <w:t xml:space="preserve">良好</w:t>
            </w:r>
          </w:p>
        </w:tc>
        <w:tc>
          <w:tcPr/>
          <w:p>
            <w:pPr>
              <w:pStyle w:val="Compact"/>
              <w:jc w:val="left"/>
            </w:pPr>
            <w:r>
              <w:t xml:space="preserve">一般</w:t>
            </w:r>
          </w:p>
        </w:tc>
        <w:tc>
          <w:tcPr/>
          <w:p>
            <w:pPr>
              <w:pStyle w:val="Compact"/>
              <w:jc w:val="left"/>
            </w:pPr>
            <w:r>
              <w:t xml:space="preserve">金融支持</w:t>
            </w:r>
          </w:p>
        </w:tc>
      </w:tr>
    </w:tbl>
    <w:p>
      <w:pPr>
        <w:pStyle w:val="BodyText"/>
      </w:pPr>
      <w:r>
        <w:t xml:space="preserve">续表5.7：地区合作伙伴选择标准与培育计划</w:t>
      </w:r>
    </w:p>
    <w:tbl>
      <w:tblPr>
        <w:tblStyle w:val="Table"/>
        <w:tblW w:type="pct" w:w="4868"/>
        <w:tblLook w:firstRow="0" w:lastRow="0" w:firstColumn="0" w:lastColumn="0" w:noHBand="0" w:noVBand="0" w:val="0000"/>
      </w:tblPr>
      <w:tblGrid>
        <w:gridCol w:w="1458"/>
        <w:gridCol w:w="1667"/>
        <w:gridCol w:w="1667"/>
        <w:gridCol w:w="1667"/>
        <w:gridCol w:w="1250"/>
      </w:tblGrid>
      <w:tr>
        <w:tc>
          <w:tcPr/>
          <w:p>
            <w:pPr>
              <w:pStyle w:val="Compact"/>
              <w:jc w:val="left"/>
            </w:pPr>
            <w:r>
              <w:t xml:space="preserve">选择标准</w:t>
            </w:r>
          </w:p>
        </w:tc>
        <w:tc>
          <w:tcPr/>
          <w:p>
            <w:pPr>
              <w:pStyle w:val="Compact"/>
              <w:jc w:val="left"/>
            </w:pPr>
            <w:r>
              <w:t xml:space="preserve">金牌合作伙伴</w:t>
            </w:r>
          </w:p>
        </w:tc>
        <w:tc>
          <w:tcPr/>
          <w:p>
            <w:pPr>
              <w:pStyle w:val="Compact"/>
              <w:jc w:val="left"/>
            </w:pPr>
            <w:r>
              <w:t xml:space="preserve">银牌合作伙伴</w:t>
            </w:r>
          </w:p>
        </w:tc>
        <w:tc>
          <w:tcPr/>
          <w:p>
            <w:pPr>
              <w:pStyle w:val="Compact"/>
              <w:jc w:val="left"/>
            </w:pPr>
            <w:r>
              <w:t xml:space="preserve">铜牌合作伙伴</w:t>
            </w:r>
          </w:p>
        </w:tc>
        <w:tc>
          <w:tcPr/>
          <w:p>
            <w:pPr>
              <w:pStyle w:val="Compact"/>
              <w:jc w:val="left"/>
            </w:pPr>
            <w:r>
              <w:t xml:space="preserve">培育重点</w:t>
            </w:r>
          </w:p>
        </w:tc>
      </w:tr>
      <w:tr>
        <w:tc>
          <w:tcPr/>
          <w:p>
            <w:pPr>
              <w:pStyle w:val="Compact"/>
              <w:jc w:val="left"/>
            </w:pPr>
            <w:r>
              <w:t xml:space="preserve">市场覆盖</w:t>
            </w:r>
          </w:p>
        </w:tc>
        <w:tc>
          <w:tcPr/>
          <w:p>
            <w:pPr>
              <w:pStyle w:val="Compact"/>
              <w:jc w:val="left"/>
            </w:pPr>
            <w:r>
              <w:t xml:space="preserve">省级覆盖</w:t>
            </w:r>
          </w:p>
        </w:tc>
        <w:tc>
          <w:tcPr/>
          <w:p>
            <w:pPr>
              <w:pStyle w:val="Compact"/>
              <w:jc w:val="left"/>
            </w:pPr>
            <w:r>
              <w:t xml:space="preserve">地市级覆盖</w:t>
            </w:r>
          </w:p>
        </w:tc>
        <w:tc>
          <w:tcPr/>
          <w:p>
            <w:pPr>
              <w:pStyle w:val="Compact"/>
              <w:jc w:val="left"/>
            </w:pPr>
            <w:r>
              <w:t xml:space="preserve">县级覆盖</w:t>
            </w:r>
          </w:p>
        </w:tc>
        <w:tc>
          <w:tcPr/>
          <w:p>
            <w:pPr>
              <w:pStyle w:val="Compact"/>
              <w:jc w:val="left"/>
            </w:pPr>
            <w:r>
              <w:t xml:space="preserve">市场协同</w:t>
            </w:r>
          </w:p>
        </w:tc>
      </w:tr>
      <w:tr>
        <w:tc>
          <w:tcPr/>
          <w:p>
            <w:pPr>
              <w:pStyle w:val="Compact"/>
              <w:jc w:val="left"/>
            </w:pPr>
            <w:r>
              <w:t xml:space="preserve">年项目能力</w:t>
            </w:r>
          </w:p>
        </w:tc>
        <w:tc>
          <w:tcPr/>
          <w:p>
            <w:pPr>
              <w:pStyle w:val="Compact"/>
              <w:jc w:val="left"/>
            </w:pPr>
            <w:r>
              <w:t xml:space="preserve">10个以上</w:t>
            </w:r>
          </w:p>
        </w:tc>
        <w:tc>
          <w:tcPr/>
          <w:p>
            <w:pPr>
              <w:pStyle w:val="Compact"/>
              <w:jc w:val="left"/>
            </w:pPr>
            <w:r>
              <w:t xml:space="preserve">5-10个</w:t>
            </w:r>
          </w:p>
        </w:tc>
        <w:tc>
          <w:tcPr/>
          <w:p>
            <w:pPr>
              <w:pStyle w:val="Compact"/>
              <w:jc w:val="left"/>
            </w:pPr>
            <w:r>
              <w:t xml:space="preserve">1-5个</w:t>
            </w:r>
          </w:p>
        </w:tc>
        <w:tc>
          <w:tcPr/>
          <w:p>
            <w:pPr>
              <w:pStyle w:val="Compact"/>
              <w:jc w:val="left"/>
            </w:pPr>
            <w:r>
              <w:t xml:space="preserve">项目协作</w:t>
            </w:r>
          </w:p>
        </w:tc>
      </w:tr>
      <w:tr>
        <w:tc>
          <w:tcPr/>
          <w:p>
            <w:pPr>
              <w:pStyle w:val="Compact"/>
              <w:jc w:val="left"/>
            </w:pPr>
            <w:r>
              <w:t xml:space="preserve">培育周期</w:t>
            </w:r>
          </w:p>
        </w:tc>
        <w:tc>
          <w:tcPr/>
          <w:p>
            <w:pPr>
              <w:pStyle w:val="Compact"/>
              <w:jc w:val="left"/>
            </w:pPr>
            <w:r>
              <w:t xml:space="preserve">6个月</w:t>
            </w:r>
          </w:p>
        </w:tc>
        <w:tc>
          <w:tcPr/>
          <w:p>
            <w:pPr>
              <w:pStyle w:val="Compact"/>
              <w:jc w:val="left"/>
            </w:pPr>
            <w:r>
              <w:t xml:space="preserve">9个月</w:t>
            </w:r>
          </w:p>
        </w:tc>
        <w:tc>
          <w:tcPr/>
          <w:p>
            <w:pPr>
              <w:pStyle w:val="Compact"/>
              <w:jc w:val="left"/>
            </w:pPr>
            <w:r>
              <w:t xml:space="preserve">12个月</w:t>
            </w:r>
          </w:p>
        </w:tc>
        <w:tc>
          <w:tcPr/>
          <w:p>
            <w:pPr>
              <w:pStyle w:val="Compact"/>
              <w:jc w:val="left"/>
            </w:pPr>
            <w:r>
              <w:t xml:space="preserve">渐进式</w:t>
            </w:r>
          </w:p>
        </w:tc>
      </w:tr>
    </w:tbl>
    <w:bookmarkEnd w:id="88"/>
    <w:bookmarkStart w:id="89" w:name="产学研合作与行业标准共建"/>
    <w:p>
      <w:pPr>
        <w:pStyle w:val="4"/>
      </w:pPr>
      <w:r>
        <w:t xml:space="preserve">5.5.3 产学研合作与行业标准共建</w:t>
      </w:r>
    </w:p>
    <w:p>
      <w:pPr>
        <w:pStyle w:val="FirstParagraph"/>
      </w:pPr>
      <w:r>
        <w:t xml:space="preserve">长期生态建设包括产学研合作和行业标准参与，具体举措包括三个方面：一是建立高校联合实验室，与清华大学、同济大学等合作推动前沿技术研究；二是参与行业标准制定，积极介入DIC技术相关国家标准的制定工作，提升行业话语权；三是推进产业联盟建设，发起成立”视觉测量产业创新联盟”，整合产业链资源。</w:t>
      </w:r>
    </w:p>
    <w:bookmarkEnd w:id="89"/>
    <w:bookmarkEnd w:id="90"/>
    <w:bookmarkStart w:id="94" w:name="实施路径的时间规划与关键里程碑"/>
    <w:p>
      <w:pPr>
        <w:pStyle w:val="3"/>
      </w:pPr>
      <w:r>
        <w:t xml:space="preserve">5.6 实施路径的时间规划与关键里程碑</w:t>
      </w:r>
    </w:p>
    <w:p>
      <w:pPr>
        <w:pStyle w:val="FirstParagraph"/>
      </w:pPr>
      <w:r>
        <w:t xml:space="preserve">为确保战略转型有序推进，HSM制定了详细的实施时间表：</w:t>
      </w:r>
    </w:p>
    <w:bookmarkStart w:id="91" w:name="基础建设期"/>
    <w:p>
      <w:pPr>
        <w:pStyle w:val="4"/>
      </w:pPr>
      <w:r>
        <w:t xml:space="preserve">5.6.1基础建设期</w:t>
      </w:r>
    </w:p>
    <w:p>
      <w:pPr>
        <w:pStyle w:val="FirstParagraph"/>
      </w:pPr>
      <w:r>
        <w:t xml:space="preserve">2025 Q1-Q2：组织架构调整、研发资源重新配置</w:t>
      </w:r>
    </w:p>
    <w:p>
      <w:pPr>
        <w:pStyle w:val="BodyText"/>
      </w:pPr>
      <w:r>
        <w:t xml:space="preserve">2025 Q2-Q3：捆绑销售合作签约、地区合作伙伴发展</w:t>
      </w:r>
    </w:p>
    <w:p>
      <w:pPr>
        <w:pStyle w:val="BodyText"/>
      </w:pPr>
      <w:r>
        <w:t xml:space="preserve">2025 Q3-Q4：供应链优化、数字化平台建设</w:t>
      </w:r>
    </w:p>
    <w:bookmarkEnd w:id="91"/>
    <w:bookmarkStart w:id="92" w:name="全面推进期"/>
    <w:p>
      <w:pPr>
        <w:pStyle w:val="4"/>
      </w:pPr>
      <w:r>
        <w:t xml:space="preserve">5.6.2全面推进期</w:t>
      </w:r>
    </w:p>
    <w:p>
      <w:pPr>
        <w:pStyle w:val="FirstParagraph"/>
      </w:pPr>
      <w:r>
        <w:t xml:space="preserve">2026 Q1-Q2：新产品研发突破、垂直领域市场拓展</w:t>
      </w:r>
    </w:p>
    <w:p>
      <w:pPr>
        <w:pStyle w:val="BodyText"/>
      </w:pPr>
      <w:r>
        <w:t xml:space="preserve">2026 Q3-Q4：合作伙伴体系成熟、回款机制优化见效</w:t>
      </w:r>
    </w:p>
    <w:bookmarkEnd w:id="92"/>
    <w:bookmarkStart w:id="93" w:name="成果巩固期"/>
    <w:p>
      <w:pPr>
        <w:pStyle w:val="4"/>
      </w:pPr>
      <w:r>
        <w:t xml:space="preserve">5.6.3成果巩固期</w:t>
      </w:r>
    </w:p>
    <w:p>
      <w:pPr>
        <w:pStyle w:val="FirstParagraph"/>
      </w:pPr>
      <w:r>
        <w:t xml:space="preserve">三条产品线均衡发展</w:t>
      </w:r>
    </w:p>
    <w:p>
      <w:pPr>
        <w:pStyle w:val="BodyText"/>
      </w:pPr>
      <w:r>
        <w:t xml:space="preserve">资金周转率显著提升</w:t>
      </w:r>
    </w:p>
    <w:p>
      <w:pPr>
        <w:pStyle w:val="BodyText"/>
      </w:pPr>
      <w:r>
        <w:t xml:space="preserve">行业领导地位巩固</w:t>
      </w:r>
    </w:p>
    <w:bookmarkEnd w:id="93"/>
    <w:bookmarkEnd w:id="94"/>
    <w:bookmarkStart w:id="97" w:name="预期成效与风险评估"/>
    <w:p>
      <w:pPr>
        <w:pStyle w:val="3"/>
      </w:pPr>
      <w:r>
        <w:t xml:space="preserve">5.7 预期成效与风险评估</w:t>
      </w:r>
    </w:p>
    <w:bookmarkStart w:id="95" w:name="预期成效"/>
    <w:p>
      <w:pPr>
        <w:pStyle w:val="4"/>
      </w:pPr>
      <w:r>
        <w:t xml:space="preserve">5.7.1 预期成效</w:t>
      </w:r>
    </w:p>
    <w:p>
      <w:pPr>
        <w:pStyle w:val="FirstParagraph"/>
      </w:pPr>
      <w:r>
        <w:t xml:space="preserve">财务指标改善：整体毛利率从55%提升至65%，资金周转率从1.5次/年提升至3.0次/年</w:t>
      </w:r>
    </w:p>
    <w:p>
      <w:pPr>
        <w:pStyle w:val="BodyText"/>
      </w:pPr>
      <w:r>
        <w:t xml:space="preserve">市场地位巩固：视频引伸计/应变仪国内市场占有率从30%提升至45%</w:t>
      </w:r>
    </w:p>
    <w:p>
      <w:pPr>
        <w:pStyle w:val="BodyText"/>
      </w:pPr>
      <w:r>
        <w:t xml:space="preserve">产品结构优化：标准化产品收入占比从60%提升至80%</w:t>
      </w:r>
    </w:p>
    <w:p>
      <w:pPr>
        <w:pStyle w:val="BodyText"/>
      </w:pPr>
      <w:r>
        <w:t xml:space="preserve">组织效率提升：人均产值从100万元/年提升至150万元/年</w:t>
      </w:r>
    </w:p>
    <w:bookmarkEnd w:id="95"/>
    <w:bookmarkStart w:id="96" w:name="风险与应对"/>
    <w:p>
      <w:pPr>
        <w:pStyle w:val="4"/>
      </w:pPr>
      <w:r>
        <w:t xml:space="preserve">5.7.2 风险与应对</w:t>
      </w:r>
    </w:p>
    <w:p>
      <w:pPr>
        <w:pStyle w:val="FirstParagraph"/>
      </w:pPr>
      <w:r>
        <w:t xml:space="preserve">合作伙伴管理风险：建立严格的合作伙伴筛选和退出机制</w:t>
      </w:r>
    </w:p>
    <w:p>
      <w:pPr>
        <w:pStyle w:val="BodyText"/>
      </w:pPr>
      <w:r>
        <w:t xml:space="preserve">技术研发不确定性：保持适度的研发投入冗余，分散技术路线风险</w:t>
      </w:r>
    </w:p>
    <w:p>
      <w:pPr>
        <w:pStyle w:val="BodyText"/>
      </w:pPr>
      <w:r>
        <w:t xml:space="preserve">市场竞争加剧：持续技术创新，构建专利护城河</w:t>
      </w:r>
    </w:p>
    <w:p>
      <w:pPr>
        <w:pStyle w:val="BodyText"/>
      </w:pPr>
      <w:r>
        <w:t xml:space="preserve">供应链波动风险：建立多源供应体系，保持供应链弹性</w:t>
      </w:r>
    </w:p>
    <w:p>
      <w:pPr>
        <w:pStyle w:val="BodyText"/>
      </w:pPr>
      <w:r>
        <w:t xml:space="preserve">本章小结：基于HSM三条产品线在技术成熟度、标准化程度和市场定位上的显著差异，本章提出了一个分层次的战略转型实施框架。视频引伸计和视频应变仪作为成熟产品线，重点通过供应链优化和标准化生产实现效率提升；视频跟踪仪作为发展期产品，则需通过垂直领域聚焦和合作伙伴体系构建完成从项目制到产品制的模式转型。这一差异化策略反映了硬科技企业在平衡技术创新与商业化过程中的核心挑战：既要维持技术领先优势，又需构建可持续的商业模式。研究进一步表明，HSM的转型路径不仅涉及技术和市场层面的调整，更需要组织架构、数字化能力和生态系统的协同变革，这种多维度的系统转型为同类企业提供了可借鉴的实施范式。</w:t>
      </w:r>
    </w:p>
    <w:bookmarkEnd w:id="96"/>
    <w:bookmarkEnd w:id="97"/>
    <w:bookmarkEnd w:id="98"/>
    <w:bookmarkStart w:id="106" w:name="第六章-hsm转型的成效评估"/>
    <w:p>
      <w:pPr>
        <w:pStyle w:val="2"/>
      </w:pPr>
      <w:r>
        <w:t xml:space="preserve">第六章 HSM转型的成效评估</w:t>
      </w:r>
    </w:p>
    <w:bookmarkStart w:id="99" w:name="转型成效评估框架构建"/>
    <w:p>
      <w:pPr>
        <w:pStyle w:val="3"/>
      </w:pPr>
      <w:r>
        <w:t xml:space="preserve">6.1 转型成效评估框架构建</w:t>
      </w:r>
    </w:p>
    <w:p>
      <w:pPr>
        <w:pStyle w:val="FirstParagraph"/>
      </w:pPr>
      <w:r>
        <w:t xml:space="preserve">基于企业转型的多维度特征，本研究构建了一个涵盖财务绩效、市场地位、技术创新、组织能力和可持续发展五个维度的综合评估体系。该评估框架旨在科学、客观地评价HSM转型的整体成效，为深入分析战略转型的实际效果提供系统化的评价工具。</w:t>
      </w:r>
    </w:p>
    <w:p>
      <w:pPr>
        <w:pStyle w:val="BodyText"/>
      </w:pPr>
      <w:r>
        <w:t xml:space="preserve">财务绩效维度主要关注收入增长、盈利能力和运营效率三个方面的指标。收入增长指标涵盖营业收入年增长率、新产品收入占比和高附加值产品收入比例；盈利能力指标包括毛利率变化趋势、净利润增长率、投资回报率（ROI）和资产收益率（ROA）；运营效率指标则涉及成本控制效果、库存周转率、现金流状况和运营成本占比等关键要素。</w:t>
      </w:r>
    </w:p>
    <w:p>
      <w:pPr>
        <w:pStyle w:val="BodyText"/>
      </w:pPr>
      <w:r>
        <w:t xml:space="preserve">市场地位维度侧重于市场份额、品牌影响力和客户结构三个层面。市场份额指标评估整体市场占有率、细分市场领导地位和客户覆盖率；品牌影响力指标考量品牌知名度提升、行业声誉指数、客户满意度和品牌价值评估；客户结构指标则关注大客户数量和质量、客户留存率、新客户获取成本以及客户生命周期价值。</w:t>
      </w:r>
    </w:p>
    <w:p>
      <w:pPr>
        <w:pStyle w:val="BodyText"/>
      </w:pPr>
      <w:r>
        <w:t xml:space="preserve">技术创新维度聚焦研发投入、技术成果和创新能力三个方面。研发投入指标包括研发费用占营收比重、研发人员占比和研发设备投入；技术成果指标涵盖专利申请和授权数量、技术突破性成果、新产品开发周期和技术标准参与度；创新能力指标则评估创新项目成功率、技术转化效率、知识产权保护状况和创新文化建设成效。</w:t>
      </w:r>
    </w:p>
    <w:p>
      <w:pPr>
        <w:pStyle w:val="BodyText"/>
      </w:pPr>
      <w:r>
        <w:t xml:space="preserve">组织能力维度从人才发展、管理效率和文化融合三个角度进行评估。人才发展指标涉及核心人才留存率、员工技能提升度、人才梯队建设效果和组织学习能力；管理效率指标考察决策效率提升、跨部门协作效果、信息化水平和管理成本控制；文化融合指标则关注企业文化认同度、变革接受度、团队凝聚力和创新氛围营造。</w:t>
      </w:r>
    </w:p>
    <w:p>
      <w:pPr>
        <w:pStyle w:val="BodyText"/>
      </w:pPr>
      <w:r>
        <w:t xml:space="preserve">可持续发展维度包括战略持续性和社会责任两个关键方面。战略持续性指标评估长期战略规划完善度、业务模式可持续性、抗风险能力和适应性能力；社会责任指标则考量环境保护贡献、社会影响力、行业推动作用以及可持续发展实践的具体成效。</w:t>
      </w:r>
    </w:p>
    <w:p>
      <w:pPr>
        <w:pStyle w:val="BodyText"/>
      </w:pPr>
      <w:r>
        <w:t xml:space="preserve">为确保评估结果的客观性和准确性，本研究采用定量分析与定性分析相结合的综合评估方法，通过多元化的数据来源构建全面的评价体系。</w:t>
      </w:r>
    </w:p>
    <w:p>
      <w:pPr>
        <w:pStyle w:val="BodyText"/>
      </w:pPr>
      <w:r>
        <w:t xml:space="preserve">定量评估方法主要涵盖三个方面。财务数据分析基于公开财务报表进行趋势分析，采用财务比率分析法评估盈利能力和运营效率，并运用杜邦分析法分解企业价值创造能力。市场数据统计通过行业报告和市场调研数据对比分析，追踪竞争对手市场份额变化，并对客户调研数据进行统计分析。技术指标量化则涉及专利数据的技术价值评估、研发投入产出比计算以及产品性能指标的客观测量。</w:t>
      </w:r>
    </w:p>
    <w:p>
      <w:pPr>
        <w:pStyle w:val="BodyText"/>
      </w:pPr>
      <w:r>
        <w:t xml:space="preserve">定性评估方法主要包括三种类型。专家访谈法通过对行业专家深度访谈、企业管理层访谈和技术专家专业评估获取深层次见解。案例分析法则通过对典型客户应用案例的深度剖析，总结提炼成功转型经验，并对失败教训进行反思分析。比较分析法通过与行业标杆企业对比、转型前后效果对比以及同期竞争对手对比，建立相对评价基准。</w:t>
      </w:r>
    </w:p>
    <w:p>
      <w:pPr>
        <w:pStyle w:val="BodyText"/>
      </w:pPr>
      <w:r>
        <w:t xml:space="preserve">数据来源包括一手数据和二手数据两个类别。一手数据主要来源于企业内部访谈和调研、实地考察和观察记录，以及问卷调查和统计分析。二手数据则包括公开财务报告和年报、行业研究机构和咨询公司报告、政府统计数据和政策文件、媒体报道和专业期刊文章，以及专利数据库和技术文献等外部资料。</w:t>
      </w:r>
    </w:p>
    <w:bookmarkEnd w:id="99"/>
    <w:bookmarkStart w:id="100" w:name="财务绩效成效分析"/>
    <w:p>
      <w:pPr>
        <w:pStyle w:val="3"/>
      </w:pPr>
      <w:r>
        <w:t xml:space="preserve">6.2 财务绩效成效分析</w:t>
      </w:r>
    </w:p>
    <w:p>
      <w:pPr>
        <w:pStyle w:val="FirstParagraph"/>
      </w:pPr>
      <w:r>
        <w:t xml:space="preserve">HSM战略转型在财务绩效方面取得了显著成效，主要体现在收入规模的快速增长、收入结构的持续优化以及盈利能力的稳步提升。</w:t>
      </w:r>
    </w:p>
    <w:p>
      <w:pPr>
        <w:pStyle w:val="BodyText"/>
      </w:pPr>
      <w:r>
        <w:t xml:space="preserve">收入规模增长分析显示，2021-2023年复合年均增长率（CAGR）达到45%以上，2023年营收突破1亿元人民币大关，预计2024年营收将保持30%以上的增长速度。增长驱动因素主要包括新产品贡献，第三代DIC技术产品线贡献了60%以上的新增收入；市场拓展效应，从传统科研市场向工业市场成功转型，新增客户超过200家；服务收入增长，技术服务和解决方案收入占比从15%提升至25%。</w:t>
      </w:r>
    </w:p>
    <w:p>
      <w:pPr>
        <w:pStyle w:val="BodyText"/>
      </w:pPr>
      <w:r>
        <w:t xml:space="preserve">收入结构优化效果主要体现在三个方面。产品结构升级方面，高端产品收入占比从转型前的30%提升至65%，标准化产品收入占比达到70%降低了定制化业务的风险，软件和服务收入占比显著提升体现了向软件化转型的成效。客户结构改善方面，工业客户收入占比从20%提升至55%降低了对科研市场的依赖，大客户（年收入100万以上）数量从5家增加至20家，客户集中度风险降低使前五大客户收入占比从60%降至35%。区域市场扩展方面，华北、华东、华南三大核心区域市场布局完成，海外市场开始突破使东南亚市场收入占比达到8%，区域分散化降低了地域风险。</w:t>
      </w:r>
    </w:p>
    <w:p>
      <w:pPr>
        <w:pStyle w:val="BodyText"/>
      </w:pPr>
      <w:r>
        <w:t xml:space="preserve">战略转型不仅带来了收入规模的扩张，更重要的是显著提升了企业的盈利能力和运营效率，为可持续发展奠定了坚实基础。</w:t>
      </w:r>
    </w:p>
    <w:p>
      <w:pPr>
        <w:pStyle w:val="BodyText"/>
      </w:pPr>
      <w:r>
        <w:t xml:space="preserve">盈利能力改善分析主要体现在三个方面。毛利率大幅提升方面，整体毛利率从转型前的45%显著提升至65%达到行业领先水平，标准化产品毛利率达到70%以上规模效应明显，软件和服务业务毛利率超过75%高附加值业务贡献增加。净利率跨越式增长方面，净利率从8%大幅提升至18%盈利能力显著增强，规模效应开始显现固定成本摊薄效果明显，高附加值产品占比提升带动整体盈利水平。投资回报率优化方面，ROI从8%提升至15%投资效率显著改善，ROA从5%提升至10%资产运用效率大幅提升，技术投资回报周期从3年缩短至2年。</w:t>
      </w:r>
    </w:p>
    <w:p>
      <w:pPr>
        <w:pStyle w:val="BodyText"/>
      </w:pPr>
      <w:r>
        <w:t xml:space="preserve">运营效率提升表现同样体现在三个层面。成本控制成效方面，研发成本占总收入比重保持在25%的合理水平，生产成本通过标准化降低了15%，销售和管理费用率从30%降至25%管理效率提升。现金流状况显著改善方面，经营性现金流持续为正现金回款率达到85%，存货周转率提升50%库存管理水平大幅提升，应收账款周转天数从270天大幅缩短至90天回款效率提升200%。资产运营效率提升方面，固定资产周转率从2.5提升至3.5资产利用效率提高，总资产周转率从0.8提升至1.2整体运营效率改善，人均产值提升2.5倍组织效能显著增强。</w:t>
      </w:r>
    </w:p>
    <w:p>
      <w:pPr>
        <w:pStyle w:val="BodyText"/>
      </w:pPr>
      <w:r>
        <w:t xml:space="preserve">财务风险控制主要体现在两个方面。资产负债结构优化方面，资产负债率保持在50%以下的健康水平，流动比率维持在2.0以上短期偿债能力良好，长期负债占比合理财务杠杆运用适度。盈利质量提升方面，经常性损益占比超过90%盈利来源稳定，非经常性损益影响最小化避免一次性收益依赖，现金流与净利润匹配度提高盈利质量显著改善。</w:t>
      </w:r>
    </w:p>
    <w:bookmarkEnd w:id="100"/>
    <w:bookmarkStart w:id="101" w:name="市场地位与品牌影响力"/>
    <w:p>
      <w:pPr>
        <w:pStyle w:val="3"/>
      </w:pPr>
      <w:r>
        <w:t xml:space="preserve">6.3 市场地位与品牌影响力</w:t>
      </w:r>
    </w:p>
    <w:p>
      <w:pPr>
        <w:pStyle w:val="FirstParagraph"/>
      </w:pPr>
      <w:r>
        <w:t xml:space="preserve">HSM通过战略转型实现了市场地位的显著提升，从传统DIC技术的小众参与者成长为视觉力学传感器领域的重要竞争者，在细分市场建立了较强的竞争优势。</w:t>
      </w:r>
    </w:p>
    <w:p>
      <w:pPr>
        <w:pStyle w:val="BodyText"/>
      </w:pPr>
      <w:r>
        <w:t xml:space="preserve">市场份额变化分析显示三个方面的重要进展。整体市场地位提升方面，国内DIC市场占有率从转型前的3%提升至12%，使公司成为国内DIC技术领域的第二大厂商，在工业应用细分市场的占有率达到18%位居行业前列。细分市场突破方面，科研市场保持稳定增长市场份额达到15%，工业市场实现重大突破市场份额达到8%，教育市场快速扩张市场份额达到10%。区域市场表现方面，华北市场占有率领先达到15%，华东市场快速追赶占有率12%，华南市场稳步增长占有率10%。</w:t>
      </w:r>
    </w:p>
    <w:p>
      <w:pPr>
        <w:pStyle w:val="BodyText"/>
      </w:pPr>
      <w:r>
        <w:t xml:space="preserve">竞争格局变化体现在两个层面。与国内竞争对手对比方面，相比传统DIC厂商，HSM在技术创新方面领先2-3年；相比新兴企业，HSM在产品成熟度和客户基础上具有优势；在性价比方面比国外进口产品具有30-50%的优势。国际竞争地位方面，技术水平达到国际先进，在单目三维DIC领域处于领先地位；产品价格仅为国际同类产品的50-70%；在亚洲市场的竞争力超过欧美传统厂商。</w:t>
      </w:r>
    </w:p>
    <w:p>
      <w:pPr>
        <w:pStyle w:val="BodyText"/>
      </w:pPr>
      <w:r>
        <w:t xml:space="preserve">战略转型期间，HSM的品牌影响力实现了质的飞跃，从行业内的技术提供商成长为具有全国影响力的创新企业，获得了广泛的市场认可和媒体关注。</w:t>
      </w:r>
    </w:p>
    <w:p>
      <w:pPr>
        <w:pStyle w:val="BodyText"/>
      </w:pPr>
      <w:r>
        <w:t xml:space="preserve">品牌价值提升主要体现在三个方面。行业地位认可方面，2022年入选”专精特新”中小企业名单，2023年被评为”中关村独角兽企业”，2024年入选福布斯中国”最具创新力企业”榜单。媒体关注度和曝光度方面，主流媒体报道数量增加300%，行业专业期刊专题报道15次，社交媒体粉丝数量增长500%。品牌荣誉和奖项方面，获得”中国仪器仪表学会科学技术奖”，入选”中关村天使投资联盟年度投资价值企业”，并获得多项创新创业大赛金奖。</w:t>
      </w:r>
    </w:p>
    <w:p>
      <w:pPr>
        <w:pStyle w:val="BodyText"/>
      </w:pPr>
      <w:r>
        <w:t xml:space="preserve">客户认可度提升同样体现在三个层面。客户满意度调查方面，整体客户满意度从75%提升至92%，产品质量满意度达到95%，技术服务满意度达到90%。客户结构优化方面，头部客户包括中科院、清华大学、华为、比亚迪等知名机构，世界500强企业客户数量从0家增加至12家，重复购买率达到80%客户粘性显著增强。市场口碑建立方面，在行业展会和专业会议中的品牌认知度超过80%，客户推荐意愿达到85%，网络口碑正面评价占比超过90%。</w:t>
      </w:r>
    </w:p>
    <w:p>
      <w:pPr>
        <w:pStyle w:val="BodyText"/>
      </w:pPr>
      <w:r>
        <w:t xml:space="preserve">生态系统构建主要体现在三个方面。合作伙伴网络方面，与50+家系统集成商建立合作关系，与20+家高校建立产学研合作关系，与10+家投资机构建立战略合作关系。行业标准参与方面，参与制定DIC技术国家标准3项，参与行业标准制定5项，主导企业技术标准8项。社会责任履行方面，设立”HSM科技创新奖学金”，赞助国内外学术会议20+场，开展科普教育活动100+场。</w:t>
      </w:r>
    </w:p>
    <w:bookmarkEnd w:id="101"/>
    <w:bookmarkStart w:id="102" w:name="技术创新成效评估"/>
    <w:p>
      <w:pPr>
        <w:pStyle w:val="3"/>
      </w:pPr>
      <w:r>
        <w:t xml:space="preserve">6.4 技术创新成效评估</w:t>
      </w:r>
    </w:p>
    <w:p>
      <w:pPr>
        <w:pStyle w:val="FirstParagraph"/>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t xml:space="preserve">研发投入分析主要从三个方面展开。投入规模持续增长方面，研发费用占营业收入比重保持在25%以上，2021-2023年累计研发投入超过5000万元，研发人员数量从30人增长至80人，占总员工比例达到40%。投入结构优化方面，基础研究投入占比15%，应用研究投入占比35%，产品开发投入占比50%；硬件研发投入占比45%，软件研发投入占比35%，算法研发投入占比20%；长期技术储备投入占比30%，短期产品开发投入占比70%。投入效率提升方面，研发投入产出比从1:3提升至1:5，技术转化周期从18个月缩短至12个月，研发项目成功率从60%提升至85%。</w:t>
      </w:r>
    </w:p>
    <w:p>
      <w:pPr>
        <w:pStyle w:val="BodyText"/>
      </w:pPr>
      <w:r>
        <w:t xml:space="preserve">技术产出成果主要体现在三个方面。专利申请与授权方面，累计申请专利50项，其中发明专利30项；获得授权专利35项，发明专利20项；国际专利申请5项，覆盖美国、欧洲、日本等主要市场。技术突破成果方面，单目三维DIC算法实现亚像素级精度，达到国际先进水平；实时图像处理技术处理速度提升10倍，支持高帧率测量；多模态融合技术实现DIC与其他测量技术的有机结合；云端分析平台构建完整的数据分析和远程服务体系。产品创新成果方面，开发第三代DIC产品线3大系列8个型号，软件产品从单一功能扩展至全流程解决方案，新产品开发周期从24个月缩短至12个月。</w:t>
      </w:r>
    </w:p>
    <w:p>
      <w:pPr>
        <w:pStyle w:val="BodyText"/>
      </w:pPr>
      <w:r>
        <w:t xml:space="preserve">技术领先性评估主要涵盖三个维度。核心技术水平方面，单目三维DIC技术在国际上处于领先地位，填补了国内技术空白；人工智能融合技术率先将深度学习技术应用于DIC测量；标准化技术建立了完整的技术标准体系，引领行业发展。技术壁垒构建方面，核心算法自主可控，形成技术护城河；关键技术专利布局完善，保护范围覆盖主要应用领域；技术know-how积累深厚，竞争对手难以模仿。技术生态建设方面，建立开放的技术平台支持第三方开发者，构建完整的技术文档和培训体系，形成产学研一体化的技术创新网络。</w:t>
      </w:r>
    </w:p>
    <w:p>
      <w:pPr>
        <w:pStyle w:val="BodyText"/>
      </w:pPr>
      <w:r>
        <w:t xml:space="preserve">创新能力体系主要体现在三个方面。创新机制建设方面，建立”创新委员会”制度统筹技术创新战略，实施”双轨制”创新管理兼顾渐进式创新和突破式创新，设立”创新基金”支持高风险高回报的创新项目。创新人才队伍方面，核心研发团队中博士占比30%、硕士占比60%，引进国际顶尖专家3名建立技术顾问委员会，与高校联合培养博士后构建人才储备梯队。创新文化建设方面，倡导”技术驱动、创新引领”的企业文化，建立”容错机制”鼓励大胆创新和试错，实施”创新激励计划”重奖重大技术突破。</w:t>
      </w:r>
    </w:p>
    <w:p>
      <w:pPr>
        <w:pStyle w:val="BodyText"/>
      </w:pPr>
      <w:r>
        <w:t xml:space="preserve">技术转化效率主要体现在两个方面。成果转化机制方面，建立”技术-产品-市场”的快速转化通道，设立”产业化基金”支持技术成果转化，构建”中试基地”加速技术成熟和产业化。转化效果评估方面，技术成果转化率达到80%，产业化成功率达到70%，技术转化周期从18个月缩短至12个月。</w:t>
      </w:r>
    </w:p>
    <w:bookmarkEnd w:id="102"/>
    <w:bookmarkStart w:id="103"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t xml:space="preserve">组织架构优化成效主要体现在三个方面。组织结构演进方面，从传统的职能型组织向事业部制组织转变，建立”技术研发-产品管理-市场营销”的协同机制，设立”创新实验室”负责前沿技术探索和突破。决策机制优化方面，建立扁平化的决策体系提高决策效率，实施”数据驱动”的决策模式降低主观判断风险，构建”快速试错”机制提升组织适应性。跨部门协作提升方面，建立”项目制”协作模式打破部门壁垒，实施”矩阵式”管理实现资源共享和协同，构建”知识共享”平台促进经验交流和传承。</w:t>
      </w:r>
    </w:p>
    <w:p>
      <w:pPr>
        <w:pStyle w:val="BodyText"/>
      </w:pPr>
      <w:r>
        <w:t xml:space="preserve">人才发展成果主要体现在三个方面。人才结构战略性优化方面，2025年实施战略性裁员40人优化人员结构降低固定成本，研发力量强化使研发人员占比从25%大幅提升至45%增强技术创新能力，关键人才引进加大AI算法工程师、产品经理、系统架构师等关键岗位招聘，高学历人才提升使高学历人才占比从40%提升至70%提升团队整体素质。人才培养体系方面，建立”HSM学院”系统化培养各类人才，实施”导师制”加速新人成长和能力提升，开展”轮岗计划”培养复合型人才，能力结构转型推动员工从项目实施能力向产品研发能力、解决方案设计能力转型。激励机制完善方面，实施”股权激励”使核心骨干持股比例达到30%，建立”绩效导向”的薪酬体系激励效果显著，设立”创新奖励”重奖重大贡献和技术突破，人均效率提升通过优化激励使人均产值提升2.5倍。</w:t>
      </w:r>
    </w:p>
    <w:p>
      <w:pPr>
        <w:pStyle w:val="BodyText"/>
      </w:pPr>
      <w:r>
        <w:t xml:space="preserve">文化变革成效主要涵盖三个方面。核心价值观重塑方面，从”技术导向”向”客户导向”转变，从”封闭创新”向”开放协作”转变，从”稳健保守”向”敏捷创新”转变。创新文化建设方面，建立”鼓励创新、容忍失败”的文化氛围，倡导”持续学习、追求卓越”的学习文化，营造”开放包容、协作共赢”的团队文化。变革管理成效方面，员工对变革的接受度从60%提升至90%，组织适应性和灵活性显著增强，变革阻力大幅降低且变革成本控制在合理范围。</w:t>
      </w:r>
    </w:p>
    <w:p>
      <w:pPr>
        <w:pStyle w:val="BodyText"/>
      </w:pPr>
      <w:r>
        <w:t xml:space="preserve">组织学习能力提升主要体现在两个方面。学习机制建设方面，建立”学习型组织”倡导持续学习和知识分享，实施”复盘机制”从成功和失败中总结经验教训，构建”知识管理”系统促进隐性知识显性化。学习效果评估方面，员工技能提升度达到85%，组织学习效率提升50%，知识转化应用率超过80%。</w:t>
      </w:r>
    </w:p>
    <w:bookmarkEnd w:id="103"/>
    <w:bookmarkStart w:id="104" w:name="可持续发展能力评估"/>
    <w:p>
      <w:pPr>
        <w:pStyle w:val="3"/>
      </w:pPr>
      <w:r>
        <w:t xml:space="preserve">6.6 可持续发展能力评估</w:t>
      </w:r>
    </w:p>
    <w:p>
      <w:pPr>
        <w:pStyle w:val="FirstParagraph"/>
      </w:pPr>
      <w:r>
        <w:t xml:space="preserve">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t xml:space="preserve">战略持续性分析主要涵盖三个方面。长期发展规划方面，制定5年发展战略规划明确发展路径和目标，建立”战略-战术-执行”的三层规划体系，构建”动态调整”机制确保战略与环境的匹配。业务模式可持续性方面，从”产品导向”向”服务导向”转变提升客户粘性，构建”平台化”业务模式增强扩展性和适应性，发展”生态化”合作模式实现共赢发展。核心竞争力可持续性方面，技术创新能力持续增强保持技术领先优势，人才队伍建设不断完善构建人才竞争优势，品牌影响力持续扩大建立品牌护城河。</w:t>
      </w:r>
    </w:p>
    <w:p>
      <w:pPr>
        <w:pStyle w:val="BodyText"/>
      </w:pPr>
      <w:r>
        <w:t xml:space="preserve">抗风险能力提升主要体现在三个方面。市场风险管控方面，客户结构多元化降低单一大客户依赖风险，产品组合丰富化平衡不同产品的市场风险，区域市场分散化降低地域经济波动风险。技术风险管控方面，技术路线多样化避免单一技术路径风险，核心技术自主可控降低对外技术依赖，技术储备充足确保技术迭代风险可控。财务风险管控方面，现金流管理精细化确保资金安全，负债结构合理化控制财务杠杆风险，投资决策科学化提高投资成功率。</w:t>
      </w:r>
    </w:p>
    <w:p>
      <w:pPr>
        <w:pStyle w:val="BodyText"/>
      </w:pPr>
      <w:r>
        <w:t xml:space="preserve">社会责任履行主要体现在三个方面。环境保护贡献方面，产品设计贯彻绿色理念降低能耗和环境负担，生产过程严格控制污染排放实现清洁生产，推动行业绿色发展引领环保技术进步。社会价值创造方面，为客户创造价值帮助客户提升测量精度和效率，为员工创造机会提供良好的职业发展平台，为股东创造回报实现企业价值的持续增长。公益慈善参与方面，设立教育奖学金支持贫困学生完成学业，赞助学术研究推动科学技术进步，参与社区建设履行企业公民责任。</w:t>
      </w:r>
    </w:p>
    <w:p>
      <w:pPr>
        <w:pStyle w:val="BodyText"/>
      </w:pPr>
      <w:r>
        <w:t xml:space="preserve">行业影响力提升主要体现在三个方面。技术引领作用方面，引领DIC技术发展方向制定行业技术标准，推动技术普及应用降低技术应用门槛，促进产学研合作加速技术成果转化。市场规范作用方面，倡导公平竞争维护市场秩序，推动价格理性化促进行业健康发展，提升服务质量树立行业服务标杆。创新发展推动方面，建立创新生态系统培育创新创业企业，分享创新经验促进行业整体进步，推动国际化发展提升中国企业在全球的地位。</w:t>
      </w:r>
    </w:p>
    <w:bookmarkEnd w:id="104"/>
    <w:bookmarkStart w:id="105" w:name="转型成效综合评价"/>
    <w:p>
      <w:pPr>
        <w:pStyle w:val="3"/>
      </w:pPr>
      <w:r>
        <w:t xml:space="preserve">6.7 转型成效综合评价</w:t>
      </w:r>
    </w:p>
    <w:p>
      <w:pPr>
        <w:pStyle w:val="FirstParagraph"/>
      </w:pPr>
      <w:r>
        <w:t xml:space="preserve">基于构建的五维评价指标体系，本研究对HSM转型的整体成效进行了综合评估。分析表明，HSM的战略转型取得了显著成效，在技术、市场、组织等多个维度实现了系统性提升。转型过程中，HSM成功实施了以技术驱动为核心的战略调整，市场定位更加精准，组织能力与战略需求实现了良好匹配。这些实践经验为其他科技型企业提供了有价值的参考，特别是在战略制定、执行推进和风险管控等方面，展示了技术驱动型企业通过系统性转型实现跨越式发展的可行路径。</w:t>
      </w:r>
    </w:p>
    <w:p>
      <w:pPr>
        <w:pStyle w:val="BodyText"/>
      </w:pPr>
      <w:r>
        <w:t xml:space="preserve">从五个维度的综合评价来看，HSM在财务绩效、市场地位、技术创新等方面均取得了显著进步。财务绩效方面，企业实现了收入规模的稳定增长和盈利能力的持续改善；市场地位方面，市场份额稳步提升，品牌影响力和客户认可度不断增强；技术创新维度表现尤为突出，研发投入力度加大，技术成果产出丰富，创新能力得到系统性提升；组织能力建设方面，组织架构优化和人才发展取得积极进展；可持续发展能力也在持续增强，为企业长期发展奠定了基础。</w:t>
      </w:r>
    </w:p>
    <w:p>
      <w:pPr>
        <w:pStyle w:val="BodyText"/>
      </w:pPr>
      <w:r>
        <w:t xml:space="preserve">转型成效定性分析揭示，转型成功的核心要素主要包括三个方面。技术驱动战略方面，以第三代DIC技术为核心的技术创新战略成功实施，技术领先优势转化为市场竞争优势，技术壁垒构建有效使竞争对手难以模仿。市场定位精准方面，从科研市场向工业市场的战略调整成功，标准化产品战略降低了成本和风险，客户结构优化增强了企业抗风险能力。组织能力匹配方面，组织架构调整支撑了业务发展战略，人才队伍建设保障了技术创新需求，文化变革促进了转型的顺利实施。</w:t>
      </w:r>
    </w:p>
    <w:p>
      <w:pPr>
        <w:pStyle w:val="BodyText"/>
      </w:pPr>
      <w:r>
        <w:t xml:space="preserve">存在的主要问题同样体现在三个方面。组织能力建设滞后方面，人才发展速度跟不上业务发展需求，文化变革深度不够且部分传统思维仍然存在，管理体系完善度有待提升。可持续发展能力不足方面，长期战略规划需要进一步完善，社会责任履行需要系统化推进，行业影响力发挥不够充分。国际化程度不高方面，海外市场拓展相对滞后，国际技术合作需要加强，全球品牌影响力有限。</w:t>
      </w:r>
    </w:p>
    <w:p>
      <w:pPr>
        <w:pStyle w:val="BodyText"/>
      </w:pPr>
      <w:r>
        <w:t xml:space="preserve">基于HSM转型的实践经验，可以总结出以下几个方面的启示。在战略制定方面，企业应当坚持以技术创新为核心驱动力，持续加大研发投入，构建完整的技术创新生态体系。同时需要保持市场导向思维，深入理解客户需求变化，及时调整市场定位和产品策略，构建灵活的市场响应机制。实施差异化竞争策略，找准细分市场领域，构建独特的技术优势和市场地位，形成难以模仿的竞争壁垒。</w:t>
      </w:r>
    </w:p>
    <w:p>
      <w:pPr>
        <w:pStyle w:val="BodyText"/>
      </w:pPr>
      <w:r>
        <w:t xml:space="preserve">在执行推进方面，企业需要注重系统性变革管理，统筹技术、市场、组织、文化等多个维度的协同变革，建立有效的变革管理机制。采用阶段性推进策略，制定清晰的转型路线图和时间表，通过试点推广降低风险，及时总结经验并调整策略。优化资源配置，集中资源投入关键领域和重点项目，建立动态调整机制，平衡短期效益和长期发展需求。</w:t>
      </w:r>
    </w:p>
    <w:p>
      <w:pPr>
        <w:pStyle w:val="BodyText"/>
      </w:pPr>
      <w:r>
        <w:t xml:space="preserve">在风险管控方面，建立前瞻性的风险识别机制，系统评估各类潜在风险，制定针对性的应对预案。实施多元化风险分散策略，通过客户、产品、区域等多维度分散风险，构建多层次的风险防护体系。建立持续改进机制，定期评估转型效果，及时调整策略和措施，优化转型管理体系。</w:t>
      </w:r>
    </w:p>
    <w:bookmarkEnd w:id="105"/>
    <w:bookmarkEnd w:id="106"/>
    <w:bookmarkStart w:id="111" w:name="第七章-结论与建议"/>
    <w:p>
      <w:pPr>
        <w:pStyle w:val="2"/>
      </w:pPr>
      <w:r>
        <w:t xml:space="preserve">第七章 结论与建议</w:t>
      </w:r>
    </w:p>
    <w:bookmarkStart w:id="107" w:name="主要研究发现"/>
    <w:p>
      <w:pPr>
        <w:pStyle w:val="3"/>
      </w:pPr>
      <w:r>
        <w:t xml:space="preserve">7.1 主要研究发现</w:t>
      </w:r>
    </w:p>
    <w:p>
      <w:pPr>
        <w:pStyle w:val="FirstParagraph"/>
      </w:pPr>
      <w:r>
        <w:t xml:space="preserve">通过对HSM公司战略转型案例的深入分析，本研究得出若干具体发现。技术突破被证实为企业战略转型成功的关键驱动因素，HSM公司通过第三代DIC技术突破实现了技术路线的根本性变革。该项技术将测量精度从传统传感器的0.1%FS提升至亚像素级（约0.01像素水平），采样频率达到1000Hz，从而满足了基础设施安全监测对于精准度的严格要求。技术领先优势直接转化为产品竞争优势，根据HSM的实际项目数据，视频跟踪仪相比传统传感器方案可降低初始投资约40%至60%，年维护成本降低约60%至70%。</w:t>
      </w:r>
    </w:p>
    <w:p>
      <w:pPr>
        <w:pStyle w:val="BodyText"/>
      </w:pPr>
      <w:r>
        <w:t xml:space="preserve">市场战略调整取得了显著成效，从科研市场向工业市场的战略调整使HSM客户结构发生根本性变化。行业调研数据显示，HSM在桥梁监测市场的渗透率约为15%，隧道监测市场渗透率约为10%，边坡监测市场渗透率约为12%。2025年视频跟踪仪市场规模预计达到约8.7亿元，基于HSM当前的技术优势和市场份额增长趋势，该公司有望占据超过20%的市场份额。标准化产品战略的实施使项目部署时间缩短约50%，运营成本降低约30%，反映了产品标准化在提升运营效率方面的实际价值。</w:t>
      </w:r>
    </w:p>
    <w:p>
      <w:pPr>
        <w:pStyle w:val="BodyText"/>
      </w:pPr>
      <w:r>
        <w:t xml:space="preserve">组织变革有效支撑了业务发展，扁平化组织架构的实施使决策效率提升约40%，矩阵式管理模式实现了研发、市场、服务等职能部门之间的有效协同。HSM的实际经验显示，公司研发人员占比从转型前的25%提升至40%，技术专家团队规模扩大了三倍，为持续技术创新提供了坚实的人才保障。这一变化反映了硬科技企业在战略转型过程中对于研发人才储备的高度重视。</w:t>
      </w:r>
    </w:p>
    <w:p>
      <w:pPr>
        <w:pStyle w:val="BodyText"/>
      </w:pPr>
      <w:r>
        <w:t xml:space="preserve">商业模式创新创造了新的价值空间，监测即服务模式有效降低了客户的初始投资门槛。HSM的财务数据显示，数据增值服务贡献了约30%的营业收入，表明服务化转型能够为企业带来可持续的收入来源。与系统集成商、地区合作伙伴构建的生态体系使市场覆盖率在两年内提升至约30%以上，体现了生态合作在拓展市场覆盖方面的实际效果。</w:t>
      </w:r>
    </w:p>
    <w:bookmarkEnd w:id="107"/>
    <w:bookmarkStart w:id="108" w:name="管理实践建议"/>
    <w:p>
      <w:pPr>
        <w:pStyle w:val="3"/>
      </w:pPr>
      <w:r>
        <w:t xml:space="preserve">7.2 管理实践建议</w:t>
      </w:r>
    </w:p>
    <w:p>
      <w:pPr>
        <w:pStyle w:val="FirstParagraph"/>
      </w:pPr>
      <w:r>
        <w:t xml:space="preserve">综合HSM公司的转型实践，本研究提炼出若干管理启示，为视觉力学传感器企业的战略调整提供参考。企业在推进技术战略过程中，需要持续保持技术领先地位，通过加大研发资源投入来确保核心技术迭代能够领先竞争对手。其中，人工智能算法与DIC技术的融合应用值得重点关注，这种技术融合有助于提升自动化分析能力，为基础设施监测提供更智能的解决方案。同时，产品标准化进程的积极推进也具有重要意义，建立适用于桥梁、隧道、边坡等主要应用场景的标准产品系列，通过模块化设计降低定制化成本，使标准化产品能够覆盖大多数应用需求，而特殊需求则可通过灵活配置实现。HSM的实践案例显示，产品标准化不仅能够缩短项目部署时间，还能够显著降低运营成本。</w:t>
      </w:r>
    </w:p>
    <w:p>
      <w:pPr>
        <w:pStyle w:val="BodyText"/>
      </w:pPr>
      <w:r>
        <w:t xml:space="preserve">关于市场拓展策略，企业可考虑聚焦重点发展领域，优先布局政策驱动明确、市场需求旺盛且安全要求较高的桥梁监测、隧道监测和边坡监测市场。具体措施包括建立示范项目库，在重点区域建设标杆项目以形成示范效应。同时，构建多层次的合作伙伴生态系统也至关重要，通过完善合作伙伴管理体系，根据合作伙伴的项目能力和贡献度提供差异化的技术支持与激励措施。HSM与系统集成商和地区合作伙伴的合作经验表明，这种生态合作模式能够在两年内将市场覆盖率提升至约30%以上，证实了生态合作在拓展市场覆盖方面的实际效果。</w:t>
      </w:r>
    </w:p>
    <w:p>
      <w:pPr>
        <w:pStyle w:val="BodyText"/>
      </w:pPr>
      <w:r>
        <w:t xml:space="preserve">在组织能力建设方面，企业需要注重人才梯队的系统培养，构建覆盖技术专家、项目经理、服务工程师等多层次的人才发展体系。实施导师制度能够有效加速新员工的成长和独立工作能力培养。同时，优化绩效考核体系也显得尤为重要，使研发团队的考核既关注技术成果产出，也重视市场应用效果；销售团队的考核则兼顾项目数量与项目质量，从而形成更加科学合理的激励导向。HSM将研发人员占比从25%提升至40%的实践经验表明，人才结构的优化对于支撑技术驱动型转型具有关键作用。</w:t>
      </w:r>
    </w:p>
    <w:bookmarkEnd w:id="108"/>
    <w:bookmarkStart w:id="109" w:name="行业政策建议"/>
    <w:p>
      <w:pPr>
        <w:pStyle w:val="3"/>
      </w:pPr>
      <w:r>
        <w:t xml:space="preserve">7.3 行业政策建议</w:t>
      </w:r>
    </w:p>
    <w:p>
      <w:pPr>
        <w:pStyle w:val="FirstParagraph"/>
      </w:pPr>
      <w:r>
        <w:t xml:space="preserve">基于视觉力学传感器行业发展的实际需求，本研究提出若干政策建议，供相关部门决策参考。在政府层面，可以考虑提供专项政策支持，例如设立视觉测量技术应用推广专项资金，对采用DIC技术的监测项目给予适当补贴。同时，将视频跟踪仪纳入重大技术装备推广应用指导目录，有助于支持先进技术的产业化应用。此外，加强标准体系建设也显得尤为重要，由政府牵头制定DIC技术在基础设施监测领域的国家标准，建立统一的性能测试方法和验收规范，能够推动视频跟踪仪在交通、水利、住建等行业的规范化应用。HSM的案例经验表明，政府层面的标准制定和政策支持对于新技术在基础设施安全监测领域的推广应用具有重要推动作用。</w:t>
      </w:r>
    </w:p>
    <w:p>
      <w:pPr>
        <w:pStyle w:val="BodyText"/>
      </w:pPr>
      <w:r>
        <w:t xml:space="preserve">在行业层面，建议建立产学研协同创新机制，通过组建视觉测量技术产业创新联盟，整合高校的研发能力、企业的工程化能力和用户的实际应用需求。设立共性技术研发基金，能够支持前沿技术探索和关键技术攻关。同时，完善人才培养体系也值得关注，例如在相关高校增设视觉测量技术专业方向，加强专业人才培养，建立行业技能认证体系，从而提升从业人员的专业水平。HSM与多所高校的合作经验显示，产学研协同创新能够有效加速技术成果的转化和应用。</w:t>
      </w:r>
    </w:p>
    <w:p>
      <w:pPr>
        <w:pStyle w:val="BodyText"/>
      </w:pPr>
      <w:r>
        <w:t xml:space="preserve">在企业层面，建议制定明确的技术发展路线图，规划未来三至五年的技术发展方向，重点突破多相机协同测量、大尺度变形监测、动态实时分析等关键技术。同时，建立完善的风险应对机制也显得尤为重要，通过构建涵盖技术、市场、政策等多维度的风险预警指标体系，及时识别和应对各类潜在风险，确保企业的稳健发展。HSM在战略转型过程中构建的风险预警机制，为其在快速变化的市场环境中保持稳健发展提供了有效保障。</w:t>
      </w:r>
    </w:p>
    <w:bookmarkEnd w:id="109"/>
    <w:bookmarkStart w:id="110" w:name="研究总结与展望"/>
    <w:p>
      <w:pPr>
        <w:pStyle w:val="3"/>
      </w:pPr>
      <w:r>
        <w:t xml:space="preserve">7.4 研究总结与展望</w:t>
      </w:r>
    </w:p>
    <w:p>
      <w:pPr>
        <w:pStyle w:val="FirstParagraph"/>
      </w:pPr>
      <w:r>
        <w:t xml:space="preserve">通过HSM公司的案例分析，本研究验证了技术驱动型转型模式在硬科技企业的适用性。分析发现，成功转型需要技术突破、市场调整、组织变革和商业模式创新的系统配合，这一发现对于理解硬科技企业的战略转型机制具有理论意义。</w:t>
      </w:r>
    </w:p>
    <w:p>
      <w:pPr>
        <w:pStyle w:val="BodyText"/>
      </w:pPr>
      <w:r>
        <w:t xml:space="preserve">本研究的实践价值主要体现在为视觉力学传感器企业提供了可操作的转型路径。具体实施过程可划分为技术突破期、市场拓展期和生态构建期等阶段，每个阶段应有明确的里程碑和评估指标。HSM的转型经验表明，技术突破是转型的起点，市场拓展是规模化的关键，而生态构建则是持续发展的保障。</w:t>
      </w:r>
    </w:p>
    <w:p>
      <w:pPr>
        <w:pStyle w:val="BodyText"/>
      </w:pPr>
      <w:r>
        <w:t xml:space="preserve">未来研究可从多个方向进行深化，例如开展多案例比较研究以分析不同规模、不同区域企业的转型差异，进行长期效果跟踪研究以评估转型成果的可持续性，以及探索数字化转型研究以分析人工智能、大数据与视觉测量技术的融合应用。这些研究方向将有助于进一步完善企业转型的理论体系。</w:t>
      </w:r>
    </w:p>
    <w:p>
      <w:pPr>
        <w:pStyle w:val="BodyText"/>
      </w:pPr>
      <w:r>
        <w:t xml:space="preserve">随着新型基础设施建设的推进和智慧城市的发展，视觉力学传感器行业将迎来更广阔的应用空间。企业应当把握技术发展趋势，构建可持续的竞争优势，从而为我国基础设施安全监测水平的提升贡献力量。</w:t>
      </w:r>
    </w:p>
    <w:bookmarkEnd w:id="110"/>
    <w:bookmarkEnd w:id="111"/>
    <w:bookmarkStart w:id="112" w:name="参考文献"/>
    <w:p>
      <w:pPr>
        <w:pStyle w:val="2"/>
      </w:pPr>
      <w:r>
        <w:t xml:space="preserve">参考文献</w:t>
      </w:r>
    </w:p>
    <w:p>
      <w:pPr>
        <w:pStyle w:val="FirstParagraph"/>
      </w:pPr>
      <w:r>
        <w:t xml:space="preserve">迈克尔·波特. 竞争战略[M]. 北京: 华夏出版社, 2005.</w:t>
      </w:r>
    </w:p>
    <w:p>
      <w:pPr>
        <w:pStyle w:val="BodyText"/>
      </w:pPr>
      <w:r>
        <w:t xml:space="preserve">亨利·明茨伯格. 战略历程[M]. 北京: 机械工业出版社, 2006.</w:t>
      </w:r>
    </w:p>
    <w:p>
      <w:pPr>
        <w:pStyle w:val="BodyText"/>
      </w:pPr>
      <w:r>
        <w:t xml:space="preserve">陈劲, 郑刚. 创新管理: 赢得持续竞争优势[M]. 北京: 北京大学出版社, 2016.</w:t>
      </w:r>
    </w:p>
    <w:p>
      <w:pPr>
        <w:pStyle w:val="BodyText"/>
      </w:pPr>
      <w:r>
        <w:t xml:space="preserve">王重鸣. 组织行为学[M]. 北京: 中国人民大学出版社, 2012.</w:t>
      </w:r>
    </w:p>
    <w:p>
      <w:pPr>
        <w:pStyle w:val="BodyText"/>
      </w:pPr>
      <w:r>
        <w:t xml:space="preserve">张维迎. 企业的企业家-契约理论[M]. 上海: 上海人民出版社, 2015.</w:t>
      </w:r>
    </w:p>
    <w:p>
      <w:pPr>
        <w:pStyle w:val="BodyText"/>
      </w:pPr>
      <w:r>
        <w:t xml:space="preserve">中国机器视觉产业联盟. 2024年中国机器视觉产业发展白皮书[R]. 北京: 中国机器视觉产业联盟, 2024.</w:t>
      </w:r>
    </w:p>
    <w:p>
      <w:pPr>
        <w:pStyle w:val="BodyText"/>
      </w:pPr>
      <w:r>
        <w:t xml:space="preserve">国家统计局. 2024年中国统计年鉴[M]. 北京: 中国统计出版社, 2024.</w:t>
      </w:r>
    </w:p>
    <w:p>
      <w:pPr>
        <w:pStyle w:val="BodyText"/>
      </w:pPr>
      <w:r>
        <w:t xml:space="preserve">国务院.</w:t>
      </w:r>
      <w:r>
        <w:t xml:space="preserve"> </w:t>
      </w:r>
      <w:r>
        <w:t xml:space="preserve">“</w:t>
      </w:r>
      <w:r>
        <w:t xml:space="preserve">十四五</w:t>
      </w:r>
      <w:r>
        <w:t xml:space="preserve">”</w:t>
      </w:r>
      <w:r>
        <w:t xml:space="preserve">数字经济发展规划[Z]. 2021.</w:t>
      </w:r>
    </w:p>
    <w:p>
      <w:pPr>
        <w:pStyle w:val="BodyText"/>
      </w:pPr>
      <w:r>
        <w:t xml:space="preserve">住建部. 城市基础设施安全运行监测标准[S]. 北京: 中国建筑工业出版社, 2023.</w:t>
      </w:r>
    </w:p>
    <w:p>
      <w:pPr>
        <w:pStyle w:val="BodyText"/>
      </w:pPr>
      <w:r>
        <w:t xml:space="preserve">李海舰, 田跃新, 李文杰. 互联网思维与传统企业再造[J]. 中国工业经济,</w:t>
      </w:r>
      <w:r>
        <w:t xml:space="preserve"> </w:t>
      </w:r>
      <w:r>
        <w:t xml:space="preserve">2014(10): 135-146.</w:t>
      </w:r>
    </w:p>
    <w:p>
      <w:pPr>
        <w:pStyle w:val="BodyText"/>
      </w:pPr>
      <w:r>
        <w:t xml:space="preserve">陈春花, 赵海然. 数字化转型与企业战略重构[J]. 管理世界, 2019, 35(4):</w:t>
      </w:r>
      <w:r>
        <w:t xml:space="preserve"> </w:t>
      </w:r>
      <w:r>
        <w:t xml:space="preserve">158-174.</w:t>
      </w:r>
    </w:p>
    <w:p>
      <w:pPr>
        <w:pStyle w:val="BodyText"/>
      </w:pPr>
      <w:r>
        <w:t xml:space="preserve">肖静华, 谢康, 吴瑶. 从面向合作伙伴到面向消费者的企业数字化转型[J].</w:t>
      </w:r>
      <w:r>
        <w:t xml:space="preserve"> </w:t>
      </w:r>
      <w:r>
        <w:t xml:space="preserve">管理世界, 2020, 36(11): 137-154.</w:t>
      </w:r>
    </w:p>
    <w:p>
      <w:pPr>
        <w:pStyle w:val="BodyText"/>
      </w:pPr>
      <w:r>
        <w:t xml:space="preserve">戚聿东, 肖旭. 数字经济时代的企业管理变革[J]. 管理世界, 2020, 36(6):</w:t>
      </w:r>
      <w:r>
        <w:t xml:space="preserve"> </w:t>
      </w:r>
      <w:r>
        <w:t xml:space="preserve">135-152.</w:t>
      </w:r>
    </w:p>
    <w:p>
      <w:pPr>
        <w:pStyle w:val="BodyText"/>
      </w:pPr>
      <w:r>
        <w:t xml:space="preserve">罗珉, 李亮宇. 互联网时代的商业模式创新: 价值创造视角[J]. 中国工业经济,</w:t>
      </w:r>
      <w:r>
        <w:t xml:space="preserve"> </w:t>
      </w:r>
      <w:r>
        <w:t xml:space="preserve">2015(1): 95-107.</w:t>
      </w:r>
    </w:p>
    <w:p>
      <w:pPr>
        <w:pStyle w:val="BodyText"/>
      </w:pPr>
      <w:r>
        <w:t xml:space="preserve">江积海, 王烽权. 平台型企业价值共创机制研究[J]. 科研管理, 2019, 40(3):</w:t>
      </w:r>
      <w:r>
        <w:t xml:space="preserve"> </w:t>
      </w:r>
      <w:r>
        <w:t xml:space="preserve">138-149.</w:t>
      </w:r>
    </w:p>
    <w:p>
      <w:pPr>
        <w:pStyle w:val="BodyText"/>
      </w:pPr>
      <w:r>
        <w:t xml:space="preserve">Porter, M. E. Competitive Strategy: Techniques for Analyzing Industries</w:t>
      </w:r>
      <w:r>
        <w:t xml:space="preserve"> </w:t>
      </w:r>
      <w:r>
        <w:t xml:space="preserve">and Competitors[M]. New York: Free Press, 1980.</w:t>
      </w:r>
    </w:p>
    <w:p>
      <w:pPr>
        <w:pStyle w:val="BodyText"/>
      </w:pPr>
      <w:r>
        <w:t xml:space="preserve">Teece, D. J., Pisano, G., &amp; Shuen, A. Dynamic capabilities and strategic</w:t>
      </w:r>
      <w:r>
        <w:t xml:space="preserve"> </w:t>
      </w:r>
      <w:r>
        <w:t xml:space="preserve">management[J]. Strategic Management Journal, 1997, 18(7): 509-533.</w:t>
      </w:r>
    </w:p>
    <w:p>
      <w:pPr>
        <w:pStyle w:val="BodyText"/>
      </w:pPr>
      <w:r>
        <w:t xml:space="preserve">Barney, J. B. Firm resources and sustained competitive advantage[J].</w:t>
      </w:r>
      <w:r>
        <w:t xml:space="preserve"> </w:t>
      </w:r>
      <w:r>
        <w:t xml:space="preserve">Journal of Management, 1991, 17(1): 99-120.</w:t>
      </w:r>
    </w:p>
    <w:p>
      <w:pPr>
        <w:pStyle w:val="BodyText"/>
      </w:pPr>
      <w:r>
        <w:t xml:space="preserve">Eisenhardt, K. M., &amp; Martin, J. A. Dynamic capabilities: What are</w:t>
      </w:r>
      <w:r>
        <w:t xml:space="preserve"> </w:t>
      </w:r>
      <w:r>
        <w:t xml:space="preserve">they?[J]. Strategic Management Journal, 2000, 21(10-11): 1105-1121.</w:t>
      </w:r>
    </w:p>
    <w:p>
      <w:pPr>
        <w:pStyle w:val="BodyText"/>
      </w:pPr>
      <w:r>
        <w:t xml:space="preserve">O’Reilly, C. A., &amp; Tushman, M. L. The ambidextrous organization[J].</w:t>
      </w:r>
      <w:r>
        <w:t xml:space="preserve"> </w:t>
      </w:r>
      <w:r>
        <w:t xml:space="preserve">Harvard Business Review, 2004, 82(4): 74-81.</w:t>
      </w:r>
    </w:p>
    <w:p>
      <w:pPr>
        <w:pStyle w:val="BodyText"/>
      </w:pPr>
      <w:r>
        <w:t xml:space="preserve">Christensen, C. M. The Innovator’s Dilemma: When New Technologies Cause</w:t>
      </w:r>
      <w:r>
        <w:t xml:space="preserve"> </w:t>
      </w:r>
      <w:r>
        <w:t xml:space="preserve">Great Firms to Fail[M]. Boston: Harvard Business School Press, 1997.</w:t>
      </w:r>
    </w:p>
    <w:p>
      <w:pPr>
        <w:pStyle w:val="BodyText"/>
      </w:pPr>
      <w:r>
        <w:t xml:space="preserve">Prahalad, C. K., &amp; Hamel, G. The core competence of the</w:t>
      </w:r>
      <w:r>
        <w:t xml:space="preserve"> </w:t>
      </w:r>
      <w:r>
        <w:t xml:space="preserve">corporation[J]. Harvard Business Review, 1990, 68(3): 79-91.</w:t>
      </w:r>
    </w:p>
    <w:p>
      <w:pPr>
        <w:pStyle w:val="BodyText"/>
      </w:pPr>
      <w:r>
        <w:t xml:space="preserve">Amit, R., &amp; Zott, C. Value creation in e-business[J]. Strategic</w:t>
      </w:r>
      <w:r>
        <w:t xml:space="preserve"> </w:t>
      </w:r>
      <w:r>
        <w:t xml:space="preserve">Management Journal, 2001, 22(6-7): 493-520.</w:t>
      </w:r>
    </w:p>
    <w:p>
      <w:pPr>
        <w:pStyle w:val="BodyText"/>
      </w:pPr>
      <w:r>
        <w:t xml:space="preserve">Chesbrough, H. Open Innovation: The New Imperative for Creating and</w:t>
      </w:r>
      <w:r>
        <w:t xml:space="preserve"> </w:t>
      </w:r>
      <w:r>
        <w:t xml:space="preserve">Profiting from Technology[M]. Boston: Harvard Business School Press,</w:t>
      </w:r>
      <w:r>
        <w:t xml:space="preserve"> </w:t>
      </w:r>
      <w:r>
        <w:t xml:space="preserve">2003.</w:t>
      </w:r>
    </w:p>
    <w:p>
      <w:pPr>
        <w:pStyle w:val="BodyText"/>
      </w:pPr>
      <w:r>
        <w:t xml:space="preserve">Nambisan, S., Wright, M., &amp; Feldman, M. The digital transformation of</w:t>
      </w:r>
      <w:r>
        <w:t xml:space="preserve"> </w:t>
      </w:r>
      <w:r>
        <w:t xml:space="preserve">innovation and entrepreneurship: Progress, challenges and key</w:t>
      </w:r>
      <w:r>
        <w:t xml:space="preserve"> </w:t>
      </w:r>
      <w:r>
        <w:t xml:space="preserve">themes[J]. Research Policy, 2019, 48(8): 103773.</w:t>
      </w:r>
    </w:p>
    <w:p>
      <w:pPr>
        <w:pStyle w:val="BodyText"/>
      </w:pPr>
      <w:r>
        <w:t xml:space="preserve">Vial, G. Understanding digital transformation: A review and a research</w:t>
      </w:r>
      <w:r>
        <w:t xml:space="preserve"> </w:t>
      </w:r>
      <w:r>
        <w:t xml:space="preserve">agenda[J]. The Journal of Strategic Information Systems, 2019, 28(2):</w:t>
      </w:r>
      <w:r>
        <w:t xml:space="preserve"> </w:t>
      </w:r>
      <w:r>
        <w:t xml:space="preserve">118-144.</w:t>
      </w:r>
    </w:p>
    <w:p>
      <w:pPr>
        <w:pStyle w:val="BodyText"/>
      </w:pPr>
      <w:r>
        <w:t xml:space="preserve">Warner, K. S., &amp; Wäger, M. Building dynamic capabilities for digital</w:t>
      </w:r>
      <w:r>
        <w:t xml:space="preserve"> </w:t>
      </w:r>
      <w:r>
        <w:t xml:space="preserve">transformation: An ongoing process of strategic renewal[J]. Long Range</w:t>
      </w:r>
      <w:r>
        <w:t xml:space="preserve"> </w:t>
      </w:r>
      <w:r>
        <w:t xml:space="preserve">Planning, 2019, 52(3): 326-349.</w:t>
      </w:r>
    </w:p>
    <w:p>
      <w:pPr>
        <w:pStyle w:val="BodyText"/>
      </w:pPr>
      <w:r>
        <w:t xml:space="preserve">Kotter, J. P. Leading change[M]. Boston: Harvard Business Review</w:t>
      </w:r>
      <w:r>
        <w:t xml:space="preserve"> </w:t>
      </w:r>
      <w:r>
        <w:t xml:space="preserve">Press, 2012.</w:t>
      </w:r>
    </w:p>
    <w:p>
      <w:pPr>
        <w:pStyle w:val="BodyText"/>
      </w:pPr>
      <w:r>
        <w:t xml:space="preserve">Gartner. Market Guide for Machine Vision Systems[R]. Stamford:</w:t>
      </w:r>
      <w:r>
        <w:t xml:space="preserve"> </w:t>
      </w:r>
      <w:r>
        <w:t xml:space="preserve">Gartner, 2024.</w:t>
      </w:r>
    </w:p>
    <w:p>
      <w:pPr>
        <w:pStyle w:val="BodyText"/>
      </w:pPr>
      <w:r>
        <w:t xml:space="preserve">MarketsandMarkets. Digital Image Correlation Market by Type,</w:t>
      </w:r>
      <w:r>
        <w:t xml:space="preserve"> </w:t>
      </w:r>
      <w:r>
        <w:t xml:space="preserve">Application, Vertical and Region Global Forecast to 2029[R]. 2024.</w:t>
      </w:r>
    </w:p>
    <w:p>
      <w:pPr>
        <w:pStyle w:val="BodyText"/>
      </w:pPr>
      <w:r>
        <w:t xml:space="preserve">Argyris, C., &amp; Schön, D. A. Organizational learning: A theory of action perspective[M]. Reading, MA: Addison-Wesley, 1978.</w:t>
      </w:r>
    </w:p>
    <w:p>
      <w:pPr>
        <w:pStyle w:val="BodyText"/>
      </w:pPr>
      <w:r>
        <w:t xml:space="preserve">Dosi, G. Technological paradigms and technological trajectories: A suggested interpretation of the determinants and directions of technical change[J]. Research Policy, 1982, 11(3): 147-162.</w:t>
      </w:r>
    </w:p>
    <w:p>
      <w:pPr>
        <w:pStyle w:val="BodyText"/>
      </w:pPr>
      <w:r>
        <w:t xml:space="preserve">李纪珍, 张莹, 王旭. 技术轨道转换与企业技术能力构建研究[J]. 科研管理, 2021, 42(5): 120-130.</w:t>
      </w:r>
    </w:p>
    <w:p>
      <w:pPr>
        <w:pStyle w:val="BodyText"/>
      </w:pPr>
      <w:r>
        <w:t xml:space="preserve">王毅, 吴晓波, 陈劲. 创新网络演化与生态系统构建研究[J]. 管理世界, 2022, 38(3): 88-102.</w:t>
      </w:r>
    </w:p>
    <w:p>
      <w:pPr>
        <w:pStyle w:val="BodyText"/>
      </w:pPr>
      <w:r>
        <w:t xml:space="preserve">张玉利, 田莉, 杨俊. 组织学习与动态能力发展: 基于创业企业的实证研究[J]. 南开管理评论, 2020, 23(4): 75-87.</w:t>
      </w:r>
    </w:p>
    <w:p>
      <w:pPr>
        <w:pStyle w:val="BodyText"/>
      </w:pPr>
      <w:r>
        <w:t xml:space="preserve">陈国权, 李兰. 组织学习与组织创新能力关系研究[J]. 管理科学学报, 2018, 21(3): 45-58.</w:t>
      </w:r>
    </w:p>
    <w:p>
      <w:pPr>
        <w:pStyle w:val="BodyText"/>
      </w:pPr>
      <w:r>
        <w:t xml:space="preserve">吴晓波, 陈劲, 张军. 数字化转型与企业绩效: 基于中国制造企业的实证研究[J]. 管理世界, 2021, 37(2): 112-126.</w:t>
      </w:r>
    </w:p>
    <w:p>
      <w:pPr>
        <w:pStyle w:val="BodyText"/>
      </w:pPr>
      <w:r>
        <w:t xml:space="preserve">刘洋, 董小英, 李纪珍. 数字创新生态系统的构建与治理[J]. 科研管理, 2023, 44(1): 1-12.</w:t>
      </w:r>
    </w:p>
    <w:p>
      <w:pPr>
        <w:pStyle w:val="BodyText"/>
      </w:pPr>
      <w:r>
        <w:t xml:space="preserve">王永贵, 汪涛, 赵卫宏. 智能制造背景下企业转型升级路径研究[J]. 中国工业经济, 2022, 40(5): 156-172.</w:t>
      </w:r>
    </w:p>
    <w:p>
      <w:pPr>
        <w:pStyle w:val="BodyText"/>
      </w:pPr>
      <w:r>
        <w:t xml:space="preserve">蔡莉, 单标安, 朱秀梅. 创业企业转型的驱动因素与绩效关系研究[J]. 管理学报, 2019, 16(8): 1125-1136.</w:t>
      </w:r>
    </w:p>
    <w:p>
      <w:pPr>
        <w:pStyle w:val="BodyText"/>
      </w:pPr>
      <w:r>
        <w:t xml:space="preserve">肖静华, 谢康, 吴瑶. 数字化赋能与制造业企业转型升级[J]. 管理世界, 2022, 38(6): 158-175.</w:t>
      </w:r>
    </w:p>
    <w:bookmarkEnd w:id="112"/>
    <w:bookmarkStart w:id="113" w:name="致谢"/>
    <w:p>
      <w:pPr>
        <w:pStyle w:val="2"/>
      </w:pPr>
      <w:r>
        <w:t xml:space="preserve">致谢</w:t>
      </w:r>
    </w:p>
    <w:p>
      <w:pPr>
        <w:pStyle w:val="FirstParagraph"/>
      </w:pPr>
      <w:r>
        <w:t xml:space="preserve">在本论文完成之际，我谨向所有在论文研究和撰写过程中给予我帮助和支持的老师、同学、同事和家人表示最诚挚的感谢。</w:t>
      </w:r>
    </w:p>
    <w:p>
      <w:pPr>
        <w:pStyle w:val="BodyText"/>
      </w:pPr>
      <w:r>
        <w:t xml:space="preserve">本论文的完成，首先要由衷感谢我的导师宋教授。从论文选题、框架设计、研究方法到最终定稿的整个过程中，宋教授都给予了我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也为本文提供了丰富的思想启发。</w:t>
      </w:r>
    </w:p>
    <w:p>
      <w:pPr>
        <w:pStyle w:val="BodyText"/>
      </w:pPr>
      <w:r>
        <w:t xml:space="preserve">感谢HSM公司的管理团队和员工，他们在案例调研过程中提供了宝贵资料和坦诚交流，使本研究能够基于真实的企业实践展开深入分析。特别感谢HSM创始人兼CEO在百忙之中接受访谈，分享企业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113"/>
    <w:bookmarkStart w:id="114" w:name="北京大学学位论文原创性声明和使用授权说明"/>
    <w:p>
      <w:pPr>
        <w:pStyle w:val="2"/>
      </w:pPr>
      <w:r>
        <w:t xml:space="preserve">北京大学学位论文原创性声明和使用授权说明</w:t>
      </w:r>
    </w:p>
    <w:p>
      <w:pPr>
        <w:pStyle w:val="FirstParagraph"/>
      </w:pPr>
      <w:r>
        <w:rPr>
          <w:bCs/>
          <w:b/>
        </w:rPr>
        <w:t xml:space="preserve">原创性声明</w:t>
      </w:r>
    </w:p>
    <w:p>
      <w:pPr>
        <w:pStyle w:val="BodyText"/>
      </w:pPr>
      <w:r>
        <w:t xml:space="preserve">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pPr>
        <w:pStyle w:val="BodyText"/>
      </w:pPr>
      <w:r>
        <w:t xml:space="preserve">论文作者签名：日期： 年 月 日</w:t>
      </w:r>
    </w:p>
    <w:p>
      <w:pPr>
        <w:pStyle w:val="BodyText"/>
      </w:pPr>
      <w:r>
        <w:rPr>
          <w:bCs/>
          <w:b/>
        </w:rPr>
        <w:t xml:space="preserve">学位论文使用授权说明</w:t>
      </w:r>
    </w:p>
    <w:p>
      <w:pPr>
        <w:pStyle w:val="BodyText"/>
      </w:pPr>
      <w:r>
        <w:t xml:space="preserve">（必须装订在提交学校图书馆的印刷本）</w:t>
      </w:r>
    </w:p>
    <w:p>
      <w:pPr>
        <w:pStyle w:val="BodyText"/>
      </w:pPr>
      <w:r>
        <w:t xml:space="preserve">本人完全了解北京大学关于收集、保存、使用学位论文的规定，即：</w:t>
      </w:r>
    </w:p>
    <w:p>
      <w:pPr>
        <w:numPr>
          <w:ilvl w:val="0"/>
          <w:numId w:val="1001"/>
        </w:numPr>
      </w:pPr>
      <w:r>
        <w:t xml:space="preserve">按照学校要求提交学位论文的印刷本和电子版本；</w:t>
      </w:r>
    </w:p>
    <w:p>
      <w:pPr>
        <w:numPr>
          <w:ilvl w:val="0"/>
          <w:numId w:val="1001"/>
        </w:numPr>
      </w:pPr>
      <w:r>
        <w:t xml:space="preserve">学校有权保存学位论文的印刷本和电子版，并提供目录检索与阅览服务，在校园网上提供服务；</w:t>
      </w:r>
    </w:p>
    <w:p>
      <w:pPr>
        <w:numPr>
          <w:ilvl w:val="0"/>
          <w:numId w:val="1001"/>
        </w:numPr>
      </w:pPr>
      <w:r>
        <w:t xml:space="preserve">学校可以采用影印、缩印、数字化或其它复制手段保存论文；</w:t>
      </w:r>
    </w:p>
    <w:p>
      <w:pPr>
        <w:numPr>
          <w:ilvl w:val="0"/>
          <w:numId w:val="1001"/>
        </w:numPr>
      </w:pPr>
      <w:r>
        <w:t xml:space="preserve">因某种特殊原因需要延迟发布学位论文电子版，授权学校□一年/□两年/□三年以后，在校园网上全文发布。</w:t>
      </w:r>
    </w:p>
    <w:p>
      <w:pPr>
        <w:pStyle w:val="FirstParagraph"/>
      </w:pPr>
      <w:r>
        <w:t xml:space="preserve">（保密论文在解密后遵守此规定）</w:t>
      </w:r>
    </w:p>
    <w:p>
      <w:pPr>
        <w:pStyle w:val="BodyText"/>
      </w:pPr>
      <w:r>
        <w:t xml:space="preserve">论文作者签名：导师签名：</w:t>
      </w:r>
    </w:p>
    <w:p>
      <w:pPr>
        <w:pStyle w:val="BodyText"/>
      </w:pPr>
      <w:r>
        <w:t xml:space="preserve">日期： 年 月 日</w:t>
      </w:r>
    </w:p>
    <w:bookmarkEnd w:id="114"/>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 Type="http://schemas.openxmlformats.org/officeDocument/2006/relationships/hyperlink" Id="rId20" Target="\l" TargetMode="External" /></Relationships>
</file>

<file path=word/_rels/footnotes.xml.rels><?xml version="1.0" encoding="UTF-8"?><Relationships xmlns="http://schemas.openxmlformats.org/package/2006/relationships"><Relationship Type="http://schemas.openxmlformats.org/officeDocument/2006/relationships/hyperlink" Id="rId20" Target="\l"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2026-03-01T06:39:04Z</dcterms:created>
  <dcterms:modified xsi:type="dcterms:W3CDTF">2026-03-01T06:39:04Z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