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3833" w14:textId="77777777" w:rsidR="007C2186" w:rsidRPr="007C2186" w:rsidRDefault="007C2186" w:rsidP="007C2186">
      <w:pPr>
        <w:spacing w:line="240" w:lineRule="auto"/>
        <w:rPr>
          <w:rFonts w:ascii="Times New Roman" w:hAnsi="Times New Roman" w:cs="Times New Roman"/>
          <w:b/>
          <w:bCs/>
          <w:szCs w:val="22"/>
        </w:rPr>
      </w:pPr>
      <w:r w:rsidRPr="007C2186">
        <w:rPr>
          <w:rFonts w:ascii="Times New Roman" w:hAnsi="Times New Roman" w:cs="Times New Roman"/>
          <w:b/>
          <w:bCs/>
          <w:szCs w:val="22"/>
        </w:rPr>
        <w:t>Executive Summary</w:t>
      </w:r>
    </w:p>
    <w:p w14:paraId="52D2A37D" w14:textId="77777777" w:rsidR="007C2186" w:rsidRPr="007C2186" w:rsidRDefault="007C2186" w:rsidP="007C2186">
      <w:pPr>
        <w:spacing w:line="240" w:lineRule="auto"/>
        <w:rPr>
          <w:rFonts w:ascii="Times New Roman" w:hAnsi="Times New Roman" w:cs="Times New Roman"/>
          <w:sz w:val="18"/>
          <w:szCs w:val="18"/>
        </w:rPr>
      </w:pPr>
      <w:r w:rsidRPr="007C2186">
        <w:rPr>
          <w:rFonts w:ascii="Times New Roman" w:hAnsi="Times New Roman" w:cs="Times New Roman"/>
          <w:sz w:val="20"/>
          <w:szCs w:val="20"/>
        </w:rPr>
        <w:t>This project investigates what drives drug ratings and how these insights can support forecasting and strategic decision-making. Using a curated dataset of ~1,500 structured Drugs.com records, I analyze how key drug attributes influence user satisfaction and the likelihood of achieving a high rating (≥ 8). The objective is twofold: (1) identify the structural factors most predictive of user-perceived success, and (2) establish an analytical foundation for an integrated financial forecasting model</w:t>
      </w:r>
      <w:r w:rsidRPr="007C2186">
        <w:rPr>
          <w:rFonts w:ascii="Times New Roman" w:hAnsi="Times New Roman" w:cs="Times New Roman"/>
          <w:sz w:val="18"/>
          <w:szCs w:val="18"/>
        </w:rPr>
        <w:t>.</w:t>
      </w:r>
    </w:p>
    <w:p w14:paraId="75D6DDA2" w14:textId="77777777" w:rsidR="007C2186" w:rsidRPr="007C2186" w:rsidRDefault="007C2186" w:rsidP="007C2186">
      <w:pPr>
        <w:spacing w:line="240" w:lineRule="auto"/>
        <w:rPr>
          <w:rFonts w:ascii="Times New Roman" w:hAnsi="Times New Roman" w:cs="Times New Roman"/>
          <w:szCs w:val="22"/>
        </w:rPr>
      </w:pPr>
      <w:r w:rsidRPr="007C2186">
        <w:rPr>
          <w:rFonts w:ascii="Times New Roman" w:hAnsi="Times New Roman" w:cs="Times New Roman"/>
          <w:b/>
          <w:bCs/>
          <w:szCs w:val="22"/>
        </w:rPr>
        <w:t>Data &amp; Methods</w:t>
      </w:r>
      <w:r w:rsidRPr="007C2186">
        <w:rPr>
          <w:rFonts w:ascii="Times New Roman" w:hAnsi="Times New Roman" w:cs="Times New Roman"/>
          <w:szCs w:val="22"/>
        </w:rPr>
        <w:br/>
      </w:r>
      <w:r w:rsidRPr="007C2186">
        <w:rPr>
          <w:rFonts w:ascii="Times New Roman" w:hAnsi="Times New Roman" w:cs="Times New Roman"/>
          <w:sz w:val="20"/>
          <w:szCs w:val="20"/>
        </w:rPr>
        <w:t>Five engineered features form the basis of the analysis: drug class, pregnancy safety category, Rx/OTC status, number of side effects, and activity level. I apply both interpretable statistical approaches (linear and logistic regression) and higher-capacity machine-learning methods (Random Forest) to evaluate continuous ratings and binary success outcomes. Models are assessed through effect sizes, variable importance scores, ROC curves, and calibration performance.</w:t>
      </w:r>
    </w:p>
    <w:p w14:paraId="4F017DEC" w14:textId="5644951D" w:rsidR="007C2186" w:rsidRPr="007C2186" w:rsidRDefault="007C2186" w:rsidP="007C2186">
      <w:pPr>
        <w:spacing w:line="240" w:lineRule="auto"/>
        <w:rPr>
          <w:rFonts w:ascii="Times New Roman" w:hAnsi="Times New Roman" w:cs="Times New Roman"/>
          <w:sz w:val="20"/>
          <w:szCs w:val="20"/>
        </w:rPr>
      </w:pPr>
      <w:r>
        <w:rPr>
          <w:rFonts w:ascii="Times New Roman" w:hAnsi="Times New Roman" w:cs="Times New Roman"/>
          <w:b/>
          <w:bCs/>
          <w:szCs w:val="22"/>
        </w:rPr>
        <w:t>Key insights:</w:t>
      </w:r>
      <w:r w:rsidRPr="007C2186">
        <w:rPr>
          <w:rFonts w:ascii="Times New Roman" w:hAnsi="Times New Roman" w:cs="Times New Roman"/>
          <w:szCs w:val="22"/>
        </w:rPr>
        <w:br/>
      </w:r>
      <w:r w:rsidRPr="007C2186">
        <w:rPr>
          <w:rFonts w:ascii="Times New Roman" w:hAnsi="Times New Roman" w:cs="Times New Roman"/>
          <w:sz w:val="20"/>
          <w:szCs w:val="20"/>
        </w:rPr>
        <w:t>1. Drug class is the dominant driver of user ratings.</w:t>
      </w:r>
      <w:r w:rsidRPr="007C2186">
        <w:rPr>
          <w:rFonts w:ascii="Times New Roman" w:hAnsi="Times New Roman" w:cs="Times New Roman"/>
          <w:sz w:val="20"/>
          <w:szCs w:val="20"/>
        </w:rPr>
        <w:br/>
        <w:t>Across all models, drug class produces the largest effects. Certain classes yield rating lifts of +0.7 to +1.5, while others show substantial negative shifts, making class-level heterogeneity the primary source of rating variation.</w:t>
      </w:r>
    </w:p>
    <w:p w14:paraId="07489A22" w14:textId="77777777" w:rsidR="007C2186" w:rsidRPr="007C2186" w:rsidRDefault="007C2186" w:rsidP="007C2186">
      <w:pPr>
        <w:spacing w:line="240" w:lineRule="auto"/>
        <w:rPr>
          <w:rFonts w:ascii="Times New Roman" w:hAnsi="Times New Roman" w:cs="Times New Roman"/>
          <w:sz w:val="20"/>
          <w:szCs w:val="20"/>
        </w:rPr>
      </w:pPr>
      <w:r w:rsidRPr="007C2186">
        <w:rPr>
          <w:rFonts w:ascii="Times New Roman" w:hAnsi="Times New Roman" w:cs="Times New Roman"/>
          <w:sz w:val="20"/>
          <w:szCs w:val="20"/>
        </w:rPr>
        <w:t>2. Pregnancy safety labeling and Rx/OTC status meaningfully shape perception.</w:t>
      </w:r>
      <w:r w:rsidRPr="007C2186">
        <w:rPr>
          <w:rFonts w:ascii="Times New Roman" w:hAnsi="Times New Roman" w:cs="Times New Roman"/>
          <w:sz w:val="20"/>
          <w:szCs w:val="20"/>
        </w:rPr>
        <w:br/>
        <w:t>Safer pregnancy categories score higher, and OTC or hybrid Rx/OTC drugs outperform Rx-only drugs even when controlling for other variables. These structural attributes explain significantly more variance than side-effect counts or activity metrics.</w:t>
      </w:r>
    </w:p>
    <w:p w14:paraId="074DC433" w14:textId="77777777" w:rsidR="007C2186" w:rsidRPr="007C2186" w:rsidRDefault="007C2186" w:rsidP="007C2186">
      <w:pPr>
        <w:spacing w:line="240" w:lineRule="auto"/>
        <w:rPr>
          <w:rFonts w:ascii="Times New Roman" w:hAnsi="Times New Roman" w:cs="Times New Roman"/>
          <w:sz w:val="20"/>
          <w:szCs w:val="20"/>
        </w:rPr>
      </w:pPr>
      <w:r w:rsidRPr="007C2186">
        <w:rPr>
          <w:rFonts w:ascii="Times New Roman" w:hAnsi="Times New Roman" w:cs="Times New Roman"/>
          <w:sz w:val="20"/>
          <w:szCs w:val="20"/>
        </w:rPr>
        <w:t>3. Model performance highlights non-linear dynamics.</w:t>
      </w:r>
      <w:r w:rsidRPr="007C2186">
        <w:rPr>
          <w:rFonts w:ascii="Times New Roman" w:hAnsi="Times New Roman" w:cs="Times New Roman"/>
          <w:sz w:val="20"/>
          <w:szCs w:val="20"/>
        </w:rPr>
        <w:br/>
        <w:t>Logistic Regression offers interpretability (AUC = 0.65) but fails to capture non-linear effects such as side-effect thresholds. Random Forest improves prediction accuracy (AUC = 0.72), better calibration, and identifies side-effect count as a major non-linear driver of success probability.</w:t>
      </w:r>
    </w:p>
    <w:p w14:paraId="4D6C94B2" w14:textId="77777777" w:rsidR="007C2186" w:rsidRPr="007C2186" w:rsidRDefault="007C2186" w:rsidP="007C2186">
      <w:pPr>
        <w:spacing w:line="240" w:lineRule="auto"/>
        <w:rPr>
          <w:rFonts w:ascii="Times New Roman" w:hAnsi="Times New Roman" w:cs="Times New Roman"/>
          <w:sz w:val="20"/>
          <w:szCs w:val="20"/>
        </w:rPr>
      </w:pPr>
      <w:r w:rsidRPr="007C2186">
        <w:rPr>
          <w:rFonts w:ascii="Times New Roman" w:hAnsi="Times New Roman" w:cs="Times New Roman"/>
          <w:sz w:val="20"/>
          <w:szCs w:val="20"/>
        </w:rPr>
        <w:t>4. Strategic implications for drug portfolio decisions.</w:t>
      </w:r>
      <w:r w:rsidRPr="007C2186">
        <w:rPr>
          <w:rFonts w:ascii="Times New Roman" w:hAnsi="Times New Roman" w:cs="Times New Roman"/>
          <w:sz w:val="20"/>
          <w:szCs w:val="20"/>
        </w:rPr>
        <w:br/>
        <w:t>High-performing classes—such as glucocorticoids, opioid analgesics, respiratory combinations, and proton pump inhibitors—consistently achieve the highest predicted success. Meanwhile, classes with strong therapeutic potential but high side-effect burdens represent key optimization opportunities.</w:t>
      </w:r>
    </w:p>
    <w:p w14:paraId="59914508" w14:textId="77777777" w:rsidR="007C2186" w:rsidRPr="007C2186" w:rsidRDefault="007C2186" w:rsidP="007C2186">
      <w:pPr>
        <w:spacing w:line="240" w:lineRule="auto"/>
        <w:rPr>
          <w:rFonts w:ascii="Times New Roman" w:hAnsi="Times New Roman" w:cs="Times New Roman"/>
          <w:szCs w:val="22"/>
        </w:rPr>
      </w:pPr>
      <w:r w:rsidRPr="007C2186">
        <w:rPr>
          <w:rFonts w:ascii="Times New Roman" w:hAnsi="Times New Roman" w:cs="Times New Roman"/>
          <w:b/>
          <w:bCs/>
          <w:szCs w:val="22"/>
        </w:rPr>
        <w:t>Next Step: Integration with DCF Forecasting</w:t>
      </w:r>
      <w:r w:rsidRPr="007C2186">
        <w:rPr>
          <w:rFonts w:ascii="Times New Roman" w:hAnsi="Times New Roman" w:cs="Times New Roman"/>
          <w:szCs w:val="22"/>
        </w:rPr>
        <w:br/>
      </w:r>
      <w:r w:rsidRPr="007C2186">
        <w:rPr>
          <w:rFonts w:ascii="Times New Roman" w:hAnsi="Times New Roman" w:cs="Times New Roman"/>
          <w:sz w:val="20"/>
          <w:szCs w:val="20"/>
        </w:rPr>
        <w:t>This analysis forms Phase 1 of a multi-step forecasting framework. Phase 2 involves building a DCF model that incorporates predicted success probabilities into cash-flow assumptions, including market uptake, pricing power, churn reduction, and risk-adjusted discount rates. Integrating rating-based insights with DCF valuation will create a unified model that links user perception to commercial value, supporting more rigorous investment decisions.</w:t>
      </w:r>
    </w:p>
    <w:p w14:paraId="6FC26BB6" w14:textId="075A2A30" w:rsidR="00A471DE" w:rsidRDefault="007C2186" w:rsidP="001B1393">
      <w:pPr>
        <w:spacing w:line="240" w:lineRule="auto"/>
        <w:rPr>
          <w:rFonts w:ascii="Times New Roman" w:hAnsi="Times New Roman" w:cs="Times New Roman"/>
          <w:sz w:val="20"/>
          <w:szCs w:val="20"/>
        </w:rPr>
      </w:pPr>
      <w:r w:rsidRPr="007C2186">
        <w:rPr>
          <w:rFonts w:ascii="Times New Roman" w:hAnsi="Times New Roman" w:cs="Times New Roman"/>
          <w:b/>
          <w:bCs/>
          <w:szCs w:val="22"/>
        </w:rPr>
        <w:t>Conclusion</w:t>
      </w:r>
      <w:r w:rsidRPr="007C2186">
        <w:rPr>
          <w:rFonts w:ascii="Times New Roman" w:hAnsi="Times New Roman" w:cs="Times New Roman"/>
          <w:szCs w:val="22"/>
        </w:rPr>
        <w:br/>
      </w:r>
      <w:r w:rsidRPr="007C2186">
        <w:rPr>
          <w:rFonts w:ascii="Times New Roman" w:hAnsi="Times New Roman" w:cs="Times New Roman"/>
          <w:sz w:val="20"/>
          <w:szCs w:val="20"/>
        </w:rPr>
        <w:t>Structural drug attributes—not user-reported behaviors—are the primary drivers of drug ratings. Random Forest provides the most reliable predictive performance, and combining these insights with DCF modeling enables a scalable, data-driven approach to evaluating and forecasting drug portfolio opportunities</w:t>
      </w:r>
      <w:r w:rsidR="001B1393">
        <w:rPr>
          <w:rFonts w:ascii="Times New Roman" w:hAnsi="Times New Roman" w:cs="Times New Roman"/>
          <w:sz w:val="20"/>
          <w:szCs w:val="20"/>
        </w:rPr>
        <w:t>.</w:t>
      </w:r>
    </w:p>
    <w:p w14:paraId="729140E8" w14:textId="35D8410A" w:rsidR="000827C2" w:rsidRPr="000827C2" w:rsidRDefault="000827C2" w:rsidP="000827C2">
      <w:pPr>
        <w:spacing w:line="240" w:lineRule="auto"/>
        <w:rPr>
          <w:rFonts w:ascii="Times New Roman" w:hAnsi="Times New Roman" w:cs="Times New Roman"/>
          <w:b/>
          <w:bCs/>
          <w:szCs w:val="22"/>
        </w:rPr>
      </w:pPr>
      <w:r w:rsidRPr="000827C2">
        <w:rPr>
          <w:rFonts w:ascii="Times New Roman" w:hAnsi="Times New Roman" w:cs="Times New Roman"/>
          <w:b/>
          <w:bCs/>
          <w:szCs w:val="22"/>
        </w:rPr>
        <w:lastRenderedPageBreak/>
        <w:t>Appendix A — Motivation &amp; Business Context ....................  Page</w:t>
      </w:r>
      <w:r>
        <w:rPr>
          <w:rFonts w:ascii="Times New Roman" w:hAnsi="Times New Roman" w:cs="Times New Roman" w:hint="eastAsia"/>
          <w:b/>
          <w:bCs/>
          <w:szCs w:val="22"/>
        </w:rPr>
        <w:t xml:space="preserve"> 2</w:t>
      </w:r>
    </w:p>
    <w:p w14:paraId="4973FFEA" w14:textId="1150D6AE" w:rsidR="000827C2" w:rsidRPr="000827C2" w:rsidRDefault="000827C2" w:rsidP="000827C2">
      <w:pPr>
        <w:spacing w:line="240" w:lineRule="auto"/>
        <w:rPr>
          <w:rFonts w:ascii="Times New Roman" w:hAnsi="Times New Roman" w:cs="Times New Roman"/>
          <w:b/>
          <w:bCs/>
          <w:szCs w:val="22"/>
        </w:rPr>
      </w:pPr>
      <w:r w:rsidRPr="000827C2">
        <w:rPr>
          <w:rFonts w:ascii="Times New Roman" w:hAnsi="Times New Roman" w:cs="Times New Roman"/>
          <w:b/>
          <w:bCs/>
          <w:szCs w:val="22"/>
        </w:rPr>
        <w:t xml:space="preserve">Appendix B — Dataset &amp; Data-Cleaning Process ..................  Page </w:t>
      </w:r>
      <w:r>
        <w:rPr>
          <w:rFonts w:ascii="Times New Roman" w:hAnsi="Times New Roman" w:cs="Times New Roman" w:hint="eastAsia"/>
          <w:b/>
          <w:bCs/>
          <w:szCs w:val="22"/>
        </w:rPr>
        <w:t>2-5</w:t>
      </w:r>
    </w:p>
    <w:p w14:paraId="022D829D" w14:textId="356546F9" w:rsidR="000827C2" w:rsidRPr="000827C2" w:rsidRDefault="000827C2" w:rsidP="000827C2">
      <w:pPr>
        <w:spacing w:line="240" w:lineRule="auto"/>
        <w:rPr>
          <w:rFonts w:ascii="Times New Roman" w:hAnsi="Times New Roman" w:cs="Times New Roman"/>
          <w:b/>
          <w:bCs/>
          <w:szCs w:val="22"/>
        </w:rPr>
      </w:pPr>
      <w:r w:rsidRPr="000827C2">
        <w:rPr>
          <w:rFonts w:ascii="Times New Roman" w:hAnsi="Times New Roman" w:cs="Times New Roman"/>
          <w:b/>
          <w:bCs/>
          <w:szCs w:val="22"/>
        </w:rPr>
        <w:t xml:space="preserve">Appendix C — Exploratory Data Analysis (EDA) ..................  Page </w:t>
      </w:r>
      <w:r>
        <w:rPr>
          <w:rFonts w:ascii="Times New Roman" w:hAnsi="Times New Roman" w:cs="Times New Roman" w:hint="eastAsia"/>
          <w:b/>
          <w:bCs/>
          <w:szCs w:val="22"/>
        </w:rPr>
        <w:t>5-6</w:t>
      </w:r>
    </w:p>
    <w:p w14:paraId="26F862E8" w14:textId="3F2688DD" w:rsidR="000827C2" w:rsidRPr="000827C2" w:rsidRDefault="000827C2" w:rsidP="000827C2">
      <w:pPr>
        <w:spacing w:line="240" w:lineRule="auto"/>
        <w:rPr>
          <w:rFonts w:ascii="Times New Roman" w:hAnsi="Times New Roman" w:cs="Times New Roman"/>
          <w:b/>
          <w:bCs/>
          <w:szCs w:val="22"/>
        </w:rPr>
      </w:pPr>
      <w:r w:rsidRPr="000827C2">
        <w:rPr>
          <w:rFonts w:ascii="Times New Roman" w:hAnsi="Times New Roman" w:cs="Times New Roman"/>
          <w:b/>
          <w:bCs/>
          <w:szCs w:val="22"/>
        </w:rPr>
        <w:t xml:space="preserve">Appendix D — Model Diagnostics ................................  Page </w:t>
      </w:r>
      <w:r>
        <w:rPr>
          <w:rFonts w:ascii="Times New Roman" w:hAnsi="Times New Roman" w:cs="Times New Roman" w:hint="eastAsia"/>
          <w:b/>
          <w:bCs/>
          <w:szCs w:val="22"/>
        </w:rPr>
        <w:t>6-12</w:t>
      </w:r>
    </w:p>
    <w:p w14:paraId="21F715A8" w14:textId="36F01258" w:rsidR="000827C2" w:rsidRPr="000827C2" w:rsidRDefault="000827C2" w:rsidP="000827C2">
      <w:pPr>
        <w:spacing w:line="240" w:lineRule="auto"/>
        <w:rPr>
          <w:rFonts w:ascii="Times New Roman" w:hAnsi="Times New Roman" w:cs="Times New Roman"/>
          <w:b/>
          <w:bCs/>
          <w:szCs w:val="22"/>
        </w:rPr>
      </w:pPr>
      <w:r w:rsidRPr="000827C2">
        <w:rPr>
          <w:rFonts w:ascii="Times New Roman" w:hAnsi="Times New Roman" w:cs="Times New Roman"/>
          <w:b/>
          <w:bCs/>
          <w:szCs w:val="22"/>
        </w:rPr>
        <w:t xml:space="preserve">Appendix E — Business Insights from Model Results .............  Page </w:t>
      </w:r>
      <w:r>
        <w:rPr>
          <w:rFonts w:ascii="Times New Roman" w:hAnsi="Times New Roman" w:cs="Times New Roman" w:hint="eastAsia"/>
          <w:b/>
          <w:bCs/>
          <w:szCs w:val="22"/>
        </w:rPr>
        <w:t>12-15</w:t>
      </w:r>
    </w:p>
    <w:p w14:paraId="719565DB" w14:textId="360E3216" w:rsidR="000827C2" w:rsidRDefault="000827C2" w:rsidP="000827C2">
      <w:pPr>
        <w:spacing w:line="240" w:lineRule="auto"/>
        <w:rPr>
          <w:rFonts w:ascii="Times New Roman" w:hAnsi="Times New Roman" w:cs="Times New Roman"/>
          <w:b/>
          <w:bCs/>
          <w:szCs w:val="22"/>
        </w:rPr>
      </w:pPr>
      <w:r w:rsidRPr="000827C2">
        <w:rPr>
          <w:rFonts w:ascii="Times New Roman" w:hAnsi="Times New Roman" w:cs="Times New Roman"/>
          <w:b/>
          <w:bCs/>
          <w:szCs w:val="22"/>
        </w:rPr>
        <w:t xml:space="preserve">Appendix F — DCF Integration Framework (Phase 2) ..............  Page </w:t>
      </w:r>
      <w:r>
        <w:rPr>
          <w:rFonts w:ascii="Times New Roman" w:hAnsi="Times New Roman" w:cs="Times New Roman" w:hint="eastAsia"/>
          <w:b/>
          <w:bCs/>
          <w:szCs w:val="22"/>
        </w:rPr>
        <w:t>15-17</w:t>
      </w:r>
    </w:p>
    <w:p w14:paraId="54D46252" w14:textId="77777777" w:rsidR="000827C2" w:rsidRPr="000827C2" w:rsidRDefault="000827C2" w:rsidP="000827C2">
      <w:pPr>
        <w:spacing w:line="240" w:lineRule="auto"/>
        <w:rPr>
          <w:rFonts w:ascii="Times New Roman" w:hAnsi="Times New Roman" w:cs="Times New Roman"/>
          <w:b/>
          <w:bCs/>
          <w:szCs w:val="22"/>
        </w:rPr>
      </w:pPr>
    </w:p>
    <w:p w14:paraId="21FB0E10" w14:textId="0CB407A1" w:rsidR="00061A45" w:rsidRPr="00061A45" w:rsidRDefault="00061A45" w:rsidP="00061A45">
      <w:pPr>
        <w:spacing w:line="240" w:lineRule="auto"/>
        <w:rPr>
          <w:rFonts w:ascii="Times New Roman" w:hAnsi="Times New Roman" w:cs="Times New Roman"/>
          <w:b/>
          <w:bCs/>
          <w:szCs w:val="22"/>
        </w:rPr>
      </w:pPr>
      <w:r w:rsidRPr="00061A45">
        <w:rPr>
          <w:rFonts w:ascii="Times New Roman" w:hAnsi="Times New Roman" w:cs="Times New Roman"/>
          <w:b/>
          <w:bCs/>
          <w:szCs w:val="22"/>
        </w:rPr>
        <w:t>Appendix A — Motivation &amp; Business Context</w:t>
      </w:r>
      <w:r w:rsidRPr="00061A45">
        <w:rPr>
          <w:rFonts w:ascii="Times New Roman" w:hAnsi="Times New Roman" w:cs="Times New Roman"/>
          <w:sz w:val="20"/>
          <w:szCs w:val="20"/>
        </w:rPr>
        <w:br/>
        <w:t>This project is motivated by my interest in healthcare consulting and the growing need for data-driven decision frameworks in drug development and commercialization. While clinical efficacy and safety profiles remain central to a drug’s success, patient perception has become increasingly influential in shaping real-world adoption, adherence, and market performance. Platforms such as Drugs.com aggregate large volumes of user feedback that reflect subjective experiences—side effects, convenience, perceived effectiveness—that traditional clinical metrics often fail to capture.</w:t>
      </w:r>
    </w:p>
    <w:p w14:paraId="375738E1"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Understanding the determinants of drug ratings is therefore valuable for two reasons. First, it offers insights that can support early-stage drug development by identifying which drug attributes patients value most, and where structural disadvantages (e.g., high side-effect burden) may limit uptake even for clinically effective therapies. Second, it informs commercialization strategies by linking user perception to expected market behavior, helping companies optimize product positioning, safety communication, and patient-engagement efforts.</w:t>
      </w:r>
    </w:p>
    <w:p w14:paraId="282DEB01"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For someone pursuing a career in healthcare consulting, this topic provides a practical bridge between clinical considerations, patient-reported outcomes, and business analytics. By quantifying the drivers of subjective ratings and integrating these with financial modeling, the project demonstrates how real-world data can support strategic recommendations in drug portfolio optimization, go/no-go decisions, and long-term value forecasting.</w:t>
      </w:r>
    </w:p>
    <w:p w14:paraId="2299C18C" w14:textId="751787A0" w:rsidR="00061A45" w:rsidRPr="00061A45" w:rsidRDefault="00061A45" w:rsidP="00061A45">
      <w:pPr>
        <w:spacing w:line="240" w:lineRule="auto"/>
        <w:rPr>
          <w:rFonts w:ascii="Times New Roman" w:hAnsi="Times New Roman" w:cs="Times New Roman"/>
          <w:b/>
          <w:bCs/>
          <w:szCs w:val="22"/>
        </w:rPr>
      </w:pPr>
      <w:r w:rsidRPr="00061A45">
        <w:rPr>
          <w:rFonts w:ascii="Times New Roman" w:hAnsi="Times New Roman" w:cs="Times New Roman"/>
          <w:b/>
          <w:bCs/>
          <w:szCs w:val="22"/>
        </w:rPr>
        <w:t>Appendix B — Dataset &amp; Data-Cleaning Process</w:t>
      </w:r>
    </w:p>
    <w:p w14:paraId="235C940C" w14:textId="4C2CFDF5"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Dataset Overview</w:t>
      </w:r>
      <w:r w:rsidRPr="00061A45">
        <w:rPr>
          <w:rFonts w:ascii="Times New Roman" w:hAnsi="Times New Roman" w:cs="Times New Roman"/>
          <w:sz w:val="20"/>
          <w:szCs w:val="20"/>
        </w:rPr>
        <w:br/>
        <w:t>The dataset originates from Drugs.com and initially contained 2,966 raw drug reviews collected across multiple therapeutic categories. After consolidating duplicated entries, removing incomplete records, and aggregating reviews at the drug level, the final analytical dataset consisted of approximately 1,500 structured drug-level observations. Each observation corresponds to a unique drug product with associated attributes and aggregated user ratings.</w:t>
      </w:r>
    </w:p>
    <w:p w14:paraId="31A84795"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B.1 Data Cleaning Workflow</w:t>
      </w:r>
    </w:p>
    <w:p w14:paraId="1FCEF3F3"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1. Removal of incomplete or invalid records</w:t>
      </w:r>
    </w:p>
    <w:p w14:paraId="61717C6E" w14:textId="77777777" w:rsidR="00061A45" w:rsidRPr="00061A45" w:rsidRDefault="00061A45" w:rsidP="00061A45">
      <w:pPr>
        <w:numPr>
          <w:ilvl w:val="0"/>
          <w:numId w:val="4"/>
        </w:numPr>
        <w:spacing w:line="240" w:lineRule="auto"/>
        <w:rPr>
          <w:rFonts w:ascii="Times New Roman" w:hAnsi="Times New Roman" w:cs="Times New Roman"/>
          <w:sz w:val="20"/>
          <w:szCs w:val="20"/>
        </w:rPr>
      </w:pPr>
      <w:r w:rsidRPr="00061A45">
        <w:rPr>
          <w:rFonts w:ascii="Times New Roman" w:hAnsi="Times New Roman" w:cs="Times New Roman"/>
          <w:sz w:val="20"/>
          <w:szCs w:val="20"/>
        </w:rPr>
        <w:t>Dropped entries missing core identifiers (drug name, class, or rating).</w:t>
      </w:r>
    </w:p>
    <w:p w14:paraId="59BF68EB" w14:textId="77777777" w:rsidR="00061A45" w:rsidRPr="00061A45" w:rsidRDefault="00061A45" w:rsidP="00061A45">
      <w:pPr>
        <w:numPr>
          <w:ilvl w:val="0"/>
          <w:numId w:val="4"/>
        </w:numPr>
        <w:spacing w:line="240" w:lineRule="auto"/>
        <w:rPr>
          <w:rFonts w:ascii="Times New Roman" w:hAnsi="Times New Roman" w:cs="Times New Roman"/>
          <w:sz w:val="20"/>
          <w:szCs w:val="20"/>
        </w:rPr>
      </w:pPr>
      <w:r w:rsidRPr="00061A45">
        <w:rPr>
          <w:rFonts w:ascii="Times New Roman" w:hAnsi="Times New Roman" w:cs="Times New Roman"/>
          <w:sz w:val="20"/>
          <w:szCs w:val="20"/>
        </w:rPr>
        <w:t>Removed records with rating = 0 or empty reviews, which represent scraping artifacts rather than true user evaluations.</w:t>
      </w:r>
    </w:p>
    <w:p w14:paraId="1F28DADC" w14:textId="77777777" w:rsidR="00061A45" w:rsidRPr="00061A45" w:rsidRDefault="00061A45" w:rsidP="00061A45">
      <w:pPr>
        <w:numPr>
          <w:ilvl w:val="0"/>
          <w:numId w:val="4"/>
        </w:numPr>
        <w:spacing w:line="240" w:lineRule="auto"/>
        <w:rPr>
          <w:rFonts w:ascii="Times New Roman" w:hAnsi="Times New Roman" w:cs="Times New Roman"/>
          <w:sz w:val="20"/>
          <w:szCs w:val="20"/>
        </w:rPr>
      </w:pPr>
      <w:r w:rsidRPr="00061A45">
        <w:rPr>
          <w:rFonts w:ascii="Times New Roman" w:hAnsi="Times New Roman" w:cs="Times New Roman"/>
          <w:sz w:val="20"/>
          <w:szCs w:val="20"/>
        </w:rPr>
        <w:lastRenderedPageBreak/>
        <w:t>Excluded pregnancy categories with undefined strings or impossible labels.</w:t>
      </w:r>
    </w:p>
    <w:p w14:paraId="7D60FB71"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2. Deduplication and drug-level aggregation</w:t>
      </w:r>
    </w:p>
    <w:p w14:paraId="0C9B0FDF" w14:textId="77777777" w:rsidR="00061A45" w:rsidRPr="00061A45" w:rsidRDefault="00061A45" w:rsidP="00061A45">
      <w:pPr>
        <w:numPr>
          <w:ilvl w:val="0"/>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Many drugs appeared multiple times across reviews.</w:t>
      </w:r>
    </w:p>
    <w:p w14:paraId="33BC8E31" w14:textId="77777777" w:rsidR="00061A45" w:rsidRPr="00061A45" w:rsidRDefault="00061A45" w:rsidP="00061A45">
      <w:pPr>
        <w:numPr>
          <w:ilvl w:val="0"/>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Applied grouping by drug name to create drug-level aggregates, computing:</w:t>
      </w:r>
    </w:p>
    <w:p w14:paraId="63A7BFC5" w14:textId="77777777" w:rsidR="00061A45" w:rsidRPr="00061A45" w:rsidRDefault="00061A45" w:rsidP="00061A45">
      <w:pPr>
        <w:numPr>
          <w:ilvl w:val="1"/>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average user rating</w:t>
      </w:r>
    </w:p>
    <w:p w14:paraId="3574DDD5" w14:textId="77777777" w:rsidR="00061A45" w:rsidRPr="00061A45" w:rsidRDefault="00061A45" w:rsidP="00061A45">
      <w:pPr>
        <w:numPr>
          <w:ilvl w:val="1"/>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total number of side effects mentioned</w:t>
      </w:r>
    </w:p>
    <w:p w14:paraId="5F6EF21E" w14:textId="77777777" w:rsidR="00061A45" w:rsidRPr="00061A45" w:rsidRDefault="00061A45" w:rsidP="00061A45">
      <w:pPr>
        <w:numPr>
          <w:ilvl w:val="1"/>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consolidated pregnancy category</w:t>
      </w:r>
    </w:p>
    <w:p w14:paraId="3E4B5C83" w14:textId="77777777" w:rsidR="00061A45" w:rsidRPr="00061A45" w:rsidRDefault="00061A45" w:rsidP="00061A45">
      <w:pPr>
        <w:numPr>
          <w:ilvl w:val="1"/>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consolidated drug class</w:t>
      </w:r>
    </w:p>
    <w:p w14:paraId="79D2C6A7" w14:textId="13032280" w:rsidR="00061A45" w:rsidRPr="00061A45" w:rsidRDefault="00061A45" w:rsidP="00061A45">
      <w:pPr>
        <w:numPr>
          <w:ilvl w:val="0"/>
          <w:numId w:val="5"/>
        </w:numPr>
        <w:spacing w:line="240" w:lineRule="auto"/>
        <w:rPr>
          <w:rFonts w:ascii="Times New Roman" w:hAnsi="Times New Roman" w:cs="Times New Roman"/>
          <w:sz w:val="20"/>
          <w:szCs w:val="20"/>
        </w:rPr>
      </w:pPr>
      <w:r w:rsidRPr="00061A45">
        <w:rPr>
          <w:rFonts w:ascii="Times New Roman" w:hAnsi="Times New Roman" w:cs="Times New Roman"/>
          <w:sz w:val="20"/>
          <w:szCs w:val="20"/>
        </w:rPr>
        <w:t>This reduced noise and ensured the model learned at the product level rather than the review level.</w:t>
      </w:r>
    </w:p>
    <w:p w14:paraId="261BF71F"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B.2 Feature Engineering</w:t>
      </w:r>
    </w:p>
    <w:p w14:paraId="19E41CE2"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3. Side-effect count construction</w:t>
      </w:r>
    </w:p>
    <w:p w14:paraId="5F34BB8D"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Each review contains a side-effect list with variable length and formatting.</w:t>
      </w:r>
      <w:r w:rsidRPr="00061A45">
        <w:rPr>
          <w:rFonts w:ascii="Times New Roman" w:hAnsi="Times New Roman" w:cs="Times New Roman"/>
          <w:sz w:val="20"/>
          <w:szCs w:val="20"/>
        </w:rPr>
        <w:br/>
        <w:t>We standardized this by:</w:t>
      </w:r>
    </w:p>
    <w:p w14:paraId="050C0BEF" w14:textId="77777777" w:rsidR="00061A45" w:rsidRPr="00061A45" w:rsidRDefault="00061A45" w:rsidP="00061A45">
      <w:pPr>
        <w:numPr>
          <w:ilvl w:val="0"/>
          <w:numId w:val="6"/>
        </w:numPr>
        <w:spacing w:line="240" w:lineRule="auto"/>
        <w:rPr>
          <w:rFonts w:ascii="Times New Roman" w:hAnsi="Times New Roman" w:cs="Times New Roman"/>
          <w:sz w:val="20"/>
          <w:szCs w:val="20"/>
        </w:rPr>
      </w:pPr>
      <w:r w:rsidRPr="00061A45">
        <w:rPr>
          <w:rFonts w:ascii="Times New Roman" w:hAnsi="Times New Roman" w:cs="Times New Roman"/>
          <w:sz w:val="20"/>
          <w:szCs w:val="20"/>
        </w:rPr>
        <w:t>splitting side-effect strings into tokens</w:t>
      </w:r>
    </w:p>
    <w:p w14:paraId="3A327F08" w14:textId="77777777" w:rsidR="00061A45" w:rsidRPr="00061A45" w:rsidRDefault="00061A45" w:rsidP="00061A45">
      <w:pPr>
        <w:numPr>
          <w:ilvl w:val="0"/>
          <w:numId w:val="6"/>
        </w:numPr>
        <w:spacing w:line="240" w:lineRule="auto"/>
        <w:rPr>
          <w:rFonts w:ascii="Times New Roman" w:hAnsi="Times New Roman" w:cs="Times New Roman"/>
          <w:sz w:val="20"/>
          <w:szCs w:val="20"/>
        </w:rPr>
      </w:pPr>
      <w:r w:rsidRPr="00061A45">
        <w:rPr>
          <w:rFonts w:ascii="Times New Roman" w:hAnsi="Times New Roman" w:cs="Times New Roman"/>
          <w:sz w:val="20"/>
          <w:szCs w:val="20"/>
        </w:rPr>
        <w:t>trimming whitespace and special characters</w:t>
      </w:r>
    </w:p>
    <w:p w14:paraId="3E401A04" w14:textId="77777777" w:rsidR="00061A45" w:rsidRPr="00061A45" w:rsidRDefault="00061A45" w:rsidP="00061A45">
      <w:pPr>
        <w:numPr>
          <w:ilvl w:val="0"/>
          <w:numId w:val="6"/>
        </w:numPr>
        <w:spacing w:line="240" w:lineRule="auto"/>
        <w:rPr>
          <w:rFonts w:ascii="Times New Roman" w:hAnsi="Times New Roman" w:cs="Times New Roman"/>
          <w:sz w:val="20"/>
          <w:szCs w:val="20"/>
        </w:rPr>
      </w:pPr>
      <w:r w:rsidRPr="00061A45">
        <w:rPr>
          <w:rFonts w:ascii="Times New Roman" w:hAnsi="Times New Roman" w:cs="Times New Roman"/>
          <w:sz w:val="20"/>
          <w:szCs w:val="20"/>
        </w:rPr>
        <w:t>counting unique mentions</w:t>
      </w:r>
    </w:p>
    <w:p w14:paraId="3C32E990" w14:textId="77777777" w:rsidR="00061A45" w:rsidRPr="00061A45" w:rsidRDefault="00061A45" w:rsidP="00061A45">
      <w:pPr>
        <w:numPr>
          <w:ilvl w:val="0"/>
          <w:numId w:val="6"/>
        </w:numPr>
        <w:spacing w:line="240" w:lineRule="auto"/>
        <w:rPr>
          <w:rFonts w:ascii="Times New Roman" w:hAnsi="Times New Roman" w:cs="Times New Roman"/>
          <w:sz w:val="20"/>
          <w:szCs w:val="20"/>
        </w:rPr>
      </w:pPr>
      <w:r w:rsidRPr="00061A45">
        <w:rPr>
          <w:rFonts w:ascii="Times New Roman" w:hAnsi="Times New Roman" w:cs="Times New Roman"/>
          <w:sz w:val="20"/>
          <w:szCs w:val="20"/>
        </w:rPr>
        <w:t>aggregating to the drug level</w:t>
      </w:r>
    </w:p>
    <w:p w14:paraId="44B58787" w14:textId="436060BE"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 xml:space="preserve">The resulting feature </w:t>
      </w:r>
      <w:proofErr w:type="spellStart"/>
      <w:r w:rsidRPr="00061A45">
        <w:rPr>
          <w:rFonts w:ascii="Times New Roman" w:hAnsi="Times New Roman" w:cs="Times New Roman"/>
          <w:sz w:val="20"/>
          <w:szCs w:val="20"/>
        </w:rPr>
        <w:t>num_side_effects</w:t>
      </w:r>
      <w:proofErr w:type="spellEnd"/>
      <w:r w:rsidRPr="00061A45">
        <w:rPr>
          <w:rFonts w:ascii="Times New Roman" w:hAnsi="Times New Roman" w:cs="Times New Roman"/>
          <w:sz w:val="20"/>
          <w:szCs w:val="20"/>
        </w:rPr>
        <w:t xml:space="preserve"> represents the total count of documented side-effect types for each drug.</w:t>
      </w:r>
    </w:p>
    <w:p w14:paraId="031D29A0"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4. Pregnancy category normalization</w:t>
      </w:r>
    </w:p>
    <w:p w14:paraId="10D2A1F7"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Raw pregnancy categories (“A”, “B”, “C”, “D”, “X”, “N”) were ordinally mapped to reflect safety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614"/>
        <w:gridCol w:w="1297"/>
      </w:tblGrid>
      <w:tr w:rsidR="00061A45" w:rsidRPr="00061A45" w14:paraId="32BA4760" w14:textId="77777777" w:rsidTr="00061A45">
        <w:trPr>
          <w:tblHeader/>
          <w:tblCellSpacing w:w="15" w:type="dxa"/>
        </w:trPr>
        <w:tc>
          <w:tcPr>
            <w:tcW w:w="0" w:type="auto"/>
            <w:vAlign w:val="center"/>
            <w:hideMark/>
          </w:tcPr>
          <w:p w14:paraId="7B9C351B"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Category</w:t>
            </w:r>
          </w:p>
        </w:tc>
        <w:tc>
          <w:tcPr>
            <w:tcW w:w="0" w:type="auto"/>
            <w:vAlign w:val="center"/>
            <w:hideMark/>
          </w:tcPr>
          <w:p w14:paraId="32AE3C61"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Meaning</w:t>
            </w:r>
          </w:p>
        </w:tc>
        <w:tc>
          <w:tcPr>
            <w:tcW w:w="0" w:type="auto"/>
            <w:vAlign w:val="center"/>
            <w:hideMark/>
          </w:tcPr>
          <w:p w14:paraId="614F1A8C"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Encoded Value</w:t>
            </w:r>
          </w:p>
        </w:tc>
      </w:tr>
      <w:tr w:rsidR="00061A45" w:rsidRPr="00061A45" w14:paraId="30619E28" w14:textId="77777777" w:rsidTr="00061A45">
        <w:trPr>
          <w:tblCellSpacing w:w="15" w:type="dxa"/>
        </w:trPr>
        <w:tc>
          <w:tcPr>
            <w:tcW w:w="0" w:type="auto"/>
            <w:vAlign w:val="center"/>
            <w:hideMark/>
          </w:tcPr>
          <w:p w14:paraId="2F50F189"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A</w:t>
            </w:r>
          </w:p>
        </w:tc>
        <w:tc>
          <w:tcPr>
            <w:tcW w:w="0" w:type="auto"/>
            <w:vAlign w:val="center"/>
            <w:hideMark/>
          </w:tcPr>
          <w:p w14:paraId="4F4EEF6F"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Controlled studies show no risk</w:t>
            </w:r>
          </w:p>
        </w:tc>
        <w:tc>
          <w:tcPr>
            <w:tcW w:w="0" w:type="auto"/>
            <w:vAlign w:val="center"/>
            <w:hideMark/>
          </w:tcPr>
          <w:p w14:paraId="224446EC"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1</w:t>
            </w:r>
          </w:p>
        </w:tc>
      </w:tr>
      <w:tr w:rsidR="00061A45" w:rsidRPr="00061A45" w14:paraId="1D57572E" w14:textId="77777777" w:rsidTr="00061A45">
        <w:trPr>
          <w:tblCellSpacing w:w="15" w:type="dxa"/>
        </w:trPr>
        <w:tc>
          <w:tcPr>
            <w:tcW w:w="0" w:type="auto"/>
            <w:vAlign w:val="center"/>
            <w:hideMark/>
          </w:tcPr>
          <w:p w14:paraId="2BFD36E1"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B</w:t>
            </w:r>
          </w:p>
        </w:tc>
        <w:tc>
          <w:tcPr>
            <w:tcW w:w="0" w:type="auto"/>
            <w:vAlign w:val="center"/>
            <w:hideMark/>
          </w:tcPr>
          <w:p w14:paraId="2C2F211E"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No evidence of risk</w:t>
            </w:r>
          </w:p>
        </w:tc>
        <w:tc>
          <w:tcPr>
            <w:tcW w:w="0" w:type="auto"/>
            <w:vAlign w:val="center"/>
            <w:hideMark/>
          </w:tcPr>
          <w:p w14:paraId="27164B66"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2</w:t>
            </w:r>
          </w:p>
        </w:tc>
      </w:tr>
      <w:tr w:rsidR="00061A45" w:rsidRPr="00061A45" w14:paraId="30560FE4" w14:textId="77777777" w:rsidTr="00061A45">
        <w:trPr>
          <w:tblCellSpacing w:w="15" w:type="dxa"/>
        </w:trPr>
        <w:tc>
          <w:tcPr>
            <w:tcW w:w="0" w:type="auto"/>
            <w:vAlign w:val="center"/>
            <w:hideMark/>
          </w:tcPr>
          <w:p w14:paraId="3AB8525C"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C</w:t>
            </w:r>
          </w:p>
        </w:tc>
        <w:tc>
          <w:tcPr>
            <w:tcW w:w="0" w:type="auto"/>
            <w:vAlign w:val="center"/>
            <w:hideMark/>
          </w:tcPr>
          <w:p w14:paraId="4C3C544F"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Risk cannot be ruled out</w:t>
            </w:r>
          </w:p>
        </w:tc>
        <w:tc>
          <w:tcPr>
            <w:tcW w:w="0" w:type="auto"/>
            <w:vAlign w:val="center"/>
            <w:hideMark/>
          </w:tcPr>
          <w:p w14:paraId="417B4014"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3</w:t>
            </w:r>
          </w:p>
        </w:tc>
      </w:tr>
      <w:tr w:rsidR="00061A45" w:rsidRPr="00061A45" w14:paraId="4451305B" w14:textId="77777777" w:rsidTr="00061A45">
        <w:trPr>
          <w:tblCellSpacing w:w="15" w:type="dxa"/>
        </w:trPr>
        <w:tc>
          <w:tcPr>
            <w:tcW w:w="0" w:type="auto"/>
            <w:vAlign w:val="center"/>
            <w:hideMark/>
          </w:tcPr>
          <w:p w14:paraId="70AC6263"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D</w:t>
            </w:r>
          </w:p>
        </w:tc>
        <w:tc>
          <w:tcPr>
            <w:tcW w:w="0" w:type="auto"/>
            <w:vAlign w:val="center"/>
            <w:hideMark/>
          </w:tcPr>
          <w:p w14:paraId="20475186"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Positive evidence of risk</w:t>
            </w:r>
          </w:p>
        </w:tc>
        <w:tc>
          <w:tcPr>
            <w:tcW w:w="0" w:type="auto"/>
            <w:vAlign w:val="center"/>
            <w:hideMark/>
          </w:tcPr>
          <w:p w14:paraId="6B0F482F"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4</w:t>
            </w:r>
          </w:p>
        </w:tc>
      </w:tr>
      <w:tr w:rsidR="00061A45" w:rsidRPr="00061A45" w14:paraId="441FED46" w14:textId="77777777" w:rsidTr="00061A45">
        <w:trPr>
          <w:tblCellSpacing w:w="15" w:type="dxa"/>
        </w:trPr>
        <w:tc>
          <w:tcPr>
            <w:tcW w:w="0" w:type="auto"/>
            <w:vAlign w:val="center"/>
            <w:hideMark/>
          </w:tcPr>
          <w:p w14:paraId="79B8E181"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X</w:t>
            </w:r>
          </w:p>
        </w:tc>
        <w:tc>
          <w:tcPr>
            <w:tcW w:w="0" w:type="auto"/>
            <w:vAlign w:val="center"/>
            <w:hideMark/>
          </w:tcPr>
          <w:p w14:paraId="44B018E2"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Contraindicated in pregnancy</w:t>
            </w:r>
          </w:p>
        </w:tc>
        <w:tc>
          <w:tcPr>
            <w:tcW w:w="0" w:type="auto"/>
            <w:vAlign w:val="center"/>
            <w:hideMark/>
          </w:tcPr>
          <w:p w14:paraId="32B77C15"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5</w:t>
            </w:r>
          </w:p>
        </w:tc>
      </w:tr>
      <w:tr w:rsidR="00061A45" w:rsidRPr="00061A45" w14:paraId="1EE7E9F7" w14:textId="77777777" w:rsidTr="00061A45">
        <w:trPr>
          <w:tblCellSpacing w:w="15" w:type="dxa"/>
        </w:trPr>
        <w:tc>
          <w:tcPr>
            <w:tcW w:w="0" w:type="auto"/>
            <w:vAlign w:val="center"/>
            <w:hideMark/>
          </w:tcPr>
          <w:p w14:paraId="17DE6063"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lastRenderedPageBreak/>
              <w:t>N</w:t>
            </w:r>
          </w:p>
        </w:tc>
        <w:tc>
          <w:tcPr>
            <w:tcW w:w="0" w:type="auto"/>
            <w:vAlign w:val="center"/>
            <w:hideMark/>
          </w:tcPr>
          <w:p w14:paraId="49247428"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Not assigned / Unknown</w:t>
            </w:r>
          </w:p>
        </w:tc>
        <w:tc>
          <w:tcPr>
            <w:tcW w:w="0" w:type="auto"/>
            <w:vAlign w:val="center"/>
            <w:hideMark/>
          </w:tcPr>
          <w:p w14:paraId="1688F33B"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6</w:t>
            </w:r>
          </w:p>
        </w:tc>
      </w:tr>
    </w:tbl>
    <w:p w14:paraId="2FF328B8" w14:textId="78906D0D"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This enabled regression and tree-based models to interpret pregnancy safety as a gradient rather than a nominal label.</w:t>
      </w:r>
    </w:p>
    <w:p w14:paraId="1E6DEE3E"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5. Rx/OTC status recoding</w:t>
      </w:r>
    </w:p>
    <w:p w14:paraId="7A597A5D"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Converted categorical labels into three groups:</w:t>
      </w:r>
    </w:p>
    <w:p w14:paraId="55B84AAE" w14:textId="77777777" w:rsidR="00061A45" w:rsidRPr="00061A45" w:rsidRDefault="00061A45" w:rsidP="00061A45">
      <w:pPr>
        <w:numPr>
          <w:ilvl w:val="0"/>
          <w:numId w:val="7"/>
        </w:numPr>
        <w:spacing w:line="240" w:lineRule="auto"/>
        <w:rPr>
          <w:rFonts w:ascii="Times New Roman" w:hAnsi="Times New Roman" w:cs="Times New Roman"/>
          <w:sz w:val="20"/>
          <w:szCs w:val="20"/>
        </w:rPr>
      </w:pPr>
      <w:r w:rsidRPr="00061A45">
        <w:rPr>
          <w:rFonts w:ascii="Times New Roman" w:hAnsi="Times New Roman" w:cs="Times New Roman"/>
          <w:sz w:val="20"/>
          <w:szCs w:val="20"/>
        </w:rPr>
        <w:t>Rx only</w:t>
      </w:r>
    </w:p>
    <w:p w14:paraId="1A15C9A8" w14:textId="77777777" w:rsidR="00061A45" w:rsidRPr="00061A45" w:rsidRDefault="00061A45" w:rsidP="00061A45">
      <w:pPr>
        <w:numPr>
          <w:ilvl w:val="0"/>
          <w:numId w:val="7"/>
        </w:numPr>
        <w:spacing w:line="240" w:lineRule="auto"/>
        <w:rPr>
          <w:rFonts w:ascii="Times New Roman" w:hAnsi="Times New Roman" w:cs="Times New Roman"/>
          <w:sz w:val="20"/>
          <w:szCs w:val="20"/>
        </w:rPr>
      </w:pPr>
      <w:r w:rsidRPr="00061A45">
        <w:rPr>
          <w:rFonts w:ascii="Times New Roman" w:hAnsi="Times New Roman" w:cs="Times New Roman"/>
          <w:sz w:val="20"/>
          <w:szCs w:val="20"/>
        </w:rPr>
        <w:t>OTC only</w:t>
      </w:r>
    </w:p>
    <w:p w14:paraId="50E600B5" w14:textId="77777777" w:rsidR="00061A45" w:rsidRPr="00061A45" w:rsidRDefault="00061A45" w:rsidP="00061A45">
      <w:pPr>
        <w:numPr>
          <w:ilvl w:val="0"/>
          <w:numId w:val="7"/>
        </w:numPr>
        <w:spacing w:line="240" w:lineRule="auto"/>
        <w:rPr>
          <w:rFonts w:ascii="Times New Roman" w:hAnsi="Times New Roman" w:cs="Times New Roman"/>
          <w:sz w:val="20"/>
          <w:szCs w:val="20"/>
        </w:rPr>
      </w:pPr>
      <w:r w:rsidRPr="00061A45">
        <w:rPr>
          <w:rFonts w:ascii="Times New Roman" w:hAnsi="Times New Roman" w:cs="Times New Roman"/>
          <w:sz w:val="20"/>
          <w:szCs w:val="20"/>
        </w:rPr>
        <w:t>Hybrid Rx/OTC</w:t>
      </w:r>
    </w:p>
    <w:p w14:paraId="389CE041" w14:textId="24A32DD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This supports evaluating how accessibility affects user ratings.</w:t>
      </w:r>
    </w:p>
    <w:p w14:paraId="755400BE"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6. Activity score standardization</w:t>
      </w:r>
    </w:p>
    <w:p w14:paraId="4019C565" w14:textId="09DCB4AB"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The activity field (representing percentage of users who found the drug effective) varies between 0–100%.</w:t>
      </w:r>
      <w:r w:rsidRPr="00061A45">
        <w:rPr>
          <w:rFonts w:ascii="Times New Roman" w:hAnsi="Times New Roman" w:cs="Times New Roman"/>
          <w:sz w:val="20"/>
          <w:szCs w:val="20"/>
        </w:rPr>
        <w:br/>
        <w:t xml:space="preserve">We cleaned and converted it into a numeric </w:t>
      </w:r>
      <w:proofErr w:type="spellStart"/>
      <w:r w:rsidRPr="00061A45">
        <w:rPr>
          <w:rFonts w:ascii="Times New Roman" w:hAnsi="Times New Roman" w:cs="Times New Roman"/>
          <w:sz w:val="20"/>
          <w:szCs w:val="20"/>
        </w:rPr>
        <w:t>activity_num</w:t>
      </w:r>
      <w:proofErr w:type="spellEnd"/>
      <w:r w:rsidRPr="00061A45">
        <w:rPr>
          <w:rFonts w:ascii="Times New Roman" w:hAnsi="Times New Roman" w:cs="Times New Roman"/>
          <w:sz w:val="20"/>
          <w:szCs w:val="20"/>
        </w:rPr>
        <w:t xml:space="preserve"> variable.</w:t>
      </w:r>
    </w:p>
    <w:p w14:paraId="37B68A02"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7. Drug-class mapping</w:t>
      </w:r>
    </w:p>
    <w:p w14:paraId="70D95227"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The raw dataset includes heterogeneous, sometimes multi-line drug class descriptions.</w:t>
      </w:r>
      <w:r w:rsidRPr="00061A45">
        <w:rPr>
          <w:rFonts w:ascii="Times New Roman" w:hAnsi="Times New Roman" w:cs="Times New Roman"/>
          <w:sz w:val="20"/>
          <w:szCs w:val="20"/>
        </w:rPr>
        <w:br/>
        <w:t>Standardized into discrete therapeutic categories using:</w:t>
      </w:r>
    </w:p>
    <w:p w14:paraId="5C31A3CB" w14:textId="77777777" w:rsidR="00061A45" w:rsidRPr="00061A45" w:rsidRDefault="00061A45" w:rsidP="00061A45">
      <w:pPr>
        <w:numPr>
          <w:ilvl w:val="0"/>
          <w:numId w:val="8"/>
        </w:numPr>
        <w:spacing w:line="240" w:lineRule="auto"/>
        <w:rPr>
          <w:rFonts w:ascii="Times New Roman" w:hAnsi="Times New Roman" w:cs="Times New Roman"/>
          <w:sz w:val="20"/>
          <w:szCs w:val="20"/>
        </w:rPr>
      </w:pPr>
      <w:r w:rsidRPr="00061A45">
        <w:rPr>
          <w:rFonts w:ascii="Times New Roman" w:hAnsi="Times New Roman" w:cs="Times New Roman"/>
          <w:sz w:val="20"/>
          <w:szCs w:val="20"/>
        </w:rPr>
        <w:t>lowercase normalization</w:t>
      </w:r>
    </w:p>
    <w:p w14:paraId="776585B9" w14:textId="77777777" w:rsidR="00061A45" w:rsidRPr="00061A45" w:rsidRDefault="00061A45" w:rsidP="00061A45">
      <w:pPr>
        <w:numPr>
          <w:ilvl w:val="0"/>
          <w:numId w:val="8"/>
        </w:numPr>
        <w:spacing w:line="240" w:lineRule="auto"/>
        <w:rPr>
          <w:rFonts w:ascii="Times New Roman" w:hAnsi="Times New Roman" w:cs="Times New Roman"/>
          <w:sz w:val="20"/>
          <w:szCs w:val="20"/>
        </w:rPr>
      </w:pPr>
      <w:r w:rsidRPr="00061A45">
        <w:rPr>
          <w:rFonts w:ascii="Times New Roman" w:hAnsi="Times New Roman" w:cs="Times New Roman"/>
          <w:sz w:val="20"/>
          <w:szCs w:val="20"/>
        </w:rPr>
        <w:t>removal of descriptors</w:t>
      </w:r>
    </w:p>
    <w:p w14:paraId="0CC80864" w14:textId="77777777" w:rsidR="00061A45" w:rsidRPr="00061A45" w:rsidRDefault="00061A45" w:rsidP="00061A45">
      <w:pPr>
        <w:numPr>
          <w:ilvl w:val="0"/>
          <w:numId w:val="8"/>
        </w:numPr>
        <w:spacing w:line="240" w:lineRule="auto"/>
        <w:rPr>
          <w:rFonts w:ascii="Times New Roman" w:hAnsi="Times New Roman" w:cs="Times New Roman"/>
          <w:sz w:val="20"/>
          <w:szCs w:val="20"/>
        </w:rPr>
      </w:pPr>
      <w:r w:rsidRPr="00061A45">
        <w:rPr>
          <w:rFonts w:ascii="Times New Roman" w:hAnsi="Times New Roman" w:cs="Times New Roman"/>
          <w:sz w:val="20"/>
          <w:szCs w:val="20"/>
        </w:rPr>
        <w:t>mapping to parent therapeutic class groups (e.g., “miscellaneous analgesics”, “opioid analgesics”, “insulin”, “proton pump inhibitors”)</w:t>
      </w:r>
    </w:p>
    <w:p w14:paraId="3E7E1345" w14:textId="16A8B968"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This was crucial for enabling the Random Forest classifier to detect class-level differences.</w:t>
      </w:r>
    </w:p>
    <w:p w14:paraId="05B6022E"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B.3 Final Dataset Summary</w:t>
      </w:r>
    </w:p>
    <w:p w14:paraId="327E5675"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After cleaning and feature engineering, the final dataset contains:</w:t>
      </w:r>
    </w:p>
    <w:p w14:paraId="33C7A5BD" w14:textId="77777777" w:rsidR="00061A45" w:rsidRPr="00061A45" w:rsidRDefault="00061A45" w:rsidP="00061A45">
      <w:pPr>
        <w:numPr>
          <w:ilvl w:val="0"/>
          <w:numId w:val="9"/>
        </w:numPr>
        <w:spacing w:line="240" w:lineRule="auto"/>
        <w:rPr>
          <w:rFonts w:ascii="Times New Roman" w:hAnsi="Times New Roman" w:cs="Times New Roman"/>
          <w:sz w:val="20"/>
          <w:szCs w:val="20"/>
        </w:rPr>
      </w:pPr>
      <w:r w:rsidRPr="00061A45">
        <w:rPr>
          <w:rFonts w:ascii="Times New Roman" w:hAnsi="Times New Roman" w:cs="Times New Roman"/>
          <w:sz w:val="20"/>
          <w:szCs w:val="20"/>
        </w:rPr>
        <w:t>1,500 drug-level records</w:t>
      </w:r>
    </w:p>
    <w:p w14:paraId="0D2E1855" w14:textId="77777777" w:rsidR="00061A45" w:rsidRPr="00061A45" w:rsidRDefault="00061A45" w:rsidP="00061A45">
      <w:pPr>
        <w:numPr>
          <w:ilvl w:val="0"/>
          <w:numId w:val="9"/>
        </w:numPr>
        <w:spacing w:line="240" w:lineRule="auto"/>
        <w:rPr>
          <w:rFonts w:ascii="Times New Roman" w:hAnsi="Times New Roman" w:cs="Times New Roman"/>
          <w:sz w:val="20"/>
          <w:szCs w:val="20"/>
        </w:rPr>
      </w:pPr>
      <w:r w:rsidRPr="00061A45">
        <w:rPr>
          <w:rFonts w:ascii="Times New Roman" w:hAnsi="Times New Roman" w:cs="Times New Roman"/>
          <w:sz w:val="20"/>
          <w:szCs w:val="20"/>
        </w:rPr>
        <w:t>Five predictive features:</w:t>
      </w:r>
      <w:r w:rsidRPr="00061A45">
        <w:rPr>
          <w:rFonts w:ascii="Times New Roman" w:hAnsi="Times New Roman" w:cs="Times New Roman"/>
          <w:sz w:val="20"/>
          <w:szCs w:val="20"/>
        </w:rPr>
        <w:br/>
      </w:r>
      <w:proofErr w:type="spellStart"/>
      <w:r w:rsidRPr="00061A45">
        <w:rPr>
          <w:rFonts w:ascii="Times New Roman" w:hAnsi="Times New Roman" w:cs="Times New Roman"/>
          <w:sz w:val="20"/>
          <w:szCs w:val="20"/>
        </w:rPr>
        <w:t>drug_classes</w:t>
      </w:r>
      <w:proofErr w:type="spellEnd"/>
      <w:r w:rsidRPr="00061A45">
        <w:rPr>
          <w:rFonts w:ascii="Times New Roman" w:hAnsi="Times New Roman" w:cs="Times New Roman"/>
          <w:sz w:val="20"/>
          <w:szCs w:val="20"/>
        </w:rPr>
        <w:t xml:space="preserve">, </w:t>
      </w:r>
      <w:proofErr w:type="spellStart"/>
      <w:r w:rsidRPr="00061A45">
        <w:rPr>
          <w:rFonts w:ascii="Times New Roman" w:hAnsi="Times New Roman" w:cs="Times New Roman"/>
          <w:sz w:val="20"/>
          <w:szCs w:val="20"/>
        </w:rPr>
        <w:t>pregnancy_category</w:t>
      </w:r>
      <w:proofErr w:type="spellEnd"/>
      <w:r w:rsidRPr="00061A45">
        <w:rPr>
          <w:rFonts w:ascii="Times New Roman" w:hAnsi="Times New Roman" w:cs="Times New Roman"/>
          <w:sz w:val="20"/>
          <w:szCs w:val="20"/>
        </w:rPr>
        <w:t xml:space="preserve">, </w:t>
      </w:r>
      <w:proofErr w:type="spellStart"/>
      <w:r w:rsidRPr="00061A45">
        <w:rPr>
          <w:rFonts w:ascii="Times New Roman" w:hAnsi="Times New Roman" w:cs="Times New Roman"/>
          <w:sz w:val="20"/>
          <w:szCs w:val="20"/>
        </w:rPr>
        <w:t>rx_otc</w:t>
      </w:r>
      <w:proofErr w:type="spellEnd"/>
      <w:r w:rsidRPr="00061A45">
        <w:rPr>
          <w:rFonts w:ascii="Times New Roman" w:hAnsi="Times New Roman" w:cs="Times New Roman"/>
          <w:sz w:val="20"/>
          <w:szCs w:val="20"/>
        </w:rPr>
        <w:t xml:space="preserve">, </w:t>
      </w:r>
      <w:proofErr w:type="spellStart"/>
      <w:r w:rsidRPr="00061A45">
        <w:rPr>
          <w:rFonts w:ascii="Times New Roman" w:hAnsi="Times New Roman" w:cs="Times New Roman"/>
          <w:sz w:val="20"/>
          <w:szCs w:val="20"/>
        </w:rPr>
        <w:t>num_side_effects</w:t>
      </w:r>
      <w:proofErr w:type="spellEnd"/>
      <w:r w:rsidRPr="00061A45">
        <w:rPr>
          <w:rFonts w:ascii="Times New Roman" w:hAnsi="Times New Roman" w:cs="Times New Roman"/>
          <w:sz w:val="20"/>
          <w:szCs w:val="20"/>
        </w:rPr>
        <w:t xml:space="preserve">, </w:t>
      </w:r>
      <w:proofErr w:type="spellStart"/>
      <w:r w:rsidRPr="00061A45">
        <w:rPr>
          <w:rFonts w:ascii="Times New Roman" w:hAnsi="Times New Roman" w:cs="Times New Roman"/>
          <w:sz w:val="20"/>
          <w:szCs w:val="20"/>
        </w:rPr>
        <w:t>activity_num</w:t>
      </w:r>
      <w:proofErr w:type="spellEnd"/>
    </w:p>
    <w:p w14:paraId="3C683219" w14:textId="77777777" w:rsidR="00061A45" w:rsidRPr="00061A45" w:rsidRDefault="00061A45" w:rsidP="00061A45">
      <w:pPr>
        <w:numPr>
          <w:ilvl w:val="0"/>
          <w:numId w:val="9"/>
        </w:numPr>
        <w:spacing w:line="240" w:lineRule="auto"/>
        <w:rPr>
          <w:rFonts w:ascii="Times New Roman" w:hAnsi="Times New Roman" w:cs="Times New Roman"/>
          <w:sz w:val="20"/>
          <w:szCs w:val="20"/>
        </w:rPr>
      </w:pPr>
      <w:r w:rsidRPr="00061A45">
        <w:rPr>
          <w:rFonts w:ascii="Times New Roman" w:hAnsi="Times New Roman" w:cs="Times New Roman"/>
          <w:sz w:val="20"/>
          <w:szCs w:val="20"/>
        </w:rPr>
        <w:t>Outcome variable:</w:t>
      </w:r>
    </w:p>
    <w:p w14:paraId="0456ABEC" w14:textId="77777777" w:rsidR="00061A45" w:rsidRPr="00061A45" w:rsidRDefault="00061A45" w:rsidP="00061A45">
      <w:pPr>
        <w:numPr>
          <w:ilvl w:val="1"/>
          <w:numId w:val="9"/>
        </w:numPr>
        <w:spacing w:line="240" w:lineRule="auto"/>
        <w:rPr>
          <w:rFonts w:ascii="Times New Roman" w:hAnsi="Times New Roman" w:cs="Times New Roman"/>
          <w:sz w:val="20"/>
          <w:szCs w:val="20"/>
        </w:rPr>
      </w:pPr>
      <w:r w:rsidRPr="00061A45">
        <w:rPr>
          <w:rFonts w:ascii="Times New Roman" w:hAnsi="Times New Roman" w:cs="Times New Roman"/>
          <w:sz w:val="20"/>
          <w:szCs w:val="20"/>
        </w:rPr>
        <w:t>Continuous rating (0–10)</w:t>
      </w:r>
    </w:p>
    <w:p w14:paraId="0C0E311D" w14:textId="77777777" w:rsidR="00061A45" w:rsidRPr="00061A45" w:rsidRDefault="00061A45" w:rsidP="00061A45">
      <w:pPr>
        <w:numPr>
          <w:ilvl w:val="1"/>
          <w:numId w:val="9"/>
        </w:numPr>
        <w:spacing w:line="240" w:lineRule="auto"/>
        <w:rPr>
          <w:rFonts w:ascii="Times New Roman" w:hAnsi="Times New Roman" w:cs="Times New Roman"/>
          <w:sz w:val="20"/>
          <w:szCs w:val="20"/>
        </w:rPr>
      </w:pPr>
      <w:r w:rsidRPr="00061A45">
        <w:rPr>
          <w:rFonts w:ascii="Times New Roman" w:hAnsi="Times New Roman" w:cs="Times New Roman"/>
          <w:sz w:val="20"/>
          <w:szCs w:val="20"/>
        </w:rPr>
        <w:t>Binary success label (rating ≥ 8)</w:t>
      </w:r>
    </w:p>
    <w:p w14:paraId="177ED7BD" w14:textId="77777777" w:rsidR="00061A45" w:rsidRPr="00061A45" w:rsidRDefault="00061A45" w:rsidP="00061A45">
      <w:pPr>
        <w:spacing w:line="240" w:lineRule="auto"/>
        <w:rPr>
          <w:rFonts w:ascii="Times New Roman" w:hAnsi="Times New Roman" w:cs="Times New Roman"/>
          <w:sz w:val="20"/>
          <w:szCs w:val="20"/>
        </w:rPr>
      </w:pPr>
      <w:r w:rsidRPr="00061A45">
        <w:rPr>
          <w:rFonts w:ascii="Times New Roman" w:hAnsi="Times New Roman" w:cs="Times New Roman"/>
          <w:sz w:val="20"/>
          <w:szCs w:val="20"/>
        </w:rPr>
        <w:t>This cleaned and enriched dataset provided a strong foundation for both linear modeling and machine-</w:t>
      </w:r>
      <w:r w:rsidRPr="00061A45">
        <w:rPr>
          <w:rFonts w:ascii="Times New Roman" w:hAnsi="Times New Roman" w:cs="Times New Roman"/>
          <w:sz w:val="20"/>
          <w:szCs w:val="20"/>
        </w:rPr>
        <w:lastRenderedPageBreak/>
        <w:t>learning–based prediction.</w:t>
      </w:r>
    </w:p>
    <w:p w14:paraId="209B1286" w14:textId="56F42C07" w:rsidR="00A228B1" w:rsidRPr="00A228B1" w:rsidRDefault="00A228B1" w:rsidP="00A228B1">
      <w:pPr>
        <w:spacing w:line="240" w:lineRule="auto"/>
        <w:rPr>
          <w:rFonts w:ascii="Times New Roman" w:hAnsi="Times New Roman" w:cs="Times New Roman"/>
          <w:b/>
          <w:bCs/>
          <w:szCs w:val="22"/>
        </w:rPr>
      </w:pPr>
      <w:r w:rsidRPr="00A228B1">
        <w:rPr>
          <w:rFonts w:ascii="Times New Roman" w:hAnsi="Times New Roman" w:cs="Times New Roman"/>
          <w:b/>
          <w:bCs/>
          <w:szCs w:val="22"/>
        </w:rPr>
        <w:t>Appendix C — Exploratory Data Analysis (EDA)</w:t>
      </w:r>
    </w:p>
    <w:p w14:paraId="585A72D5" w14:textId="428E39A2" w:rsidR="00A228B1" w:rsidRPr="00D61F83" w:rsidRDefault="00A228B1" w:rsidP="00A228B1">
      <w:pPr>
        <w:spacing w:line="240" w:lineRule="auto"/>
        <w:rPr>
          <w:rFonts w:ascii="Times New Roman" w:hAnsi="Times New Roman" w:cs="Times New Roman"/>
          <w:sz w:val="20"/>
          <w:szCs w:val="20"/>
        </w:rPr>
      </w:pPr>
      <w:r w:rsidRPr="00D61F83">
        <w:rPr>
          <w:rFonts w:ascii="Times New Roman" w:hAnsi="Times New Roman" w:cs="Times New Roman"/>
          <w:sz w:val="20"/>
          <w:szCs w:val="20"/>
        </w:rPr>
        <w:t>C.1 Distribution of Ratings</w:t>
      </w:r>
      <w:r w:rsidRPr="00D61F83">
        <w:rPr>
          <w:rFonts w:ascii="Times New Roman" w:hAnsi="Times New Roman" w:cs="Times New Roman"/>
          <w:sz w:val="20"/>
          <w:szCs w:val="20"/>
        </w:rPr>
        <w:br/>
        <w:t>Drug ratings range widely across products, with noticeable clustering around mid-to-high scores. This variation suggests substantial heterogeneity in user perception across therapeutic categories.</w:t>
      </w:r>
    </w:p>
    <w:p w14:paraId="44B33517" w14:textId="0F172C98" w:rsidR="00C73E3B" w:rsidRPr="00D61F83" w:rsidRDefault="00C73E3B" w:rsidP="00A228B1">
      <w:pPr>
        <w:spacing w:line="240" w:lineRule="auto"/>
        <w:rPr>
          <w:rFonts w:ascii="Times New Roman" w:hAnsi="Times New Roman" w:cs="Times New Roman"/>
          <w:sz w:val="20"/>
          <w:szCs w:val="20"/>
        </w:rPr>
      </w:pPr>
      <w:r w:rsidRPr="00D61F83">
        <w:rPr>
          <w:rFonts w:ascii="Times New Roman" w:hAnsi="Times New Roman" w:cs="Times New Roman"/>
          <w:b/>
          <w:bCs/>
          <w:noProof/>
          <w:sz w:val="20"/>
          <w:szCs w:val="20"/>
        </w:rPr>
        <w:drawing>
          <wp:inline distT="0" distB="0" distL="0" distR="0" wp14:anchorId="0716890E" wp14:editId="670B1B55">
            <wp:extent cx="1507097" cy="1486968"/>
            <wp:effectExtent l="0" t="0" r="4445" b="0"/>
            <wp:docPr id="745445869" name="图片 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5869" name="图片 2" descr="图表, 箱线图&#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83583" cy="1562432"/>
                    </a:xfrm>
                    <a:prstGeom prst="rect">
                      <a:avLst/>
                    </a:prstGeom>
                  </pic:spPr>
                </pic:pic>
              </a:graphicData>
            </a:graphic>
          </wp:inline>
        </w:drawing>
      </w:r>
    </w:p>
    <w:p w14:paraId="20F42A20" w14:textId="2181DB3D" w:rsidR="00A228B1" w:rsidRPr="00D61F83" w:rsidRDefault="00A228B1" w:rsidP="00A228B1">
      <w:pPr>
        <w:spacing w:line="240" w:lineRule="auto"/>
        <w:rPr>
          <w:rFonts w:ascii="Times New Roman" w:hAnsi="Times New Roman" w:cs="Times New Roman"/>
          <w:sz w:val="20"/>
          <w:szCs w:val="20"/>
        </w:rPr>
      </w:pPr>
      <w:r w:rsidRPr="00D61F83">
        <w:rPr>
          <w:rFonts w:ascii="Times New Roman" w:hAnsi="Times New Roman" w:cs="Times New Roman"/>
          <w:sz w:val="20"/>
          <w:szCs w:val="20"/>
        </w:rPr>
        <w:t>C.2 Rating Differences by Rx/OTC Status</w:t>
      </w:r>
    </w:p>
    <w:p w14:paraId="5200D1CF" w14:textId="77777777" w:rsidR="00A228B1" w:rsidRPr="00D61F83" w:rsidRDefault="00A228B1" w:rsidP="00A228B1">
      <w:pPr>
        <w:numPr>
          <w:ilvl w:val="0"/>
          <w:numId w:val="10"/>
        </w:numPr>
        <w:spacing w:line="240" w:lineRule="auto"/>
        <w:rPr>
          <w:rFonts w:ascii="Times New Roman" w:hAnsi="Times New Roman" w:cs="Times New Roman"/>
          <w:sz w:val="20"/>
          <w:szCs w:val="20"/>
        </w:rPr>
      </w:pPr>
      <w:r w:rsidRPr="00D61F83">
        <w:rPr>
          <w:rFonts w:ascii="Times New Roman" w:hAnsi="Times New Roman" w:cs="Times New Roman"/>
          <w:sz w:val="20"/>
          <w:szCs w:val="20"/>
        </w:rPr>
        <w:t>OTC and hybrid Rx/OTC drugs score higher on average than Rx-only drugs.</w:t>
      </w:r>
    </w:p>
    <w:p w14:paraId="047DD748" w14:textId="77777777" w:rsidR="00A228B1" w:rsidRPr="00D61F83" w:rsidRDefault="00A228B1" w:rsidP="00A228B1">
      <w:pPr>
        <w:numPr>
          <w:ilvl w:val="0"/>
          <w:numId w:val="10"/>
        </w:numPr>
        <w:spacing w:line="240" w:lineRule="auto"/>
        <w:rPr>
          <w:rFonts w:ascii="Times New Roman" w:hAnsi="Times New Roman" w:cs="Times New Roman"/>
          <w:sz w:val="20"/>
          <w:szCs w:val="20"/>
        </w:rPr>
      </w:pPr>
      <w:r w:rsidRPr="00D61F83">
        <w:rPr>
          <w:rFonts w:ascii="Times New Roman" w:hAnsi="Times New Roman" w:cs="Times New Roman"/>
          <w:sz w:val="20"/>
          <w:szCs w:val="20"/>
        </w:rPr>
        <w:t>This indicates that accessibility and ease of use may positively influence user satisfaction.</w:t>
      </w:r>
    </w:p>
    <w:p w14:paraId="2A29B6DE" w14:textId="77777777" w:rsidR="00C73E3B" w:rsidRPr="00D61F83" w:rsidRDefault="00A228B1" w:rsidP="00A228B1">
      <w:pPr>
        <w:numPr>
          <w:ilvl w:val="0"/>
          <w:numId w:val="10"/>
        </w:numPr>
        <w:spacing w:line="240" w:lineRule="auto"/>
        <w:rPr>
          <w:rFonts w:ascii="Times New Roman" w:hAnsi="Times New Roman" w:cs="Times New Roman"/>
          <w:sz w:val="20"/>
          <w:szCs w:val="20"/>
        </w:rPr>
      </w:pPr>
      <w:r w:rsidRPr="00D61F83">
        <w:rPr>
          <w:rFonts w:ascii="Times New Roman" w:hAnsi="Times New Roman" w:cs="Times New Roman"/>
          <w:sz w:val="20"/>
          <w:szCs w:val="20"/>
        </w:rPr>
        <w:t>These patterns align with the regression findings, where Rx/OTC status is a significant positive driver</w:t>
      </w:r>
    </w:p>
    <w:p w14:paraId="46F52E53" w14:textId="5E6029A0" w:rsidR="00A228B1" w:rsidRPr="00D61F83" w:rsidRDefault="00A228B1" w:rsidP="00C73E3B">
      <w:pPr>
        <w:spacing w:line="240" w:lineRule="auto"/>
        <w:ind w:left="360"/>
        <w:rPr>
          <w:rFonts w:ascii="Times New Roman" w:hAnsi="Times New Roman" w:cs="Times New Roman"/>
          <w:sz w:val="20"/>
          <w:szCs w:val="20"/>
        </w:rPr>
      </w:pPr>
      <w:r w:rsidRPr="00D61F83">
        <w:rPr>
          <w:rFonts w:ascii="Times New Roman" w:hAnsi="Times New Roman" w:cs="Times New Roman"/>
          <w:sz w:val="20"/>
          <w:szCs w:val="20"/>
        </w:rPr>
        <w:t>.</w:t>
      </w:r>
      <w:r w:rsidR="00C73E3B" w:rsidRPr="00D61F83">
        <w:rPr>
          <w:rFonts w:ascii="Times New Roman" w:hAnsi="Times New Roman" w:cs="Times New Roman" w:hint="eastAsia"/>
          <w:noProof/>
          <w:sz w:val="20"/>
          <w:szCs w:val="20"/>
        </w:rPr>
        <w:drawing>
          <wp:inline distT="0" distB="0" distL="0" distR="0" wp14:anchorId="4DDE2AE9" wp14:editId="4911B8F5">
            <wp:extent cx="1076770" cy="2194755"/>
            <wp:effectExtent l="0" t="0" r="3175" b="2540"/>
            <wp:docPr id="15828232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23282" name="图片 3"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5697" cy="2314865"/>
                    </a:xfrm>
                    <a:prstGeom prst="rect">
                      <a:avLst/>
                    </a:prstGeom>
                  </pic:spPr>
                </pic:pic>
              </a:graphicData>
            </a:graphic>
          </wp:inline>
        </w:drawing>
      </w:r>
    </w:p>
    <w:p w14:paraId="46FF0636" w14:textId="6F4E143F" w:rsidR="00A228B1" w:rsidRPr="00D61F83" w:rsidRDefault="00A228B1" w:rsidP="00A228B1">
      <w:pPr>
        <w:spacing w:line="240" w:lineRule="auto"/>
        <w:rPr>
          <w:rFonts w:ascii="Times New Roman" w:hAnsi="Times New Roman" w:cs="Times New Roman"/>
          <w:sz w:val="20"/>
          <w:szCs w:val="20"/>
        </w:rPr>
      </w:pPr>
      <w:r w:rsidRPr="00D61F83">
        <w:rPr>
          <w:rFonts w:ascii="Times New Roman" w:hAnsi="Times New Roman" w:cs="Times New Roman"/>
          <w:sz w:val="20"/>
          <w:szCs w:val="20"/>
        </w:rPr>
        <w:t>C.3 Rating Differences by Pregnancy Category</w:t>
      </w:r>
    </w:p>
    <w:p w14:paraId="409E1A36" w14:textId="77777777" w:rsidR="00A228B1" w:rsidRPr="00D61F83" w:rsidRDefault="00A228B1" w:rsidP="00A228B1">
      <w:pPr>
        <w:numPr>
          <w:ilvl w:val="0"/>
          <w:numId w:val="11"/>
        </w:numPr>
        <w:spacing w:line="240" w:lineRule="auto"/>
        <w:rPr>
          <w:rFonts w:ascii="Times New Roman" w:hAnsi="Times New Roman" w:cs="Times New Roman"/>
          <w:sz w:val="20"/>
          <w:szCs w:val="20"/>
        </w:rPr>
      </w:pPr>
      <w:r w:rsidRPr="00D61F83">
        <w:rPr>
          <w:rFonts w:ascii="Times New Roman" w:hAnsi="Times New Roman" w:cs="Times New Roman"/>
          <w:sz w:val="20"/>
          <w:szCs w:val="20"/>
        </w:rPr>
        <w:t>Safer pregnancy categories (A/B) show higher ratings.</w:t>
      </w:r>
    </w:p>
    <w:p w14:paraId="0C60663B" w14:textId="77777777" w:rsidR="00A228B1" w:rsidRPr="00D61F83" w:rsidRDefault="00A228B1" w:rsidP="00A228B1">
      <w:pPr>
        <w:numPr>
          <w:ilvl w:val="0"/>
          <w:numId w:val="11"/>
        </w:numPr>
        <w:spacing w:line="240" w:lineRule="auto"/>
        <w:rPr>
          <w:rFonts w:ascii="Times New Roman" w:hAnsi="Times New Roman" w:cs="Times New Roman"/>
          <w:sz w:val="20"/>
          <w:szCs w:val="20"/>
        </w:rPr>
      </w:pPr>
      <w:r w:rsidRPr="00D61F83">
        <w:rPr>
          <w:rFonts w:ascii="Times New Roman" w:hAnsi="Times New Roman" w:cs="Times New Roman"/>
          <w:sz w:val="20"/>
          <w:szCs w:val="20"/>
        </w:rPr>
        <w:t>Riskier categories (D/X) trend lower.</w:t>
      </w:r>
    </w:p>
    <w:p w14:paraId="7D98E357" w14:textId="77777777" w:rsidR="00C73E3B" w:rsidRPr="00D61F83" w:rsidRDefault="00A228B1" w:rsidP="00A228B1">
      <w:pPr>
        <w:numPr>
          <w:ilvl w:val="0"/>
          <w:numId w:val="11"/>
        </w:numPr>
        <w:spacing w:line="240" w:lineRule="auto"/>
        <w:rPr>
          <w:rFonts w:ascii="Times New Roman" w:hAnsi="Times New Roman" w:cs="Times New Roman"/>
          <w:sz w:val="20"/>
          <w:szCs w:val="20"/>
        </w:rPr>
      </w:pPr>
      <w:r w:rsidRPr="00D61F83">
        <w:rPr>
          <w:rFonts w:ascii="Times New Roman" w:hAnsi="Times New Roman" w:cs="Times New Roman"/>
          <w:sz w:val="20"/>
          <w:szCs w:val="20"/>
        </w:rPr>
        <w:t>This supports treating pregnancy category as an ordinal predictor and validates its influence in both linear and logistic models.</w:t>
      </w:r>
    </w:p>
    <w:p w14:paraId="246852B2" w14:textId="24DAEBE8" w:rsidR="00A228B1" w:rsidRPr="00D61F83" w:rsidRDefault="00C73E3B" w:rsidP="00C73E3B">
      <w:pPr>
        <w:spacing w:line="240" w:lineRule="auto"/>
        <w:rPr>
          <w:rFonts w:ascii="Times New Roman" w:hAnsi="Times New Roman" w:cs="Times New Roman"/>
          <w:sz w:val="20"/>
          <w:szCs w:val="20"/>
        </w:rPr>
      </w:pPr>
      <w:r w:rsidRPr="00D61F83">
        <w:rPr>
          <w:rFonts w:ascii="Times New Roman" w:hAnsi="Times New Roman" w:cs="Times New Roman" w:hint="eastAsia"/>
          <w:noProof/>
          <w:sz w:val="20"/>
          <w:szCs w:val="20"/>
        </w:rPr>
        <w:lastRenderedPageBreak/>
        <w:drawing>
          <wp:inline distT="0" distB="0" distL="0" distR="0" wp14:anchorId="4A69B962" wp14:editId="6D7EF49C">
            <wp:extent cx="1504059" cy="2561498"/>
            <wp:effectExtent l="0" t="0" r="0" b="4445"/>
            <wp:docPr id="1153649569"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49569" name="图片 4" descr="图表, 散点图&#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9419" cy="2587657"/>
                    </a:xfrm>
                    <a:prstGeom prst="rect">
                      <a:avLst/>
                    </a:prstGeom>
                  </pic:spPr>
                </pic:pic>
              </a:graphicData>
            </a:graphic>
          </wp:inline>
        </w:drawing>
      </w:r>
    </w:p>
    <w:p w14:paraId="51392C63" w14:textId="5F28BB4F" w:rsidR="00A228B1" w:rsidRPr="00D61F83" w:rsidRDefault="00A228B1" w:rsidP="00A228B1">
      <w:pPr>
        <w:spacing w:line="240" w:lineRule="auto"/>
        <w:rPr>
          <w:rFonts w:ascii="Times New Roman" w:hAnsi="Times New Roman" w:cs="Times New Roman"/>
          <w:sz w:val="20"/>
          <w:szCs w:val="20"/>
        </w:rPr>
      </w:pPr>
      <w:r w:rsidRPr="00D61F83">
        <w:rPr>
          <w:rFonts w:ascii="Times New Roman" w:hAnsi="Times New Roman" w:cs="Times New Roman"/>
          <w:sz w:val="20"/>
          <w:szCs w:val="20"/>
        </w:rPr>
        <w:t>C.4 Relationship Between Activity Level and Rating</w:t>
      </w:r>
    </w:p>
    <w:p w14:paraId="1968B4DF" w14:textId="77777777" w:rsidR="00A228B1" w:rsidRPr="00D61F83" w:rsidRDefault="00A228B1" w:rsidP="00A228B1">
      <w:pPr>
        <w:numPr>
          <w:ilvl w:val="0"/>
          <w:numId w:val="12"/>
        </w:numPr>
        <w:spacing w:line="240" w:lineRule="auto"/>
        <w:rPr>
          <w:rFonts w:ascii="Times New Roman" w:hAnsi="Times New Roman" w:cs="Times New Roman"/>
          <w:sz w:val="20"/>
          <w:szCs w:val="20"/>
        </w:rPr>
      </w:pPr>
      <w:r w:rsidRPr="00D61F83">
        <w:rPr>
          <w:rFonts w:ascii="Times New Roman" w:hAnsi="Times New Roman" w:cs="Times New Roman"/>
          <w:sz w:val="20"/>
          <w:szCs w:val="20"/>
        </w:rPr>
        <w:t>Activity (effectiveness %) shows a mild positive trend with rating but includes significant noise.</w:t>
      </w:r>
    </w:p>
    <w:p w14:paraId="2A52E809" w14:textId="4667B9F3" w:rsidR="00C73E3B" w:rsidRPr="00D61F83" w:rsidRDefault="00A228B1" w:rsidP="00C73E3B">
      <w:pPr>
        <w:numPr>
          <w:ilvl w:val="0"/>
          <w:numId w:val="12"/>
        </w:numPr>
        <w:spacing w:line="240" w:lineRule="auto"/>
        <w:rPr>
          <w:rFonts w:ascii="Times New Roman" w:hAnsi="Times New Roman" w:cs="Times New Roman"/>
          <w:sz w:val="20"/>
          <w:szCs w:val="20"/>
        </w:rPr>
      </w:pPr>
      <w:r w:rsidRPr="00D61F83">
        <w:rPr>
          <w:rFonts w:ascii="Times New Roman" w:hAnsi="Times New Roman" w:cs="Times New Roman"/>
          <w:sz w:val="20"/>
          <w:szCs w:val="20"/>
        </w:rPr>
        <w:t>The weak linear relationship explains why Activity has limited impact in linear regression but contributes non-linearly in Random Forest.</w:t>
      </w:r>
    </w:p>
    <w:p w14:paraId="2BFABDC1" w14:textId="6DE00E3F" w:rsidR="00C73E3B" w:rsidRPr="00D61F83" w:rsidRDefault="00C73E3B" w:rsidP="00C73E3B">
      <w:pPr>
        <w:spacing w:line="240" w:lineRule="auto"/>
        <w:rPr>
          <w:rFonts w:ascii="Times New Roman" w:hAnsi="Times New Roman" w:cs="Times New Roman"/>
          <w:sz w:val="20"/>
          <w:szCs w:val="20"/>
        </w:rPr>
      </w:pPr>
      <w:r w:rsidRPr="00D61F83">
        <w:rPr>
          <w:rFonts w:ascii="Times New Roman" w:hAnsi="Times New Roman" w:cs="Times New Roman" w:hint="eastAsia"/>
          <w:noProof/>
          <w:sz w:val="20"/>
          <w:szCs w:val="20"/>
        </w:rPr>
        <w:drawing>
          <wp:inline distT="0" distB="0" distL="0" distR="0" wp14:anchorId="478F7B17" wp14:editId="5667F716">
            <wp:extent cx="1127638" cy="2166834"/>
            <wp:effectExtent l="0" t="0" r="3175" b="5080"/>
            <wp:docPr id="1193216298"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6298" name="图片 5" descr="图表&#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4357" cy="2198960"/>
                    </a:xfrm>
                    <a:prstGeom prst="rect">
                      <a:avLst/>
                    </a:prstGeom>
                  </pic:spPr>
                </pic:pic>
              </a:graphicData>
            </a:graphic>
          </wp:inline>
        </w:drawing>
      </w:r>
    </w:p>
    <w:p w14:paraId="6D4D6F28" w14:textId="3820F25E" w:rsidR="00A228B1" w:rsidRPr="00D61F83" w:rsidRDefault="00A228B1" w:rsidP="00A228B1">
      <w:pPr>
        <w:spacing w:line="240" w:lineRule="auto"/>
        <w:rPr>
          <w:rFonts w:ascii="Times New Roman" w:hAnsi="Times New Roman" w:cs="Times New Roman"/>
          <w:sz w:val="20"/>
          <w:szCs w:val="20"/>
        </w:rPr>
      </w:pPr>
      <w:r w:rsidRPr="00D61F83">
        <w:rPr>
          <w:rFonts w:ascii="Times New Roman" w:hAnsi="Times New Roman" w:cs="Times New Roman"/>
          <w:sz w:val="20"/>
          <w:szCs w:val="20"/>
        </w:rPr>
        <w:t>C.5 Relationship Between Number of Side Effects and Rating</w:t>
      </w:r>
    </w:p>
    <w:p w14:paraId="4EAE3F87" w14:textId="77777777" w:rsidR="00A228B1" w:rsidRPr="00D61F83" w:rsidRDefault="00A228B1" w:rsidP="00A228B1">
      <w:pPr>
        <w:numPr>
          <w:ilvl w:val="0"/>
          <w:numId w:val="13"/>
        </w:numPr>
        <w:spacing w:line="240" w:lineRule="auto"/>
        <w:rPr>
          <w:rFonts w:ascii="Times New Roman" w:hAnsi="Times New Roman" w:cs="Times New Roman"/>
          <w:sz w:val="20"/>
          <w:szCs w:val="20"/>
        </w:rPr>
      </w:pPr>
      <w:r w:rsidRPr="00D61F83">
        <w:rPr>
          <w:rFonts w:ascii="Times New Roman" w:hAnsi="Times New Roman" w:cs="Times New Roman"/>
          <w:sz w:val="20"/>
          <w:szCs w:val="20"/>
        </w:rPr>
        <w:t>Higher side-effect counts are associated with lower ratings, but the relationship is clearly non-linear.</w:t>
      </w:r>
    </w:p>
    <w:p w14:paraId="4978020D" w14:textId="1BC645C4" w:rsidR="00A228B1" w:rsidRPr="00D61F83" w:rsidRDefault="00A228B1" w:rsidP="00A228B1">
      <w:pPr>
        <w:numPr>
          <w:ilvl w:val="0"/>
          <w:numId w:val="13"/>
        </w:numPr>
        <w:spacing w:line="240" w:lineRule="auto"/>
        <w:rPr>
          <w:rFonts w:ascii="Times New Roman" w:hAnsi="Times New Roman" w:cs="Times New Roman"/>
          <w:sz w:val="20"/>
          <w:szCs w:val="20"/>
        </w:rPr>
      </w:pPr>
      <w:r w:rsidRPr="00D61F83">
        <w:rPr>
          <w:rFonts w:ascii="Times New Roman" w:hAnsi="Times New Roman" w:cs="Times New Roman"/>
          <w:sz w:val="20"/>
          <w:szCs w:val="20"/>
        </w:rPr>
        <w:t>This non-linearity explains why side-effect burden is weak in linear models but becomes a top feature in Random Forest’s Gini importance.</w:t>
      </w:r>
    </w:p>
    <w:p w14:paraId="1BF39301" w14:textId="77777777" w:rsidR="00A228B1" w:rsidRPr="00D61F83" w:rsidRDefault="00A228B1" w:rsidP="00A228B1">
      <w:pPr>
        <w:spacing w:line="240" w:lineRule="auto"/>
        <w:rPr>
          <w:rFonts w:ascii="Times New Roman" w:hAnsi="Times New Roman" w:cs="Times New Roman"/>
          <w:sz w:val="20"/>
          <w:szCs w:val="20"/>
        </w:rPr>
      </w:pPr>
      <w:r w:rsidRPr="00D61F83">
        <w:rPr>
          <w:rFonts w:ascii="Times New Roman" w:hAnsi="Times New Roman" w:cs="Times New Roman"/>
          <w:sz w:val="20"/>
          <w:szCs w:val="20"/>
        </w:rPr>
        <w:t>C.6 Preliminary Insights from EDA</w:t>
      </w:r>
    </w:p>
    <w:p w14:paraId="6A5B3E84" w14:textId="77777777" w:rsidR="00A228B1" w:rsidRPr="00D61F83" w:rsidRDefault="00A228B1" w:rsidP="00A228B1">
      <w:pPr>
        <w:numPr>
          <w:ilvl w:val="0"/>
          <w:numId w:val="14"/>
        </w:numPr>
        <w:spacing w:line="240" w:lineRule="auto"/>
        <w:rPr>
          <w:rFonts w:ascii="Times New Roman" w:hAnsi="Times New Roman" w:cs="Times New Roman"/>
          <w:sz w:val="20"/>
          <w:szCs w:val="20"/>
        </w:rPr>
      </w:pPr>
      <w:r w:rsidRPr="00D61F83">
        <w:rPr>
          <w:rFonts w:ascii="Times New Roman" w:hAnsi="Times New Roman" w:cs="Times New Roman"/>
          <w:sz w:val="20"/>
          <w:szCs w:val="20"/>
        </w:rPr>
        <w:t>Structural attributes (drug class, pregnancy safety, accessibility) show strong rating separation.</w:t>
      </w:r>
    </w:p>
    <w:p w14:paraId="497A2DC9" w14:textId="77777777" w:rsidR="00A228B1" w:rsidRPr="00D61F83" w:rsidRDefault="00A228B1" w:rsidP="00A228B1">
      <w:pPr>
        <w:numPr>
          <w:ilvl w:val="0"/>
          <w:numId w:val="14"/>
        </w:numPr>
        <w:spacing w:line="240" w:lineRule="auto"/>
        <w:rPr>
          <w:rFonts w:ascii="Times New Roman" w:hAnsi="Times New Roman" w:cs="Times New Roman"/>
          <w:sz w:val="20"/>
          <w:szCs w:val="20"/>
        </w:rPr>
      </w:pPr>
      <w:r w:rsidRPr="00D61F83">
        <w:rPr>
          <w:rFonts w:ascii="Times New Roman" w:hAnsi="Times New Roman" w:cs="Times New Roman"/>
          <w:sz w:val="20"/>
          <w:szCs w:val="20"/>
        </w:rPr>
        <w:t>User-experience attributes (side effects, activity) affect ratings in non-linear ways.</w:t>
      </w:r>
    </w:p>
    <w:p w14:paraId="6F3B5E12" w14:textId="77777777" w:rsidR="00A228B1" w:rsidRPr="00A228B1" w:rsidRDefault="00A228B1" w:rsidP="00A228B1">
      <w:pPr>
        <w:numPr>
          <w:ilvl w:val="0"/>
          <w:numId w:val="14"/>
        </w:numPr>
        <w:spacing w:line="240" w:lineRule="auto"/>
        <w:rPr>
          <w:rFonts w:ascii="Times New Roman" w:hAnsi="Times New Roman" w:cs="Times New Roman"/>
          <w:szCs w:val="22"/>
        </w:rPr>
      </w:pPr>
      <w:r w:rsidRPr="00D61F83">
        <w:rPr>
          <w:rFonts w:ascii="Times New Roman" w:hAnsi="Times New Roman" w:cs="Times New Roman"/>
          <w:sz w:val="20"/>
          <w:szCs w:val="20"/>
        </w:rPr>
        <w:t>EDA validates that linear models capture only part of the signal, while tree-based methods are better suited for this dataset.</w:t>
      </w:r>
    </w:p>
    <w:p w14:paraId="06F78844" w14:textId="4F8CFCE6" w:rsidR="00D61F83" w:rsidRPr="00D61F83" w:rsidRDefault="00D61F83" w:rsidP="00D61F83">
      <w:pPr>
        <w:spacing w:line="240" w:lineRule="auto"/>
        <w:rPr>
          <w:rFonts w:ascii="Times New Roman" w:hAnsi="Times New Roman" w:cs="Times New Roman"/>
          <w:b/>
          <w:bCs/>
          <w:szCs w:val="22"/>
        </w:rPr>
      </w:pPr>
      <w:r w:rsidRPr="00D61F83">
        <w:rPr>
          <w:rFonts w:ascii="Times New Roman" w:hAnsi="Times New Roman" w:cs="Times New Roman"/>
          <w:b/>
          <w:bCs/>
          <w:szCs w:val="22"/>
        </w:rPr>
        <w:lastRenderedPageBreak/>
        <w:t>Appendix D — Model Diagnostics</w:t>
      </w:r>
    </w:p>
    <w:p w14:paraId="61334330"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This appendix presents the full modeling workflow, diagnostics, and comparative evaluation across three predictive frameworks:</w:t>
      </w:r>
    </w:p>
    <w:p w14:paraId="06A561E8" w14:textId="77777777" w:rsidR="00D61F83" w:rsidRPr="00D61F83" w:rsidRDefault="00D61F83" w:rsidP="00D61F83">
      <w:pPr>
        <w:numPr>
          <w:ilvl w:val="0"/>
          <w:numId w:val="15"/>
        </w:numPr>
        <w:spacing w:line="240" w:lineRule="auto"/>
        <w:rPr>
          <w:rFonts w:ascii="Times New Roman" w:hAnsi="Times New Roman" w:cs="Times New Roman"/>
          <w:sz w:val="20"/>
          <w:szCs w:val="20"/>
        </w:rPr>
      </w:pPr>
      <w:r w:rsidRPr="00D61F83">
        <w:rPr>
          <w:rFonts w:ascii="Times New Roman" w:hAnsi="Times New Roman" w:cs="Times New Roman"/>
          <w:sz w:val="20"/>
          <w:szCs w:val="20"/>
        </w:rPr>
        <w:t>Linear Regression (predicting continuous rating 0–10)</w:t>
      </w:r>
    </w:p>
    <w:p w14:paraId="11A9B01D" w14:textId="77777777" w:rsidR="00D61F83" w:rsidRPr="00D61F83" w:rsidRDefault="00D61F83" w:rsidP="00D61F83">
      <w:pPr>
        <w:numPr>
          <w:ilvl w:val="0"/>
          <w:numId w:val="15"/>
        </w:numPr>
        <w:spacing w:line="240" w:lineRule="auto"/>
        <w:rPr>
          <w:rFonts w:ascii="Times New Roman" w:hAnsi="Times New Roman" w:cs="Times New Roman"/>
          <w:sz w:val="20"/>
          <w:szCs w:val="20"/>
        </w:rPr>
      </w:pPr>
      <w:r w:rsidRPr="00D61F83">
        <w:rPr>
          <w:rFonts w:ascii="Times New Roman" w:hAnsi="Times New Roman" w:cs="Times New Roman"/>
          <w:sz w:val="20"/>
          <w:szCs w:val="20"/>
        </w:rPr>
        <w:t>Random Forest Regression (continuous rating)</w:t>
      </w:r>
    </w:p>
    <w:p w14:paraId="35D6102B" w14:textId="77777777" w:rsidR="00D61F83" w:rsidRPr="00D61F83" w:rsidRDefault="00D61F83" w:rsidP="00D61F83">
      <w:pPr>
        <w:numPr>
          <w:ilvl w:val="0"/>
          <w:numId w:val="15"/>
        </w:numPr>
        <w:spacing w:line="240" w:lineRule="auto"/>
        <w:rPr>
          <w:rFonts w:ascii="Times New Roman" w:hAnsi="Times New Roman" w:cs="Times New Roman"/>
          <w:sz w:val="20"/>
          <w:szCs w:val="20"/>
        </w:rPr>
      </w:pPr>
      <w:r w:rsidRPr="00D61F83">
        <w:rPr>
          <w:rFonts w:ascii="Times New Roman" w:hAnsi="Times New Roman" w:cs="Times New Roman"/>
          <w:sz w:val="20"/>
          <w:szCs w:val="20"/>
        </w:rPr>
        <w:t>Logistic Regression (binary success: rating ≥ 8)</w:t>
      </w:r>
    </w:p>
    <w:p w14:paraId="70370DF8" w14:textId="77777777" w:rsidR="00D61F83" w:rsidRPr="00D61F83" w:rsidRDefault="00D61F83" w:rsidP="00D61F83">
      <w:pPr>
        <w:numPr>
          <w:ilvl w:val="0"/>
          <w:numId w:val="15"/>
        </w:numPr>
        <w:spacing w:line="240" w:lineRule="auto"/>
        <w:rPr>
          <w:rFonts w:ascii="Times New Roman" w:hAnsi="Times New Roman" w:cs="Times New Roman"/>
          <w:sz w:val="20"/>
          <w:szCs w:val="20"/>
        </w:rPr>
      </w:pPr>
      <w:r w:rsidRPr="00D61F83">
        <w:rPr>
          <w:rFonts w:ascii="Times New Roman" w:hAnsi="Times New Roman" w:cs="Times New Roman"/>
          <w:sz w:val="20"/>
          <w:szCs w:val="20"/>
        </w:rPr>
        <w:t>Random Forest Classifier (binary success)</w:t>
      </w:r>
    </w:p>
    <w:p w14:paraId="61E6C633" w14:textId="41A102DA"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All models follow a consistent 80/20 train–test split, ensuring that all performance metrics reflect out-of-sample evaluation.</w:t>
      </w:r>
    </w:p>
    <w:p w14:paraId="6D4E9068"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D.0 Modeling Setup</w:t>
      </w:r>
    </w:p>
    <w:p w14:paraId="7A06C59C"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Train/Test Split</w:t>
      </w:r>
    </w:p>
    <w:p w14:paraId="70D7FE29"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The dataset was randomly split into 80% training and 20% test, preserving class proportions.</w:t>
      </w:r>
      <w:r w:rsidRPr="00D61F83">
        <w:rPr>
          <w:rFonts w:ascii="Times New Roman" w:hAnsi="Times New Roman" w:cs="Times New Roman"/>
          <w:sz w:val="20"/>
          <w:szCs w:val="20"/>
        </w:rPr>
        <w:br/>
        <w:t>All hyperparameters, variable selection, and tuning were done exclusively on the training set.</w:t>
      </w:r>
    </w:p>
    <w:p w14:paraId="293E5AEA"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Outcome Variables</w:t>
      </w:r>
    </w:p>
    <w:p w14:paraId="58328BC3" w14:textId="77777777" w:rsidR="00D61F83" w:rsidRPr="00D61F83" w:rsidRDefault="00D61F83" w:rsidP="00D61F83">
      <w:pPr>
        <w:numPr>
          <w:ilvl w:val="0"/>
          <w:numId w:val="16"/>
        </w:numPr>
        <w:spacing w:line="240" w:lineRule="auto"/>
        <w:rPr>
          <w:rFonts w:ascii="Times New Roman" w:hAnsi="Times New Roman" w:cs="Times New Roman"/>
          <w:sz w:val="20"/>
          <w:szCs w:val="20"/>
        </w:rPr>
      </w:pPr>
      <w:r w:rsidRPr="00D61F83">
        <w:rPr>
          <w:rFonts w:ascii="Times New Roman" w:hAnsi="Times New Roman" w:cs="Times New Roman"/>
          <w:sz w:val="20"/>
          <w:szCs w:val="20"/>
        </w:rPr>
        <w:t>Continuous Rating Model: numeric rating (0–10)</w:t>
      </w:r>
    </w:p>
    <w:p w14:paraId="26289FFE" w14:textId="77777777" w:rsidR="00D61F83" w:rsidRPr="00D61F83" w:rsidRDefault="00D61F83" w:rsidP="00D61F83">
      <w:pPr>
        <w:numPr>
          <w:ilvl w:val="0"/>
          <w:numId w:val="16"/>
        </w:numPr>
        <w:spacing w:line="240" w:lineRule="auto"/>
        <w:rPr>
          <w:rFonts w:ascii="Times New Roman" w:hAnsi="Times New Roman" w:cs="Times New Roman"/>
          <w:sz w:val="20"/>
          <w:szCs w:val="20"/>
        </w:rPr>
      </w:pPr>
      <w:r w:rsidRPr="00D61F83">
        <w:rPr>
          <w:rFonts w:ascii="Times New Roman" w:hAnsi="Times New Roman" w:cs="Times New Roman"/>
          <w:sz w:val="20"/>
          <w:szCs w:val="20"/>
        </w:rPr>
        <w:t>Binary Classification Model: success indicator (1 if rating ≥ 8)</w:t>
      </w:r>
    </w:p>
    <w:p w14:paraId="7F8E992E"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Feature Set</w:t>
      </w:r>
    </w:p>
    <w:p w14:paraId="1C97659C"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All models use the five engineered predictive features:</w:t>
      </w:r>
    </w:p>
    <w:p w14:paraId="7721DAB9" w14:textId="77777777" w:rsidR="00D61F83" w:rsidRPr="00D61F83" w:rsidRDefault="00D61F83" w:rsidP="00D61F83">
      <w:pPr>
        <w:numPr>
          <w:ilvl w:val="0"/>
          <w:numId w:val="17"/>
        </w:numPr>
        <w:spacing w:line="240" w:lineRule="auto"/>
        <w:rPr>
          <w:rFonts w:ascii="Times New Roman" w:hAnsi="Times New Roman" w:cs="Times New Roman"/>
          <w:sz w:val="20"/>
          <w:szCs w:val="20"/>
        </w:rPr>
      </w:pPr>
      <w:proofErr w:type="spellStart"/>
      <w:r w:rsidRPr="00D61F83">
        <w:rPr>
          <w:rFonts w:ascii="Times New Roman" w:hAnsi="Times New Roman" w:cs="Times New Roman"/>
          <w:sz w:val="20"/>
          <w:szCs w:val="20"/>
        </w:rPr>
        <w:t>drug_class</w:t>
      </w:r>
      <w:proofErr w:type="spellEnd"/>
    </w:p>
    <w:p w14:paraId="68D0EF3A" w14:textId="77777777" w:rsidR="00D61F83" w:rsidRPr="00D61F83" w:rsidRDefault="00D61F83" w:rsidP="00D61F83">
      <w:pPr>
        <w:numPr>
          <w:ilvl w:val="0"/>
          <w:numId w:val="17"/>
        </w:numPr>
        <w:spacing w:line="240" w:lineRule="auto"/>
        <w:rPr>
          <w:rFonts w:ascii="Times New Roman" w:hAnsi="Times New Roman" w:cs="Times New Roman"/>
          <w:sz w:val="20"/>
          <w:szCs w:val="20"/>
        </w:rPr>
      </w:pPr>
      <w:proofErr w:type="spellStart"/>
      <w:r w:rsidRPr="00D61F83">
        <w:rPr>
          <w:rFonts w:ascii="Times New Roman" w:hAnsi="Times New Roman" w:cs="Times New Roman"/>
          <w:sz w:val="20"/>
          <w:szCs w:val="20"/>
        </w:rPr>
        <w:t>pregnancy_category</w:t>
      </w:r>
      <w:proofErr w:type="spellEnd"/>
      <w:r w:rsidRPr="00D61F83">
        <w:rPr>
          <w:rFonts w:ascii="Times New Roman" w:hAnsi="Times New Roman" w:cs="Times New Roman"/>
          <w:sz w:val="20"/>
          <w:szCs w:val="20"/>
        </w:rPr>
        <w:t xml:space="preserve"> (ordinal)</w:t>
      </w:r>
    </w:p>
    <w:p w14:paraId="32768639" w14:textId="77777777" w:rsidR="00D61F83" w:rsidRPr="00D61F83" w:rsidRDefault="00D61F83" w:rsidP="00D61F83">
      <w:pPr>
        <w:numPr>
          <w:ilvl w:val="0"/>
          <w:numId w:val="17"/>
        </w:numPr>
        <w:spacing w:line="240" w:lineRule="auto"/>
        <w:rPr>
          <w:rFonts w:ascii="Times New Roman" w:hAnsi="Times New Roman" w:cs="Times New Roman"/>
          <w:sz w:val="20"/>
          <w:szCs w:val="20"/>
        </w:rPr>
      </w:pPr>
      <w:proofErr w:type="spellStart"/>
      <w:r w:rsidRPr="00D61F83">
        <w:rPr>
          <w:rFonts w:ascii="Times New Roman" w:hAnsi="Times New Roman" w:cs="Times New Roman"/>
          <w:sz w:val="20"/>
          <w:szCs w:val="20"/>
        </w:rPr>
        <w:t>rx_otc</w:t>
      </w:r>
      <w:proofErr w:type="spellEnd"/>
    </w:p>
    <w:p w14:paraId="0807FFBE" w14:textId="77777777" w:rsidR="00D61F83" w:rsidRPr="00D61F83" w:rsidRDefault="00D61F83" w:rsidP="00D61F83">
      <w:pPr>
        <w:numPr>
          <w:ilvl w:val="0"/>
          <w:numId w:val="17"/>
        </w:numPr>
        <w:spacing w:line="240" w:lineRule="auto"/>
        <w:rPr>
          <w:rFonts w:ascii="Times New Roman" w:hAnsi="Times New Roman" w:cs="Times New Roman"/>
          <w:sz w:val="20"/>
          <w:szCs w:val="20"/>
        </w:rPr>
      </w:pPr>
      <w:proofErr w:type="spellStart"/>
      <w:r w:rsidRPr="00D61F83">
        <w:rPr>
          <w:rFonts w:ascii="Times New Roman" w:hAnsi="Times New Roman" w:cs="Times New Roman"/>
          <w:sz w:val="20"/>
          <w:szCs w:val="20"/>
        </w:rPr>
        <w:t>num_side_effects</w:t>
      </w:r>
      <w:proofErr w:type="spellEnd"/>
    </w:p>
    <w:p w14:paraId="0D46A63E" w14:textId="73591957" w:rsidR="00D61F83" w:rsidRPr="00D61F83" w:rsidRDefault="00D61F83" w:rsidP="00D61F83">
      <w:pPr>
        <w:numPr>
          <w:ilvl w:val="0"/>
          <w:numId w:val="17"/>
        </w:numPr>
        <w:spacing w:line="240" w:lineRule="auto"/>
        <w:rPr>
          <w:rFonts w:ascii="Times New Roman" w:hAnsi="Times New Roman" w:cs="Times New Roman"/>
          <w:sz w:val="20"/>
          <w:szCs w:val="20"/>
        </w:rPr>
      </w:pPr>
      <w:proofErr w:type="spellStart"/>
      <w:r w:rsidRPr="00D61F83">
        <w:rPr>
          <w:rFonts w:ascii="Times New Roman" w:hAnsi="Times New Roman" w:cs="Times New Roman"/>
          <w:sz w:val="20"/>
          <w:szCs w:val="20"/>
        </w:rPr>
        <w:t>activity_num</w:t>
      </w:r>
      <w:proofErr w:type="spellEnd"/>
    </w:p>
    <w:p w14:paraId="6A645570"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D.1 Linear Regression Diagnostics (Predicting Continuous Rating)</w:t>
      </w:r>
    </w:p>
    <w:p w14:paraId="262E9D61"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Purpose</w:t>
      </w:r>
    </w:p>
    <w:p w14:paraId="65585718"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Linear regression serves as the baseline interpretable model to quantify how each variable impacts user rating.</w:t>
      </w:r>
    </w:p>
    <w:p w14:paraId="09123127"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Key Findings</w:t>
      </w:r>
    </w:p>
    <w:p w14:paraId="19F45B32" w14:textId="77777777" w:rsidR="00D61F83" w:rsidRPr="00D61F83" w:rsidRDefault="00D61F83" w:rsidP="00D61F83">
      <w:pPr>
        <w:numPr>
          <w:ilvl w:val="0"/>
          <w:numId w:val="18"/>
        </w:numPr>
        <w:spacing w:line="240" w:lineRule="auto"/>
        <w:rPr>
          <w:rFonts w:ascii="Times New Roman" w:hAnsi="Times New Roman" w:cs="Times New Roman"/>
          <w:sz w:val="20"/>
          <w:szCs w:val="20"/>
        </w:rPr>
      </w:pPr>
      <w:r w:rsidRPr="00D61F83">
        <w:rPr>
          <w:rFonts w:ascii="Times New Roman" w:hAnsi="Times New Roman" w:cs="Times New Roman"/>
          <w:sz w:val="20"/>
          <w:szCs w:val="20"/>
        </w:rPr>
        <w:t>Drug class explains most variation in ratings.</w:t>
      </w:r>
    </w:p>
    <w:p w14:paraId="4E5B3F37" w14:textId="77777777" w:rsidR="00D61F83" w:rsidRPr="00D61F83" w:rsidRDefault="00D61F83" w:rsidP="00D61F83">
      <w:pPr>
        <w:numPr>
          <w:ilvl w:val="0"/>
          <w:numId w:val="18"/>
        </w:numPr>
        <w:spacing w:line="240" w:lineRule="auto"/>
        <w:rPr>
          <w:rFonts w:ascii="Times New Roman" w:hAnsi="Times New Roman" w:cs="Times New Roman"/>
          <w:sz w:val="20"/>
          <w:szCs w:val="20"/>
        </w:rPr>
      </w:pPr>
      <w:r w:rsidRPr="00D61F83">
        <w:rPr>
          <w:rFonts w:ascii="Times New Roman" w:hAnsi="Times New Roman" w:cs="Times New Roman"/>
          <w:sz w:val="20"/>
          <w:szCs w:val="20"/>
        </w:rPr>
        <w:t>Pregnancy safety correlates positively with scores.</w:t>
      </w:r>
    </w:p>
    <w:p w14:paraId="1D9507B6" w14:textId="77777777" w:rsidR="00D61F83" w:rsidRPr="00D61F83" w:rsidRDefault="00D61F83" w:rsidP="00D61F83">
      <w:pPr>
        <w:numPr>
          <w:ilvl w:val="0"/>
          <w:numId w:val="18"/>
        </w:numPr>
        <w:spacing w:line="240" w:lineRule="auto"/>
        <w:rPr>
          <w:rFonts w:ascii="Times New Roman" w:hAnsi="Times New Roman" w:cs="Times New Roman"/>
          <w:sz w:val="20"/>
          <w:szCs w:val="20"/>
        </w:rPr>
      </w:pPr>
      <w:r w:rsidRPr="00D61F83">
        <w:rPr>
          <w:rFonts w:ascii="Times New Roman" w:hAnsi="Times New Roman" w:cs="Times New Roman"/>
          <w:sz w:val="20"/>
          <w:szCs w:val="20"/>
        </w:rPr>
        <w:t>Side-effect count has a mild negative effect.</w:t>
      </w:r>
    </w:p>
    <w:p w14:paraId="795585B7" w14:textId="77777777" w:rsidR="00D61F83" w:rsidRPr="00D61F83" w:rsidRDefault="00D61F83" w:rsidP="00D61F83">
      <w:pPr>
        <w:numPr>
          <w:ilvl w:val="0"/>
          <w:numId w:val="18"/>
        </w:numPr>
        <w:spacing w:line="240" w:lineRule="auto"/>
        <w:rPr>
          <w:rFonts w:ascii="Times New Roman" w:hAnsi="Times New Roman" w:cs="Times New Roman"/>
          <w:sz w:val="20"/>
          <w:szCs w:val="20"/>
        </w:rPr>
      </w:pPr>
      <w:r w:rsidRPr="00D61F83">
        <w:rPr>
          <w:rFonts w:ascii="Times New Roman" w:hAnsi="Times New Roman" w:cs="Times New Roman"/>
          <w:sz w:val="20"/>
          <w:szCs w:val="20"/>
        </w:rPr>
        <w:lastRenderedPageBreak/>
        <w:t>Activity level is weak in linear form.</w:t>
      </w:r>
    </w:p>
    <w:p w14:paraId="60F7AAF3" w14:textId="5FDA69DA" w:rsidR="00D61F83" w:rsidRPr="00D61F83" w:rsidRDefault="00D61F83" w:rsidP="00D61F83">
      <w:pPr>
        <w:numPr>
          <w:ilvl w:val="0"/>
          <w:numId w:val="18"/>
        </w:numPr>
        <w:spacing w:line="240" w:lineRule="auto"/>
        <w:rPr>
          <w:rFonts w:ascii="Times New Roman" w:hAnsi="Times New Roman" w:cs="Times New Roman"/>
          <w:sz w:val="20"/>
          <w:szCs w:val="20"/>
        </w:rPr>
      </w:pPr>
      <w:r w:rsidRPr="00D61F83">
        <w:rPr>
          <w:rFonts w:ascii="Times New Roman" w:hAnsi="Times New Roman" w:cs="Times New Roman"/>
          <w:sz w:val="20"/>
          <w:szCs w:val="20"/>
        </w:rPr>
        <w:t>Rx/OTC drugs outperform Rx-only.</w:t>
      </w:r>
      <w:r w:rsidR="00FD5814">
        <w:rPr>
          <w:rFonts w:ascii="Times New Roman" w:hAnsi="Times New Roman" w:cs="Times New Roman"/>
          <w:noProof/>
          <w:sz w:val="20"/>
          <w:szCs w:val="20"/>
        </w:rPr>
        <w:drawing>
          <wp:inline distT="0" distB="0" distL="0" distR="0" wp14:anchorId="591BAE27" wp14:editId="24C532E0">
            <wp:extent cx="3157272" cy="4677369"/>
            <wp:effectExtent l="0" t="0" r="5080" b="0"/>
            <wp:docPr id="94136031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0312" name="图片 1" descr="图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2489" cy="4729542"/>
                    </a:xfrm>
                    <a:prstGeom prst="rect">
                      <a:avLst/>
                    </a:prstGeom>
                  </pic:spPr>
                </pic:pic>
              </a:graphicData>
            </a:graphic>
          </wp:inline>
        </w:drawing>
      </w:r>
    </w:p>
    <w:p w14:paraId="1F33257C"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Limitations</w:t>
      </w:r>
    </w:p>
    <w:p w14:paraId="0831BF39" w14:textId="77777777" w:rsidR="00D61F83" w:rsidRPr="00D61F83" w:rsidRDefault="00D61F83" w:rsidP="00D61F83">
      <w:pPr>
        <w:numPr>
          <w:ilvl w:val="0"/>
          <w:numId w:val="19"/>
        </w:numPr>
        <w:spacing w:line="240" w:lineRule="auto"/>
        <w:rPr>
          <w:rFonts w:ascii="Times New Roman" w:hAnsi="Times New Roman" w:cs="Times New Roman"/>
          <w:sz w:val="20"/>
          <w:szCs w:val="20"/>
        </w:rPr>
      </w:pPr>
      <w:r w:rsidRPr="00D61F83">
        <w:rPr>
          <w:rFonts w:ascii="Times New Roman" w:hAnsi="Times New Roman" w:cs="Times New Roman"/>
          <w:sz w:val="20"/>
          <w:szCs w:val="20"/>
        </w:rPr>
        <w:t>Clear non-linearity in activity and side-effect effects (confirmed in EDA).</w:t>
      </w:r>
    </w:p>
    <w:p w14:paraId="77819185" w14:textId="77777777" w:rsidR="00D61F83" w:rsidRPr="00D61F83" w:rsidRDefault="00D61F83" w:rsidP="00D61F83">
      <w:pPr>
        <w:numPr>
          <w:ilvl w:val="0"/>
          <w:numId w:val="19"/>
        </w:numPr>
        <w:spacing w:line="240" w:lineRule="auto"/>
        <w:rPr>
          <w:rFonts w:ascii="Times New Roman" w:hAnsi="Times New Roman" w:cs="Times New Roman"/>
          <w:sz w:val="20"/>
          <w:szCs w:val="20"/>
        </w:rPr>
      </w:pPr>
      <w:r w:rsidRPr="00D61F83">
        <w:rPr>
          <w:rFonts w:ascii="Times New Roman" w:hAnsi="Times New Roman" w:cs="Times New Roman"/>
          <w:sz w:val="20"/>
          <w:szCs w:val="20"/>
        </w:rPr>
        <w:t>Fails to capture interactions between class, risk, and accessibility.</w:t>
      </w:r>
    </w:p>
    <w:p w14:paraId="40B894C7" w14:textId="77777777" w:rsidR="00D61F83" w:rsidRPr="00D61F83" w:rsidRDefault="00D61F83" w:rsidP="00D61F83">
      <w:pPr>
        <w:numPr>
          <w:ilvl w:val="0"/>
          <w:numId w:val="19"/>
        </w:numPr>
        <w:spacing w:line="240" w:lineRule="auto"/>
        <w:rPr>
          <w:rFonts w:ascii="Times New Roman" w:hAnsi="Times New Roman" w:cs="Times New Roman"/>
          <w:sz w:val="20"/>
          <w:szCs w:val="20"/>
        </w:rPr>
      </w:pPr>
      <w:r w:rsidRPr="00D61F83">
        <w:rPr>
          <w:rFonts w:ascii="Times New Roman" w:hAnsi="Times New Roman" w:cs="Times New Roman"/>
          <w:sz w:val="20"/>
          <w:szCs w:val="20"/>
        </w:rPr>
        <w:t>Underestimates variance in high-scoring drug groups.</w:t>
      </w:r>
    </w:p>
    <w:p w14:paraId="4E147F03" w14:textId="4F3B8A23"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This motivates using Random Forest for non-linear modeling.</w:t>
      </w:r>
    </w:p>
    <w:p w14:paraId="035964D8"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D.2 Random Forest Regression Diagnostics</w:t>
      </w:r>
    </w:p>
    <w:p w14:paraId="177E6247"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Purpose</w:t>
      </w:r>
    </w:p>
    <w:p w14:paraId="668CECEC"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To evaluate non-linear relationships and improve predictive accuracy on continuous ratings.</w:t>
      </w:r>
    </w:p>
    <w:p w14:paraId="4769FD3D"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Variable Importance (Regression)</w:t>
      </w:r>
    </w:p>
    <w:p w14:paraId="4824EF64"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Across both %</w:t>
      </w:r>
      <w:proofErr w:type="spellStart"/>
      <w:r w:rsidRPr="00D61F83">
        <w:rPr>
          <w:rFonts w:ascii="Times New Roman" w:hAnsi="Times New Roman" w:cs="Times New Roman"/>
          <w:sz w:val="20"/>
          <w:szCs w:val="20"/>
        </w:rPr>
        <w:t>IncMSE</w:t>
      </w:r>
      <w:proofErr w:type="spellEnd"/>
      <w:r w:rsidRPr="00D61F83">
        <w:rPr>
          <w:rFonts w:ascii="Times New Roman" w:hAnsi="Times New Roman" w:cs="Times New Roman"/>
          <w:sz w:val="20"/>
          <w:szCs w:val="20"/>
        </w:rPr>
        <w:t xml:space="preserve"> and </w:t>
      </w:r>
      <w:proofErr w:type="spellStart"/>
      <w:r w:rsidRPr="00D61F83">
        <w:rPr>
          <w:rFonts w:ascii="Times New Roman" w:hAnsi="Times New Roman" w:cs="Times New Roman"/>
          <w:sz w:val="20"/>
          <w:szCs w:val="20"/>
        </w:rPr>
        <w:t>IncNodePurity</w:t>
      </w:r>
      <w:proofErr w:type="spellEnd"/>
      <w:r w:rsidRPr="00D61F83">
        <w:rPr>
          <w:rFonts w:ascii="Times New Roman" w:hAnsi="Times New Roman" w:cs="Times New Roman"/>
          <w:sz w:val="20"/>
          <w:szCs w:val="20"/>
        </w:rPr>
        <w:t>:</w:t>
      </w:r>
    </w:p>
    <w:p w14:paraId="4C00AE30" w14:textId="77777777" w:rsidR="00D61F83" w:rsidRPr="00D61F83" w:rsidRDefault="00D61F83" w:rsidP="00D61F83">
      <w:pPr>
        <w:numPr>
          <w:ilvl w:val="0"/>
          <w:numId w:val="20"/>
        </w:numPr>
        <w:spacing w:line="240" w:lineRule="auto"/>
        <w:rPr>
          <w:rFonts w:ascii="Times New Roman" w:hAnsi="Times New Roman" w:cs="Times New Roman"/>
          <w:sz w:val="20"/>
          <w:szCs w:val="20"/>
        </w:rPr>
      </w:pPr>
      <w:r w:rsidRPr="00D61F83">
        <w:rPr>
          <w:rFonts w:ascii="Times New Roman" w:hAnsi="Times New Roman" w:cs="Times New Roman"/>
          <w:sz w:val="20"/>
          <w:szCs w:val="20"/>
        </w:rPr>
        <w:t>Drug class remains the strongest predictor</w:t>
      </w:r>
    </w:p>
    <w:p w14:paraId="51273FA1" w14:textId="77777777" w:rsidR="00D61F83" w:rsidRPr="00D61F83" w:rsidRDefault="00D61F83" w:rsidP="00D61F83">
      <w:pPr>
        <w:numPr>
          <w:ilvl w:val="0"/>
          <w:numId w:val="20"/>
        </w:numPr>
        <w:spacing w:line="240" w:lineRule="auto"/>
        <w:rPr>
          <w:rFonts w:ascii="Times New Roman" w:hAnsi="Times New Roman" w:cs="Times New Roman"/>
          <w:sz w:val="20"/>
          <w:szCs w:val="20"/>
        </w:rPr>
      </w:pPr>
      <w:r w:rsidRPr="00D61F83">
        <w:rPr>
          <w:rFonts w:ascii="Times New Roman" w:hAnsi="Times New Roman" w:cs="Times New Roman"/>
          <w:sz w:val="20"/>
          <w:szCs w:val="20"/>
        </w:rPr>
        <w:t>Side-effect count jumps from weak (linear model) → strong (RF)</w:t>
      </w:r>
    </w:p>
    <w:p w14:paraId="69C0D54F" w14:textId="77777777" w:rsidR="00D61F83" w:rsidRPr="00D61F83" w:rsidRDefault="00D61F83" w:rsidP="00D61F83">
      <w:pPr>
        <w:numPr>
          <w:ilvl w:val="0"/>
          <w:numId w:val="20"/>
        </w:numPr>
        <w:spacing w:line="240" w:lineRule="auto"/>
        <w:rPr>
          <w:rFonts w:ascii="Times New Roman" w:hAnsi="Times New Roman" w:cs="Times New Roman"/>
          <w:sz w:val="20"/>
          <w:szCs w:val="20"/>
        </w:rPr>
      </w:pPr>
      <w:r w:rsidRPr="00D61F83">
        <w:rPr>
          <w:rFonts w:ascii="Times New Roman" w:hAnsi="Times New Roman" w:cs="Times New Roman"/>
          <w:sz w:val="20"/>
          <w:szCs w:val="20"/>
        </w:rPr>
        <w:lastRenderedPageBreak/>
        <w:t>Activity becomes more influential due to non-linear threshold effects</w:t>
      </w:r>
    </w:p>
    <w:p w14:paraId="25C41F07" w14:textId="77777777" w:rsidR="00D61F83" w:rsidRPr="00D61F83" w:rsidRDefault="00D61F83" w:rsidP="00D61F83">
      <w:pPr>
        <w:numPr>
          <w:ilvl w:val="0"/>
          <w:numId w:val="20"/>
        </w:numPr>
        <w:spacing w:line="240" w:lineRule="auto"/>
        <w:rPr>
          <w:rFonts w:ascii="Times New Roman" w:hAnsi="Times New Roman" w:cs="Times New Roman"/>
          <w:sz w:val="20"/>
          <w:szCs w:val="20"/>
        </w:rPr>
      </w:pPr>
      <w:r w:rsidRPr="00D61F83">
        <w:rPr>
          <w:rFonts w:ascii="Times New Roman" w:hAnsi="Times New Roman" w:cs="Times New Roman"/>
          <w:sz w:val="20"/>
          <w:szCs w:val="20"/>
        </w:rPr>
        <w:t>Pregnancy category shows moderate, smooth effects</w:t>
      </w:r>
    </w:p>
    <w:p w14:paraId="6FE71586" w14:textId="77777777" w:rsidR="00D61F83" w:rsidRDefault="00D61F83" w:rsidP="00D61F83">
      <w:pPr>
        <w:numPr>
          <w:ilvl w:val="0"/>
          <w:numId w:val="20"/>
        </w:numPr>
        <w:spacing w:line="240" w:lineRule="auto"/>
        <w:rPr>
          <w:rFonts w:ascii="Times New Roman" w:hAnsi="Times New Roman" w:cs="Times New Roman"/>
          <w:sz w:val="20"/>
          <w:szCs w:val="20"/>
        </w:rPr>
      </w:pPr>
      <w:r w:rsidRPr="00D61F83">
        <w:rPr>
          <w:rFonts w:ascii="Times New Roman" w:hAnsi="Times New Roman" w:cs="Times New Roman"/>
          <w:sz w:val="20"/>
          <w:szCs w:val="20"/>
        </w:rPr>
        <w:t>Rx/OTC still contributes meaningfully</w:t>
      </w:r>
    </w:p>
    <w:p w14:paraId="624BC8C3" w14:textId="41B8ACB1" w:rsidR="00FD5814" w:rsidRPr="00D61F83" w:rsidRDefault="00FD5814" w:rsidP="00FD5814">
      <w:pPr>
        <w:spacing w:line="240" w:lineRule="auto"/>
        <w:rPr>
          <w:rFonts w:ascii="Times New Roman" w:hAnsi="Times New Roman" w:cs="Times New Roman"/>
          <w:sz w:val="20"/>
          <w:szCs w:val="20"/>
        </w:rPr>
      </w:pPr>
      <w:r>
        <w:rPr>
          <w:rFonts w:ascii="Times New Roman" w:hAnsi="Times New Roman" w:cs="Times New Roman" w:hint="eastAsia"/>
          <w:noProof/>
          <w:sz w:val="20"/>
          <w:szCs w:val="20"/>
        </w:rPr>
        <w:drawing>
          <wp:inline distT="0" distB="0" distL="0" distR="0" wp14:anchorId="64C5CDD4" wp14:editId="6D1DA163">
            <wp:extent cx="3042303" cy="2485195"/>
            <wp:effectExtent l="0" t="0" r="5715" b="4445"/>
            <wp:docPr id="890682710"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82710" name="图片 2" descr="表格&#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4876" cy="2503634"/>
                    </a:xfrm>
                    <a:prstGeom prst="rect">
                      <a:avLst/>
                    </a:prstGeom>
                  </pic:spPr>
                </pic:pic>
              </a:graphicData>
            </a:graphic>
          </wp:inline>
        </w:drawing>
      </w:r>
    </w:p>
    <w:p w14:paraId="7F1BC7DD"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Performance &amp; Insights</w:t>
      </w:r>
    </w:p>
    <w:p w14:paraId="67CF74A6"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RF regression produces:</w:t>
      </w:r>
    </w:p>
    <w:p w14:paraId="1CBAFED1" w14:textId="77777777" w:rsidR="00D61F83" w:rsidRPr="00D61F83" w:rsidRDefault="00D61F83" w:rsidP="00D61F83">
      <w:pPr>
        <w:numPr>
          <w:ilvl w:val="0"/>
          <w:numId w:val="21"/>
        </w:numPr>
        <w:spacing w:line="240" w:lineRule="auto"/>
        <w:rPr>
          <w:rFonts w:ascii="Times New Roman" w:hAnsi="Times New Roman" w:cs="Times New Roman"/>
          <w:sz w:val="20"/>
          <w:szCs w:val="20"/>
        </w:rPr>
      </w:pPr>
      <w:r w:rsidRPr="00D61F83">
        <w:rPr>
          <w:rFonts w:ascii="Times New Roman" w:hAnsi="Times New Roman" w:cs="Times New Roman"/>
          <w:sz w:val="20"/>
          <w:szCs w:val="20"/>
        </w:rPr>
        <w:t>Lower error compared to linear regression</w:t>
      </w:r>
    </w:p>
    <w:p w14:paraId="4CCE4ABA" w14:textId="77777777" w:rsidR="00D61F83" w:rsidRPr="00D61F83" w:rsidRDefault="00D61F83" w:rsidP="00D61F83">
      <w:pPr>
        <w:numPr>
          <w:ilvl w:val="0"/>
          <w:numId w:val="21"/>
        </w:numPr>
        <w:spacing w:line="240" w:lineRule="auto"/>
        <w:rPr>
          <w:rFonts w:ascii="Times New Roman" w:hAnsi="Times New Roman" w:cs="Times New Roman"/>
          <w:sz w:val="20"/>
          <w:szCs w:val="20"/>
        </w:rPr>
      </w:pPr>
      <w:r w:rsidRPr="00D61F83">
        <w:rPr>
          <w:rFonts w:ascii="Times New Roman" w:hAnsi="Times New Roman" w:cs="Times New Roman"/>
          <w:sz w:val="20"/>
          <w:szCs w:val="20"/>
        </w:rPr>
        <w:t>Better fit at distribution tails (low and high ratings)</w:t>
      </w:r>
    </w:p>
    <w:p w14:paraId="2115A142" w14:textId="77777777" w:rsidR="00D61F83" w:rsidRPr="00D61F83" w:rsidRDefault="00D61F83" w:rsidP="00D61F83">
      <w:pPr>
        <w:numPr>
          <w:ilvl w:val="0"/>
          <w:numId w:val="21"/>
        </w:numPr>
        <w:spacing w:line="240" w:lineRule="auto"/>
        <w:rPr>
          <w:rFonts w:ascii="Times New Roman" w:hAnsi="Times New Roman" w:cs="Times New Roman"/>
          <w:sz w:val="20"/>
          <w:szCs w:val="20"/>
        </w:rPr>
      </w:pPr>
      <w:r w:rsidRPr="00D61F83">
        <w:rPr>
          <w:rFonts w:ascii="Times New Roman" w:hAnsi="Times New Roman" w:cs="Times New Roman"/>
          <w:sz w:val="20"/>
          <w:szCs w:val="20"/>
        </w:rPr>
        <w:t>Substantially improved handling of non-linearity</w:t>
      </w:r>
    </w:p>
    <w:p w14:paraId="5D535AC9" w14:textId="4679DC73"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These results justify using RF for classification as well.</w:t>
      </w:r>
    </w:p>
    <w:p w14:paraId="61CEBC77"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D.3 Logistic Regression Diagnostics (Binary Success Prediction)</w:t>
      </w:r>
    </w:p>
    <w:p w14:paraId="53210D34"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Coefficient Interpretation</w:t>
      </w:r>
    </w:p>
    <w:p w14:paraId="360453EA"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Logistic regression provides clear interpretability:</w:t>
      </w:r>
    </w:p>
    <w:p w14:paraId="5F14118C" w14:textId="77777777" w:rsidR="00D61F83" w:rsidRPr="00D61F83" w:rsidRDefault="00D61F83" w:rsidP="00D61F83">
      <w:pPr>
        <w:numPr>
          <w:ilvl w:val="0"/>
          <w:numId w:val="22"/>
        </w:numPr>
        <w:spacing w:line="240" w:lineRule="auto"/>
        <w:rPr>
          <w:rFonts w:ascii="Times New Roman" w:hAnsi="Times New Roman" w:cs="Times New Roman"/>
          <w:sz w:val="20"/>
          <w:szCs w:val="20"/>
        </w:rPr>
      </w:pPr>
      <w:r w:rsidRPr="00D61F83">
        <w:rPr>
          <w:rFonts w:ascii="Times New Roman" w:hAnsi="Times New Roman" w:cs="Times New Roman"/>
          <w:sz w:val="20"/>
          <w:szCs w:val="20"/>
        </w:rPr>
        <w:t>OTC / Rx-OTC → higher odds of success</w:t>
      </w:r>
    </w:p>
    <w:p w14:paraId="1FF20406" w14:textId="77777777" w:rsidR="00D61F83" w:rsidRPr="00D61F83" w:rsidRDefault="00D61F83" w:rsidP="00D61F83">
      <w:pPr>
        <w:numPr>
          <w:ilvl w:val="0"/>
          <w:numId w:val="22"/>
        </w:numPr>
        <w:spacing w:line="240" w:lineRule="auto"/>
        <w:rPr>
          <w:rFonts w:ascii="Times New Roman" w:hAnsi="Times New Roman" w:cs="Times New Roman"/>
          <w:sz w:val="20"/>
          <w:szCs w:val="20"/>
        </w:rPr>
      </w:pPr>
      <w:r w:rsidRPr="00D61F83">
        <w:rPr>
          <w:rFonts w:ascii="Times New Roman" w:hAnsi="Times New Roman" w:cs="Times New Roman"/>
          <w:sz w:val="20"/>
          <w:szCs w:val="20"/>
        </w:rPr>
        <w:t>Safer pregnancy categories → positive success lift</w:t>
      </w:r>
    </w:p>
    <w:p w14:paraId="22911DB1" w14:textId="77777777" w:rsidR="00D61F83" w:rsidRPr="00D61F83" w:rsidRDefault="00D61F83" w:rsidP="00D61F83">
      <w:pPr>
        <w:numPr>
          <w:ilvl w:val="0"/>
          <w:numId w:val="22"/>
        </w:numPr>
        <w:spacing w:line="240" w:lineRule="auto"/>
        <w:rPr>
          <w:rFonts w:ascii="Times New Roman" w:hAnsi="Times New Roman" w:cs="Times New Roman"/>
          <w:sz w:val="20"/>
          <w:szCs w:val="20"/>
        </w:rPr>
      </w:pPr>
      <w:r w:rsidRPr="00D61F83">
        <w:rPr>
          <w:rFonts w:ascii="Times New Roman" w:hAnsi="Times New Roman" w:cs="Times New Roman"/>
          <w:sz w:val="20"/>
          <w:szCs w:val="20"/>
        </w:rPr>
        <w:t>Certain drug classes → strong odds multipliers</w:t>
      </w:r>
    </w:p>
    <w:p w14:paraId="342CDC07" w14:textId="77777777" w:rsidR="00D61F83" w:rsidRPr="00D61F83" w:rsidRDefault="00D61F83" w:rsidP="00D61F83">
      <w:pPr>
        <w:numPr>
          <w:ilvl w:val="0"/>
          <w:numId w:val="22"/>
        </w:numPr>
        <w:spacing w:line="240" w:lineRule="auto"/>
        <w:rPr>
          <w:rFonts w:ascii="Times New Roman" w:hAnsi="Times New Roman" w:cs="Times New Roman"/>
          <w:sz w:val="20"/>
          <w:szCs w:val="20"/>
        </w:rPr>
      </w:pPr>
      <w:r w:rsidRPr="00D61F83">
        <w:rPr>
          <w:rFonts w:ascii="Times New Roman" w:hAnsi="Times New Roman" w:cs="Times New Roman"/>
          <w:sz w:val="20"/>
          <w:szCs w:val="20"/>
        </w:rPr>
        <w:t>Side effects &amp; activity → weak marginal effects</w:t>
      </w:r>
    </w:p>
    <w:p w14:paraId="38F0CB46" w14:textId="02AFAC72"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Predictive Performance</w:t>
      </w:r>
    </w:p>
    <w:p w14:paraId="08B315D3" w14:textId="77777777" w:rsidR="00D61F83" w:rsidRPr="00D61F83" w:rsidRDefault="00D61F83" w:rsidP="00D61F83">
      <w:pPr>
        <w:spacing w:line="240" w:lineRule="auto"/>
        <w:rPr>
          <w:rFonts w:ascii="Times New Roman" w:hAnsi="Times New Roman" w:cs="Times New Roman"/>
          <w:sz w:val="20"/>
          <w:szCs w:val="20"/>
        </w:rPr>
      </w:pPr>
      <w:bookmarkStart w:id="0" w:name="OLE_LINK5"/>
      <w:r w:rsidRPr="00D61F83">
        <w:rPr>
          <w:rFonts w:ascii="Times New Roman" w:hAnsi="Times New Roman" w:cs="Times New Roman"/>
          <w:sz w:val="20"/>
          <w:szCs w:val="20"/>
        </w:rPr>
        <w:t>Test-set diagnostics:</w:t>
      </w:r>
    </w:p>
    <w:p w14:paraId="5958E783" w14:textId="77777777" w:rsidR="00D61F83" w:rsidRPr="00D61F83" w:rsidRDefault="00D61F83" w:rsidP="00D61F83">
      <w:pPr>
        <w:numPr>
          <w:ilvl w:val="0"/>
          <w:numId w:val="23"/>
        </w:numPr>
        <w:spacing w:line="240" w:lineRule="auto"/>
        <w:rPr>
          <w:rFonts w:ascii="Times New Roman" w:hAnsi="Times New Roman" w:cs="Times New Roman"/>
          <w:sz w:val="20"/>
          <w:szCs w:val="20"/>
        </w:rPr>
      </w:pPr>
      <w:r w:rsidRPr="00D61F83">
        <w:rPr>
          <w:rFonts w:ascii="Times New Roman" w:hAnsi="Times New Roman" w:cs="Times New Roman"/>
          <w:sz w:val="20"/>
          <w:szCs w:val="20"/>
        </w:rPr>
        <w:t>AUC = 0.650</w:t>
      </w:r>
    </w:p>
    <w:p w14:paraId="42B67EB5" w14:textId="77777777" w:rsidR="00D61F83" w:rsidRPr="00D61F83" w:rsidRDefault="00D61F83" w:rsidP="00D61F83">
      <w:pPr>
        <w:numPr>
          <w:ilvl w:val="0"/>
          <w:numId w:val="23"/>
        </w:numPr>
        <w:spacing w:line="240" w:lineRule="auto"/>
        <w:rPr>
          <w:rFonts w:ascii="Times New Roman" w:hAnsi="Times New Roman" w:cs="Times New Roman"/>
          <w:sz w:val="20"/>
          <w:szCs w:val="20"/>
        </w:rPr>
      </w:pPr>
      <w:r w:rsidRPr="00D61F83">
        <w:rPr>
          <w:rFonts w:ascii="Times New Roman" w:hAnsi="Times New Roman" w:cs="Times New Roman"/>
          <w:sz w:val="20"/>
          <w:szCs w:val="20"/>
        </w:rPr>
        <w:t>Sensitivity = 0.27</w:t>
      </w:r>
    </w:p>
    <w:p w14:paraId="6E27B1BB" w14:textId="77777777" w:rsidR="00D61F83" w:rsidRPr="00D61F83" w:rsidRDefault="00D61F83" w:rsidP="00D61F83">
      <w:pPr>
        <w:numPr>
          <w:ilvl w:val="0"/>
          <w:numId w:val="23"/>
        </w:numPr>
        <w:spacing w:line="240" w:lineRule="auto"/>
        <w:rPr>
          <w:rFonts w:ascii="Times New Roman" w:hAnsi="Times New Roman" w:cs="Times New Roman"/>
          <w:sz w:val="20"/>
          <w:szCs w:val="20"/>
        </w:rPr>
      </w:pPr>
      <w:r w:rsidRPr="00D61F83">
        <w:rPr>
          <w:rFonts w:ascii="Times New Roman" w:hAnsi="Times New Roman" w:cs="Times New Roman"/>
          <w:sz w:val="20"/>
          <w:szCs w:val="20"/>
        </w:rPr>
        <w:t>Specificity = 0.83</w:t>
      </w:r>
    </w:p>
    <w:p w14:paraId="03DA33D2" w14:textId="77777777" w:rsidR="00D61F83" w:rsidRPr="00D61F83" w:rsidRDefault="00D61F83" w:rsidP="00D61F83">
      <w:pPr>
        <w:numPr>
          <w:ilvl w:val="0"/>
          <w:numId w:val="23"/>
        </w:numPr>
        <w:spacing w:line="240" w:lineRule="auto"/>
        <w:rPr>
          <w:rFonts w:ascii="Times New Roman" w:hAnsi="Times New Roman" w:cs="Times New Roman"/>
          <w:sz w:val="20"/>
          <w:szCs w:val="20"/>
        </w:rPr>
      </w:pPr>
      <w:r w:rsidRPr="00D61F83">
        <w:rPr>
          <w:rFonts w:ascii="Times New Roman" w:hAnsi="Times New Roman" w:cs="Times New Roman"/>
          <w:sz w:val="20"/>
          <w:szCs w:val="20"/>
        </w:rPr>
        <w:lastRenderedPageBreak/>
        <w:t>Accuracy = 0.627</w:t>
      </w:r>
    </w:p>
    <w:p w14:paraId="6502AD85" w14:textId="77777777" w:rsidR="00D61F83" w:rsidRPr="00D61F83" w:rsidRDefault="00D61F83" w:rsidP="00D61F83">
      <w:pPr>
        <w:numPr>
          <w:ilvl w:val="0"/>
          <w:numId w:val="23"/>
        </w:numPr>
        <w:spacing w:line="240" w:lineRule="auto"/>
        <w:rPr>
          <w:rFonts w:ascii="Times New Roman" w:hAnsi="Times New Roman" w:cs="Times New Roman"/>
          <w:sz w:val="20"/>
          <w:szCs w:val="20"/>
        </w:rPr>
      </w:pPr>
      <w:r w:rsidRPr="00D61F83">
        <w:rPr>
          <w:rFonts w:ascii="Times New Roman" w:hAnsi="Times New Roman" w:cs="Times New Roman"/>
          <w:sz w:val="20"/>
          <w:szCs w:val="20"/>
        </w:rPr>
        <w:t>Kappa = 0.11</w:t>
      </w:r>
    </w:p>
    <w:bookmarkEnd w:id="0"/>
    <w:p w14:paraId="07EC1560" w14:textId="77777777" w:rsidR="00B4165C" w:rsidRDefault="00E2794B" w:rsidP="00D61F83">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65D71CE" wp14:editId="4A2955AE">
            <wp:extent cx="2905571" cy="2074758"/>
            <wp:effectExtent l="0" t="0" r="3175" b="0"/>
            <wp:docPr id="1615095585"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5585" name="图片 5" descr="图表, 折线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9344" cy="2091733"/>
                    </a:xfrm>
                    <a:prstGeom prst="rect">
                      <a:avLst/>
                    </a:prstGeom>
                  </pic:spPr>
                </pic:pic>
              </a:graphicData>
            </a:graphic>
          </wp:inline>
        </w:drawing>
      </w:r>
    </w:p>
    <w:p w14:paraId="2FE8A86B" w14:textId="07CE1443"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Interpretation</w:t>
      </w:r>
    </w:p>
    <w:p w14:paraId="0B91EB3D" w14:textId="77777777" w:rsidR="00D61F83" w:rsidRPr="00D61F83" w:rsidRDefault="00D61F83" w:rsidP="00D61F83">
      <w:pPr>
        <w:numPr>
          <w:ilvl w:val="0"/>
          <w:numId w:val="24"/>
        </w:numPr>
        <w:spacing w:line="240" w:lineRule="auto"/>
        <w:rPr>
          <w:rFonts w:ascii="Times New Roman" w:hAnsi="Times New Roman" w:cs="Times New Roman"/>
          <w:sz w:val="20"/>
          <w:szCs w:val="20"/>
        </w:rPr>
      </w:pPr>
      <w:r w:rsidRPr="00D61F83">
        <w:rPr>
          <w:rFonts w:ascii="Times New Roman" w:hAnsi="Times New Roman" w:cs="Times New Roman"/>
          <w:sz w:val="20"/>
          <w:szCs w:val="20"/>
        </w:rPr>
        <w:t>Good at predicting failures</w:t>
      </w:r>
    </w:p>
    <w:p w14:paraId="77FA38E1" w14:textId="77777777" w:rsidR="00D61F83" w:rsidRPr="00D61F83" w:rsidRDefault="00D61F83" w:rsidP="00D61F83">
      <w:pPr>
        <w:numPr>
          <w:ilvl w:val="0"/>
          <w:numId w:val="24"/>
        </w:numPr>
        <w:spacing w:line="240" w:lineRule="auto"/>
        <w:rPr>
          <w:rFonts w:ascii="Times New Roman" w:hAnsi="Times New Roman" w:cs="Times New Roman"/>
          <w:sz w:val="20"/>
          <w:szCs w:val="20"/>
        </w:rPr>
      </w:pPr>
      <w:r w:rsidRPr="00D61F83">
        <w:rPr>
          <w:rFonts w:ascii="Times New Roman" w:hAnsi="Times New Roman" w:cs="Times New Roman"/>
          <w:sz w:val="20"/>
          <w:szCs w:val="20"/>
        </w:rPr>
        <w:t>Poor at detecting successes (class imbalance + linear boundary)</w:t>
      </w:r>
    </w:p>
    <w:p w14:paraId="227D3294" w14:textId="6F9660E6" w:rsidR="00D61F83" w:rsidRDefault="00D61F83" w:rsidP="00D61F83">
      <w:pPr>
        <w:numPr>
          <w:ilvl w:val="0"/>
          <w:numId w:val="24"/>
        </w:numPr>
        <w:spacing w:line="240" w:lineRule="auto"/>
        <w:rPr>
          <w:rFonts w:ascii="Times New Roman" w:hAnsi="Times New Roman" w:cs="Times New Roman"/>
          <w:sz w:val="20"/>
          <w:szCs w:val="20"/>
        </w:rPr>
      </w:pPr>
      <w:proofErr w:type="gramStart"/>
      <w:r w:rsidRPr="00D61F83">
        <w:rPr>
          <w:rFonts w:ascii="Times New Roman" w:hAnsi="Times New Roman" w:cs="Times New Roman"/>
          <w:sz w:val="20"/>
          <w:szCs w:val="20"/>
        </w:rPr>
        <w:t>Misses</w:t>
      </w:r>
      <w:proofErr w:type="gramEnd"/>
      <w:r w:rsidRPr="00D61F83">
        <w:rPr>
          <w:rFonts w:ascii="Times New Roman" w:hAnsi="Times New Roman" w:cs="Times New Roman"/>
          <w:sz w:val="20"/>
          <w:szCs w:val="20"/>
        </w:rPr>
        <w:t xml:space="preserve"> non-linear interactions</w:t>
      </w:r>
    </w:p>
    <w:p w14:paraId="11FF9F2C" w14:textId="77777777" w:rsidR="00B4165C" w:rsidRPr="00B4165C" w:rsidRDefault="00B4165C" w:rsidP="00B4165C">
      <w:pPr>
        <w:spacing w:line="240" w:lineRule="auto"/>
        <w:rPr>
          <w:rFonts w:ascii="Times New Roman" w:hAnsi="Times New Roman" w:cs="Times New Roman"/>
          <w:b/>
          <w:bCs/>
          <w:sz w:val="20"/>
          <w:szCs w:val="20"/>
        </w:rPr>
      </w:pPr>
      <w:r w:rsidRPr="00B4165C">
        <w:rPr>
          <w:rFonts w:ascii="Times New Roman" w:hAnsi="Times New Roman" w:cs="Times New Roman"/>
          <w:b/>
          <w:bCs/>
          <w:sz w:val="20"/>
          <w:szCs w:val="20"/>
        </w:rPr>
        <w:t>Additional Uncertainty Visualization (95% CI for Predicted Probabilities)</w:t>
      </w:r>
    </w:p>
    <w:p w14:paraId="168A1AD3" w14:textId="77777777" w:rsidR="00B4165C" w:rsidRPr="00B4165C" w:rsidRDefault="00B4165C" w:rsidP="00B4165C">
      <w:pPr>
        <w:spacing w:line="240" w:lineRule="auto"/>
        <w:rPr>
          <w:rFonts w:ascii="Times New Roman" w:hAnsi="Times New Roman" w:cs="Times New Roman"/>
          <w:sz w:val="20"/>
          <w:szCs w:val="20"/>
        </w:rPr>
      </w:pPr>
      <w:r w:rsidRPr="00B4165C">
        <w:rPr>
          <w:rFonts w:ascii="Times New Roman" w:hAnsi="Times New Roman" w:cs="Times New Roman"/>
          <w:sz w:val="20"/>
          <w:szCs w:val="20"/>
        </w:rPr>
        <w:t>To further examine model reliability, we visualized the 95% confidence intervals for the logistic regression predicted probabilities on each test-set observation. The wide vertical error bars illustrate substantial uncertainty, especially for high predicted values. This instability reflects the model’s limited ability to capture non-linear patterns and contributes to its weaker calibration performance. In contrast, the Random Forest model produces smoother and more consistent probability estimates, as shown in the calibration plots.</w:t>
      </w:r>
    </w:p>
    <w:p w14:paraId="48F8D59F" w14:textId="01CC207D" w:rsidR="00B4165C" w:rsidRPr="00B4165C" w:rsidRDefault="00B4165C" w:rsidP="00B4165C">
      <w:pPr>
        <w:spacing w:line="240" w:lineRule="auto"/>
        <w:rPr>
          <w:rFonts w:ascii="Times New Roman" w:hAnsi="Times New Roman" w:cs="Times New Roman"/>
          <w:sz w:val="20"/>
          <w:szCs w:val="20"/>
        </w:rPr>
      </w:pPr>
      <w:r>
        <w:rPr>
          <w:rFonts w:ascii="Times New Roman" w:hAnsi="Times New Roman" w:cs="Times New Roman" w:hint="eastAsia"/>
          <w:noProof/>
          <w:sz w:val="20"/>
          <w:szCs w:val="20"/>
        </w:rPr>
        <w:drawing>
          <wp:inline distT="0" distB="0" distL="0" distR="0" wp14:anchorId="0F06FE68" wp14:editId="3092BD32">
            <wp:extent cx="2187724" cy="1562172"/>
            <wp:effectExtent l="0" t="0" r="0" b="0"/>
            <wp:docPr id="1284749977"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9977" name="图片 1" descr="图表, 散点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1513" cy="1579159"/>
                    </a:xfrm>
                    <a:prstGeom prst="rect">
                      <a:avLst/>
                    </a:prstGeom>
                  </pic:spPr>
                </pic:pic>
              </a:graphicData>
            </a:graphic>
          </wp:inline>
        </w:drawing>
      </w:r>
    </w:p>
    <w:p w14:paraId="380A0ADE"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D.4 Random Forest Classifier Diagnostics</w:t>
      </w:r>
    </w:p>
    <w:p w14:paraId="744FBBD7"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Variable Importance</w:t>
      </w:r>
    </w:p>
    <w:p w14:paraId="31E6151A"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RF classifier highlights:</w:t>
      </w:r>
    </w:p>
    <w:p w14:paraId="62C452CC" w14:textId="77777777" w:rsidR="00D61F83" w:rsidRPr="00D61F83" w:rsidRDefault="00D61F83" w:rsidP="00D61F83">
      <w:pPr>
        <w:numPr>
          <w:ilvl w:val="0"/>
          <w:numId w:val="25"/>
        </w:numPr>
        <w:spacing w:line="240" w:lineRule="auto"/>
        <w:rPr>
          <w:rFonts w:ascii="Times New Roman" w:hAnsi="Times New Roman" w:cs="Times New Roman"/>
          <w:sz w:val="20"/>
          <w:szCs w:val="20"/>
        </w:rPr>
      </w:pPr>
      <w:r w:rsidRPr="00D61F83">
        <w:rPr>
          <w:rFonts w:ascii="Times New Roman" w:hAnsi="Times New Roman" w:cs="Times New Roman"/>
          <w:sz w:val="20"/>
          <w:szCs w:val="20"/>
        </w:rPr>
        <w:t>Drug class as dominant</w:t>
      </w:r>
    </w:p>
    <w:p w14:paraId="20A93979" w14:textId="77777777" w:rsidR="00D61F83" w:rsidRPr="00D61F83" w:rsidRDefault="00D61F83" w:rsidP="00D61F83">
      <w:pPr>
        <w:numPr>
          <w:ilvl w:val="0"/>
          <w:numId w:val="25"/>
        </w:numPr>
        <w:spacing w:line="240" w:lineRule="auto"/>
        <w:rPr>
          <w:rFonts w:ascii="Times New Roman" w:hAnsi="Times New Roman" w:cs="Times New Roman"/>
          <w:sz w:val="20"/>
          <w:szCs w:val="20"/>
        </w:rPr>
      </w:pPr>
      <w:r w:rsidRPr="00D61F83">
        <w:rPr>
          <w:rFonts w:ascii="Times New Roman" w:hAnsi="Times New Roman" w:cs="Times New Roman"/>
          <w:sz w:val="20"/>
          <w:szCs w:val="20"/>
        </w:rPr>
        <w:t>Side-effect count as a major non-linear driver</w:t>
      </w:r>
    </w:p>
    <w:p w14:paraId="170E96E0" w14:textId="77777777" w:rsidR="00D61F83" w:rsidRPr="00D61F83" w:rsidRDefault="00D61F83" w:rsidP="00D61F83">
      <w:pPr>
        <w:numPr>
          <w:ilvl w:val="0"/>
          <w:numId w:val="25"/>
        </w:numPr>
        <w:spacing w:line="240" w:lineRule="auto"/>
        <w:rPr>
          <w:rFonts w:ascii="Times New Roman" w:hAnsi="Times New Roman" w:cs="Times New Roman"/>
          <w:sz w:val="20"/>
          <w:szCs w:val="20"/>
        </w:rPr>
      </w:pPr>
      <w:r w:rsidRPr="00D61F83">
        <w:rPr>
          <w:rFonts w:ascii="Times New Roman" w:hAnsi="Times New Roman" w:cs="Times New Roman"/>
          <w:sz w:val="20"/>
          <w:szCs w:val="20"/>
        </w:rPr>
        <w:lastRenderedPageBreak/>
        <w:t>Activity level and pregnancy category as secondary contributors</w:t>
      </w:r>
    </w:p>
    <w:p w14:paraId="25BEC088" w14:textId="77777777" w:rsidR="00D61F83" w:rsidRPr="00D61F83" w:rsidRDefault="00D61F83" w:rsidP="00D61F83">
      <w:pPr>
        <w:numPr>
          <w:ilvl w:val="0"/>
          <w:numId w:val="25"/>
        </w:numPr>
        <w:spacing w:line="240" w:lineRule="auto"/>
        <w:rPr>
          <w:rFonts w:ascii="Times New Roman" w:hAnsi="Times New Roman" w:cs="Times New Roman"/>
          <w:sz w:val="20"/>
          <w:szCs w:val="20"/>
        </w:rPr>
      </w:pPr>
      <w:r w:rsidRPr="00D61F83">
        <w:rPr>
          <w:rFonts w:ascii="Times New Roman" w:hAnsi="Times New Roman" w:cs="Times New Roman"/>
          <w:sz w:val="20"/>
          <w:szCs w:val="20"/>
        </w:rPr>
        <w:t>Rx/OTC contributes smaller but stable predictive power</w:t>
      </w:r>
    </w:p>
    <w:p w14:paraId="5FBF5093" w14:textId="6E397734" w:rsidR="00E2794B" w:rsidRPr="00E2794B" w:rsidRDefault="00E2794B" w:rsidP="00E2794B">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9882DC3" wp14:editId="61746A92">
            <wp:extent cx="3016666" cy="2154087"/>
            <wp:effectExtent l="0" t="0" r="6350" b="5080"/>
            <wp:docPr id="1846772424" name="图片 6" descr="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72424" name="图片 6" descr="箱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1498" cy="2171819"/>
                    </a:xfrm>
                    <a:prstGeom prst="rect">
                      <a:avLst/>
                    </a:prstGeom>
                  </pic:spPr>
                </pic:pic>
              </a:graphicData>
            </a:graphic>
          </wp:inline>
        </w:drawing>
      </w:r>
    </w:p>
    <w:p w14:paraId="0691A393"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Test-set evaluation:</w:t>
      </w:r>
    </w:p>
    <w:p w14:paraId="1C3D043D" w14:textId="77777777" w:rsidR="00D61F83" w:rsidRPr="00D61F83" w:rsidRDefault="00D61F83" w:rsidP="00D61F83">
      <w:pPr>
        <w:numPr>
          <w:ilvl w:val="0"/>
          <w:numId w:val="26"/>
        </w:numPr>
        <w:spacing w:line="240" w:lineRule="auto"/>
        <w:rPr>
          <w:rFonts w:ascii="Times New Roman" w:hAnsi="Times New Roman" w:cs="Times New Roman"/>
          <w:sz w:val="20"/>
          <w:szCs w:val="20"/>
        </w:rPr>
      </w:pPr>
      <w:r w:rsidRPr="00D61F83">
        <w:rPr>
          <w:rFonts w:ascii="Times New Roman" w:hAnsi="Times New Roman" w:cs="Times New Roman"/>
          <w:sz w:val="20"/>
          <w:szCs w:val="20"/>
        </w:rPr>
        <w:t>AUC = 0.718</w:t>
      </w:r>
    </w:p>
    <w:p w14:paraId="6BD856B9" w14:textId="77777777" w:rsidR="00D61F83" w:rsidRPr="00D61F83" w:rsidRDefault="00D61F83" w:rsidP="00D61F83">
      <w:pPr>
        <w:numPr>
          <w:ilvl w:val="0"/>
          <w:numId w:val="26"/>
        </w:numPr>
        <w:spacing w:line="240" w:lineRule="auto"/>
        <w:rPr>
          <w:rFonts w:ascii="Times New Roman" w:hAnsi="Times New Roman" w:cs="Times New Roman"/>
          <w:sz w:val="20"/>
          <w:szCs w:val="20"/>
        </w:rPr>
      </w:pPr>
      <w:r w:rsidRPr="00D61F83">
        <w:rPr>
          <w:rFonts w:ascii="Times New Roman" w:hAnsi="Times New Roman" w:cs="Times New Roman"/>
          <w:sz w:val="20"/>
          <w:szCs w:val="20"/>
        </w:rPr>
        <w:t>Substantially higher sensitivity</w:t>
      </w:r>
    </w:p>
    <w:p w14:paraId="6583EABF" w14:textId="77777777" w:rsidR="00D61F83" w:rsidRPr="00D61F83" w:rsidRDefault="00D61F83" w:rsidP="00D61F83">
      <w:pPr>
        <w:numPr>
          <w:ilvl w:val="0"/>
          <w:numId w:val="26"/>
        </w:numPr>
        <w:spacing w:line="240" w:lineRule="auto"/>
        <w:rPr>
          <w:rFonts w:ascii="Times New Roman" w:hAnsi="Times New Roman" w:cs="Times New Roman"/>
          <w:sz w:val="20"/>
          <w:szCs w:val="20"/>
        </w:rPr>
      </w:pPr>
      <w:r w:rsidRPr="00D61F83">
        <w:rPr>
          <w:rFonts w:ascii="Times New Roman" w:hAnsi="Times New Roman" w:cs="Times New Roman"/>
          <w:sz w:val="20"/>
          <w:szCs w:val="20"/>
        </w:rPr>
        <w:t>Better true-positive detection</w:t>
      </w:r>
    </w:p>
    <w:p w14:paraId="10D17EAD" w14:textId="77777777" w:rsidR="00D61F83" w:rsidRPr="00D61F83" w:rsidRDefault="00D61F83" w:rsidP="00D61F83">
      <w:pPr>
        <w:numPr>
          <w:ilvl w:val="0"/>
          <w:numId w:val="26"/>
        </w:numPr>
        <w:spacing w:line="240" w:lineRule="auto"/>
        <w:rPr>
          <w:rFonts w:ascii="Times New Roman" w:hAnsi="Times New Roman" w:cs="Times New Roman"/>
          <w:sz w:val="20"/>
          <w:szCs w:val="20"/>
        </w:rPr>
      </w:pPr>
      <w:r w:rsidRPr="00D61F83">
        <w:rPr>
          <w:rFonts w:ascii="Times New Roman" w:hAnsi="Times New Roman" w:cs="Times New Roman"/>
          <w:sz w:val="20"/>
          <w:szCs w:val="20"/>
        </w:rPr>
        <w:t>Improved overall accuracy</w:t>
      </w:r>
    </w:p>
    <w:p w14:paraId="01731DFF" w14:textId="77777777" w:rsidR="00627BA1" w:rsidRDefault="00627BA1" w:rsidP="00D61F83">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A237858" wp14:editId="0E026F9A">
            <wp:extent cx="3307223" cy="2361562"/>
            <wp:effectExtent l="0" t="0" r="0" b="1270"/>
            <wp:docPr id="1423518283"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8283" name="图片 3" descr="图表&#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3546" cy="2408921"/>
                    </a:xfrm>
                    <a:prstGeom prst="rect">
                      <a:avLst/>
                    </a:prstGeom>
                  </pic:spPr>
                </pic:pic>
              </a:graphicData>
            </a:graphic>
          </wp:inline>
        </w:drawing>
      </w:r>
    </w:p>
    <w:p w14:paraId="15352663" w14:textId="2F483DAF"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RF outperforms logistic regression due to its ability to model:</w:t>
      </w:r>
    </w:p>
    <w:p w14:paraId="330E5D10" w14:textId="77777777" w:rsidR="00D61F83" w:rsidRPr="00D61F83" w:rsidRDefault="00D61F83" w:rsidP="00D61F83">
      <w:pPr>
        <w:numPr>
          <w:ilvl w:val="0"/>
          <w:numId w:val="27"/>
        </w:numPr>
        <w:spacing w:line="240" w:lineRule="auto"/>
        <w:rPr>
          <w:rFonts w:ascii="Times New Roman" w:hAnsi="Times New Roman" w:cs="Times New Roman"/>
          <w:sz w:val="20"/>
          <w:szCs w:val="20"/>
        </w:rPr>
      </w:pPr>
      <w:r w:rsidRPr="00D61F83">
        <w:rPr>
          <w:rFonts w:ascii="Times New Roman" w:hAnsi="Times New Roman" w:cs="Times New Roman"/>
          <w:sz w:val="20"/>
          <w:szCs w:val="20"/>
        </w:rPr>
        <w:t>Non-linear thresholds</w:t>
      </w:r>
    </w:p>
    <w:p w14:paraId="4914F206" w14:textId="77777777" w:rsidR="00D61F83" w:rsidRPr="00D61F83" w:rsidRDefault="00D61F83" w:rsidP="00D61F83">
      <w:pPr>
        <w:numPr>
          <w:ilvl w:val="0"/>
          <w:numId w:val="27"/>
        </w:numPr>
        <w:spacing w:line="240" w:lineRule="auto"/>
        <w:rPr>
          <w:rFonts w:ascii="Times New Roman" w:hAnsi="Times New Roman" w:cs="Times New Roman"/>
          <w:sz w:val="20"/>
          <w:szCs w:val="20"/>
        </w:rPr>
      </w:pPr>
      <w:r w:rsidRPr="00D61F83">
        <w:rPr>
          <w:rFonts w:ascii="Times New Roman" w:hAnsi="Times New Roman" w:cs="Times New Roman"/>
          <w:sz w:val="20"/>
          <w:szCs w:val="20"/>
        </w:rPr>
        <w:t>Interaction effects</w:t>
      </w:r>
    </w:p>
    <w:p w14:paraId="5F43B803" w14:textId="76C6A962" w:rsidR="00D61F83" w:rsidRPr="00D61F83" w:rsidRDefault="00D61F83" w:rsidP="00D61F83">
      <w:pPr>
        <w:numPr>
          <w:ilvl w:val="0"/>
          <w:numId w:val="27"/>
        </w:numPr>
        <w:spacing w:line="240" w:lineRule="auto"/>
        <w:rPr>
          <w:rFonts w:ascii="Times New Roman" w:hAnsi="Times New Roman" w:cs="Times New Roman"/>
          <w:sz w:val="20"/>
          <w:szCs w:val="20"/>
        </w:rPr>
      </w:pPr>
      <w:r w:rsidRPr="00D61F83">
        <w:rPr>
          <w:rFonts w:ascii="Times New Roman" w:hAnsi="Times New Roman" w:cs="Times New Roman"/>
          <w:sz w:val="20"/>
          <w:szCs w:val="20"/>
        </w:rPr>
        <w:t>Heterogeneous therapeutic response patterns</w:t>
      </w:r>
    </w:p>
    <w:p w14:paraId="43F741A0"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D.5 Model Calibration</w:t>
      </w:r>
    </w:p>
    <w:p w14:paraId="7F9D7E99"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Calibration curves show probability reliability:</w:t>
      </w:r>
    </w:p>
    <w:p w14:paraId="580EADDD" w14:textId="77777777" w:rsidR="00D61F83" w:rsidRPr="00D61F83" w:rsidRDefault="00D61F83" w:rsidP="00D61F83">
      <w:pPr>
        <w:numPr>
          <w:ilvl w:val="0"/>
          <w:numId w:val="28"/>
        </w:numPr>
        <w:spacing w:line="240" w:lineRule="auto"/>
        <w:rPr>
          <w:rFonts w:ascii="Times New Roman" w:hAnsi="Times New Roman" w:cs="Times New Roman"/>
          <w:sz w:val="20"/>
          <w:szCs w:val="20"/>
        </w:rPr>
      </w:pPr>
      <w:r w:rsidRPr="00D61F83">
        <w:rPr>
          <w:rFonts w:ascii="Times New Roman" w:hAnsi="Times New Roman" w:cs="Times New Roman"/>
          <w:sz w:val="20"/>
          <w:szCs w:val="20"/>
        </w:rPr>
        <w:t>Logistic regression → noisy, underestimates high-probability regions</w:t>
      </w:r>
    </w:p>
    <w:p w14:paraId="4630E1E8" w14:textId="77777777" w:rsidR="00D61F83" w:rsidRDefault="00D61F83" w:rsidP="00D61F83">
      <w:pPr>
        <w:numPr>
          <w:ilvl w:val="0"/>
          <w:numId w:val="28"/>
        </w:numPr>
        <w:spacing w:line="240" w:lineRule="auto"/>
        <w:rPr>
          <w:rFonts w:ascii="Times New Roman" w:hAnsi="Times New Roman" w:cs="Times New Roman"/>
          <w:sz w:val="20"/>
          <w:szCs w:val="20"/>
        </w:rPr>
      </w:pPr>
      <w:r w:rsidRPr="00D61F83">
        <w:rPr>
          <w:rFonts w:ascii="Times New Roman" w:hAnsi="Times New Roman" w:cs="Times New Roman"/>
          <w:sz w:val="20"/>
          <w:szCs w:val="20"/>
        </w:rPr>
        <w:lastRenderedPageBreak/>
        <w:t>RF classifier → smoother, more monotonic calibration</w:t>
      </w:r>
    </w:p>
    <w:p w14:paraId="04ADB6FE" w14:textId="3B655363" w:rsidR="00E2794B" w:rsidRPr="00D61F83" w:rsidRDefault="00E2794B" w:rsidP="00E2794B">
      <w:pPr>
        <w:spacing w:line="240" w:lineRule="auto"/>
        <w:rPr>
          <w:rFonts w:ascii="Times New Roman" w:hAnsi="Times New Roman" w:cs="Times New Roman"/>
          <w:sz w:val="20"/>
          <w:szCs w:val="20"/>
        </w:rPr>
      </w:pPr>
      <w:r>
        <w:rPr>
          <w:rFonts w:ascii="Times New Roman" w:hAnsi="Times New Roman" w:cs="Times New Roman" w:hint="eastAsia"/>
          <w:noProof/>
          <w:sz w:val="20"/>
          <w:szCs w:val="20"/>
        </w:rPr>
        <w:drawing>
          <wp:inline distT="0" distB="0" distL="0" distR="0" wp14:anchorId="393CDBC0" wp14:editId="62B32795">
            <wp:extent cx="2820113" cy="2013736"/>
            <wp:effectExtent l="0" t="0" r="0" b="5715"/>
            <wp:docPr id="2133719768"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19768" name="图片 8" descr="图表&#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9635" cy="2027676"/>
                    </a:xfrm>
                    <a:prstGeom prst="rect">
                      <a:avLst/>
                    </a:prstGeom>
                  </pic:spPr>
                </pic:pic>
              </a:graphicData>
            </a:graphic>
          </wp:inline>
        </w:drawing>
      </w:r>
    </w:p>
    <w:p w14:paraId="18A87EA6" w14:textId="7FE06642"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RF calibration is crucial because these probabilities will be used as inputs in DCF modeling.</w:t>
      </w:r>
    </w:p>
    <w:p w14:paraId="420CE535" w14:textId="5EFBBD13"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Overfitting Controls:</w:t>
      </w:r>
    </w:p>
    <w:p w14:paraId="5FDEFE53" w14:textId="5673C449"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To reduce overfitting, all models were trained on the 80% training set and evaluated exclusively on the 20% held-out test set. No test-set information was used during modeling or feature selection. Random Forest models incorporate built-in regularization through bootstrap aggregation and feature subsampling, which lowers variance and prevents over-complex tree structures. Linear and logistic regression models also carry low overfitting risk due to their limited parameterization and monotonic functional form. Together, these controls ensure that all reported metrics reflect out-of-sample generalization rather than in-sample fit.</w:t>
      </w:r>
    </w:p>
    <w:p w14:paraId="130F5C7B" w14:textId="77777777" w:rsidR="00D61F83" w:rsidRPr="00D61F83" w:rsidRDefault="00D61F83" w:rsidP="00D61F83">
      <w:pPr>
        <w:spacing w:line="240" w:lineRule="auto"/>
        <w:rPr>
          <w:rFonts w:ascii="Times New Roman" w:hAnsi="Times New Roman" w:cs="Times New Roman"/>
          <w:sz w:val="20"/>
          <w:szCs w:val="20"/>
        </w:rPr>
      </w:pPr>
      <w:r w:rsidRPr="00D61F83">
        <w:rPr>
          <w:rFonts w:ascii="Times New Roman" w:hAnsi="Times New Roman" w:cs="Times New Roman"/>
          <w:sz w:val="20"/>
          <w:szCs w:val="20"/>
        </w:rPr>
        <w:t>D.6 Summary of Diagnostic Insights</w:t>
      </w:r>
    </w:p>
    <w:p w14:paraId="4F5B9AAC" w14:textId="77777777" w:rsidR="00D61F83" w:rsidRPr="00D61F83" w:rsidRDefault="00D61F83" w:rsidP="00D61F83">
      <w:pPr>
        <w:numPr>
          <w:ilvl w:val="0"/>
          <w:numId w:val="29"/>
        </w:numPr>
        <w:spacing w:line="240" w:lineRule="auto"/>
        <w:rPr>
          <w:rFonts w:ascii="Times New Roman" w:hAnsi="Times New Roman" w:cs="Times New Roman"/>
          <w:sz w:val="20"/>
          <w:szCs w:val="20"/>
        </w:rPr>
      </w:pPr>
      <w:r w:rsidRPr="00D61F83">
        <w:rPr>
          <w:rFonts w:ascii="Times New Roman" w:hAnsi="Times New Roman" w:cs="Times New Roman"/>
          <w:sz w:val="20"/>
          <w:szCs w:val="20"/>
        </w:rPr>
        <w:t>Linear regression explains directional effects, but misses non-linear structures</w:t>
      </w:r>
    </w:p>
    <w:p w14:paraId="084996F9" w14:textId="77777777" w:rsidR="00D61F83" w:rsidRPr="00D61F83" w:rsidRDefault="00D61F83" w:rsidP="00D61F83">
      <w:pPr>
        <w:numPr>
          <w:ilvl w:val="0"/>
          <w:numId w:val="29"/>
        </w:numPr>
        <w:spacing w:line="240" w:lineRule="auto"/>
        <w:rPr>
          <w:rFonts w:ascii="Times New Roman" w:hAnsi="Times New Roman" w:cs="Times New Roman"/>
          <w:sz w:val="20"/>
          <w:szCs w:val="20"/>
        </w:rPr>
      </w:pPr>
      <w:r w:rsidRPr="00D61F83">
        <w:rPr>
          <w:rFonts w:ascii="Times New Roman" w:hAnsi="Times New Roman" w:cs="Times New Roman"/>
          <w:sz w:val="20"/>
          <w:szCs w:val="20"/>
        </w:rPr>
        <w:t>RF regression captures complex rating dynamics and improves prediction robustness</w:t>
      </w:r>
    </w:p>
    <w:p w14:paraId="0A3183CF" w14:textId="77777777" w:rsidR="00D61F83" w:rsidRPr="00D61F83" w:rsidRDefault="00D61F83" w:rsidP="00D61F83">
      <w:pPr>
        <w:numPr>
          <w:ilvl w:val="0"/>
          <w:numId w:val="29"/>
        </w:numPr>
        <w:spacing w:line="240" w:lineRule="auto"/>
        <w:rPr>
          <w:rFonts w:ascii="Times New Roman" w:hAnsi="Times New Roman" w:cs="Times New Roman"/>
          <w:sz w:val="20"/>
          <w:szCs w:val="20"/>
        </w:rPr>
      </w:pPr>
      <w:r w:rsidRPr="00D61F83">
        <w:rPr>
          <w:rFonts w:ascii="Times New Roman" w:hAnsi="Times New Roman" w:cs="Times New Roman"/>
          <w:sz w:val="20"/>
          <w:szCs w:val="20"/>
        </w:rPr>
        <w:t>Logistic regression provides interpretability but limited predictive performance</w:t>
      </w:r>
    </w:p>
    <w:p w14:paraId="289A5C44" w14:textId="77777777" w:rsidR="00D61F83" w:rsidRPr="00D61F83" w:rsidRDefault="00D61F83" w:rsidP="00D61F83">
      <w:pPr>
        <w:numPr>
          <w:ilvl w:val="0"/>
          <w:numId w:val="29"/>
        </w:numPr>
        <w:spacing w:line="240" w:lineRule="auto"/>
        <w:rPr>
          <w:rFonts w:ascii="Times New Roman" w:hAnsi="Times New Roman" w:cs="Times New Roman"/>
          <w:sz w:val="20"/>
          <w:szCs w:val="20"/>
        </w:rPr>
      </w:pPr>
      <w:r w:rsidRPr="00D61F83">
        <w:rPr>
          <w:rFonts w:ascii="Times New Roman" w:hAnsi="Times New Roman" w:cs="Times New Roman"/>
          <w:sz w:val="20"/>
          <w:szCs w:val="20"/>
        </w:rPr>
        <w:t>RF classifier offers the best accuracy, sensitivity, and calibration</w:t>
      </w:r>
    </w:p>
    <w:p w14:paraId="44D25BCB" w14:textId="77777777" w:rsidR="00D61F83" w:rsidRDefault="00D61F83" w:rsidP="00D61F83">
      <w:pPr>
        <w:numPr>
          <w:ilvl w:val="0"/>
          <w:numId w:val="29"/>
        </w:numPr>
        <w:spacing w:line="240" w:lineRule="auto"/>
        <w:rPr>
          <w:rFonts w:ascii="Times New Roman" w:hAnsi="Times New Roman" w:cs="Times New Roman"/>
          <w:sz w:val="20"/>
          <w:szCs w:val="20"/>
        </w:rPr>
      </w:pPr>
      <w:r w:rsidRPr="00D61F83">
        <w:rPr>
          <w:rFonts w:ascii="Times New Roman" w:hAnsi="Times New Roman" w:cs="Times New Roman"/>
          <w:sz w:val="20"/>
          <w:szCs w:val="20"/>
        </w:rPr>
        <w:t>RF probabilities are the appropriate inputs for Phase 2 financial forecasting (DCF integration)</w:t>
      </w:r>
    </w:p>
    <w:p w14:paraId="4DFBE039" w14:textId="31F32167" w:rsidR="00F97235" w:rsidRPr="00F97235" w:rsidRDefault="00F97235" w:rsidP="00F97235">
      <w:pPr>
        <w:spacing w:line="240" w:lineRule="auto"/>
        <w:rPr>
          <w:rFonts w:ascii="Times New Roman" w:hAnsi="Times New Roman" w:cs="Times New Roman"/>
          <w:b/>
          <w:bCs/>
          <w:sz w:val="20"/>
          <w:szCs w:val="20"/>
        </w:rPr>
      </w:pPr>
      <w:r w:rsidRPr="00F97235">
        <w:rPr>
          <w:rFonts w:ascii="Times New Roman" w:hAnsi="Times New Roman" w:cs="Times New Roman"/>
          <w:b/>
          <w:bCs/>
          <w:sz w:val="20"/>
          <w:szCs w:val="20"/>
        </w:rPr>
        <w:t>Appendix E — Business Insights from Model Results</w:t>
      </w:r>
    </w:p>
    <w:p w14:paraId="7D74EE71"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E.1 Predicted Success by Drug Class</w:t>
      </w:r>
    </w:p>
    <w:p w14:paraId="49BF2559" w14:textId="08679DD4"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Our models reveal substantial heterogeneity in predicted success across therapeutic categories. Integrating both Logistic Regression and Random Forest estimates, three clusters of drug-class performance emerge:</w:t>
      </w:r>
    </w:p>
    <w:p w14:paraId="45089D0D"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1. High-Performing Drug Classes</w:t>
      </w:r>
    </w:p>
    <w:p w14:paraId="534BD46F"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Examples:</w:t>
      </w:r>
    </w:p>
    <w:p w14:paraId="1F21864F" w14:textId="77777777" w:rsidR="00F97235" w:rsidRPr="00F97235" w:rsidRDefault="00F97235" w:rsidP="00F97235">
      <w:pPr>
        <w:numPr>
          <w:ilvl w:val="0"/>
          <w:numId w:val="30"/>
        </w:numPr>
        <w:spacing w:line="240" w:lineRule="auto"/>
        <w:rPr>
          <w:rFonts w:ascii="Times New Roman" w:hAnsi="Times New Roman" w:cs="Times New Roman"/>
          <w:sz w:val="20"/>
          <w:szCs w:val="20"/>
        </w:rPr>
      </w:pPr>
      <w:r w:rsidRPr="00F97235">
        <w:rPr>
          <w:rFonts w:ascii="Times New Roman" w:hAnsi="Times New Roman" w:cs="Times New Roman"/>
          <w:sz w:val="20"/>
          <w:szCs w:val="20"/>
        </w:rPr>
        <w:t>Opioids / Narcotic analgesics</w:t>
      </w:r>
    </w:p>
    <w:p w14:paraId="642A5253" w14:textId="77777777" w:rsidR="00F97235" w:rsidRPr="00F97235" w:rsidRDefault="00F97235" w:rsidP="00F97235">
      <w:pPr>
        <w:numPr>
          <w:ilvl w:val="0"/>
          <w:numId w:val="30"/>
        </w:numPr>
        <w:spacing w:line="240" w:lineRule="auto"/>
        <w:rPr>
          <w:rFonts w:ascii="Times New Roman" w:hAnsi="Times New Roman" w:cs="Times New Roman"/>
          <w:sz w:val="20"/>
          <w:szCs w:val="20"/>
        </w:rPr>
      </w:pPr>
      <w:r w:rsidRPr="00F97235">
        <w:rPr>
          <w:rFonts w:ascii="Times New Roman" w:hAnsi="Times New Roman" w:cs="Times New Roman"/>
          <w:sz w:val="20"/>
          <w:szCs w:val="20"/>
        </w:rPr>
        <w:t>Glucocorticoids</w:t>
      </w:r>
    </w:p>
    <w:p w14:paraId="46A51AE2" w14:textId="77777777" w:rsidR="00F97235" w:rsidRPr="00F97235" w:rsidRDefault="00F97235" w:rsidP="00F97235">
      <w:pPr>
        <w:numPr>
          <w:ilvl w:val="0"/>
          <w:numId w:val="30"/>
        </w:numPr>
        <w:spacing w:line="240" w:lineRule="auto"/>
        <w:rPr>
          <w:rFonts w:ascii="Times New Roman" w:hAnsi="Times New Roman" w:cs="Times New Roman"/>
          <w:sz w:val="20"/>
          <w:szCs w:val="20"/>
        </w:rPr>
      </w:pPr>
      <w:r w:rsidRPr="00F97235">
        <w:rPr>
          <w:rFonts w:ascii="Times New Roman" w:hAnsi="Times New Roman" w:cs="Times New Roman"/>
          <w:sz w:val="20"/>
          <w:szCs w:val="20"/>
        </w:rPr>
        <w:lastRenderedPageBreak/>
        <w:t>Upper respiratory combinations</w:t>
      </w:r>
    </w:p>
    <w:p w14:paraId="47053D0C" w14:textId="77777777" w:rsidR="00F97235" w:rsidRPr="00F97235" w:rsidRDefault="00F97235" w:rsidP="00F97235">
      <w:pPr>
        <w:numPr>
          <w:ilvl w:val="0"/>
          <w:numId w:val="30"/>
        </w:numPr>
        <w:spacing w:line="240" w:lineRule="auto"/>
        <w:rPr>
          <w:rFonts w:ascii="Times New Roman" w:hAnsi="Times New Roman" w:cs="Times New Roman"/>
          <w:sz w:val="20"/>
          <w:szCs w:val="20"/>
        </w:rPr>
      </w:pPr>
      <w:r w:rsidRPr="00F97235">
        <w:rPr>
          <w:rFonts w:ascii="Times New Roman" w:hAnsi="Times New Roman" w:cs="Times New Roman"/>
          <w:sz w:val="20"/>
          <w:szCs w:val="20"/>
        </w:rPr>
        <w:t>Proton pump inhibitors (PPIs)</w:t>
      </w:r>
    </w:p>
    <w:p w14:paraId="2F03D33F"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Business Interpretation:</w:t>
      </w:r>
      <w:r w:rsidRPr="00F97235">
        <w:rPr>
          <w:rFonts w:ascii="Times New Roman" w:hAnsi="Times New Roman" w:cs="Times New Roman"/>
          <w:sz w:val="20"/>
          <w:szCs w:val="20"/>
        </w:rPr>
        <w:br/>
        <w:t xml:space="preserve">These classes combine </w:t>
      </w:r>
      <w:r w:rsidRPr="00F97235">
        <w:rPr>
          <w:rFonts w:ascii="Times New Roman" w:hAnsi="Times New Roman" w:cs="Times New Roman"/>
          <w:i/>
          <w:iCs/>
          <w:sz w:val="20"/>
          <w:szCs w:val="20"/>
        </w:rPr>
        <w:t>high perceived effectiveness</w:t>
      </w:r>
      <w:r w:rsidRPr="00F97235">
        <w:rPr>
          <w:rFonts w:ascii="Times New Roman" w:hAnsi="Times New Roman" w:cs="Times New Roman"/>
          <w:sz w:val="20"/>
          <w:szCs w:val="20"/>
        </w:rPr>
        <w:t xml:space="preserve">, </w:t>
      </w:r>
      <w:r w:rsidRPr="00F97235">
        <w:rPr>
          <w:rFonts w:ascii="Times New Roman" w:hAnsi="Times New Roman" w:cs="Times New Roman"/>
          <w:i/>
          <w:iCs/>
          <w:sz w:val="20"/>
          <w:szCs w:val="20"/>
        </w:rPr>
        <w:t>rapid symptom relief</w:t>
      </w:r>
      <w:r w:rsidRPr="00F97235">
        <w:rPr>
          <w:rFonts w:ascii="Times New Roman" w:hAnsi="Times New Roman" w:cs="Times New Roman"/>
          <w:sz w:val="20"/>
          <w:szCs w:val="20"/>
        </w:rPr>
        <w:t xml:space="preserve">, and </w:t>
      </w:r>
      <w:r w:rsidRPr="00F97235">
        <w:rPr>
          <w:rFonts w:ascii="Times New Roman" w:hAnsi="Times New Roman" w:cs="Times New Roman"/>
          <w:i/>
          <w:iCs/>
          <w:sz w:val="20"/>
          <w:szCs w:val="20"/>
        </w:rPr>
        <w:t>high patient adherence</w:t>
      </w:r>
      <w:r w:rsidRPr="00F97235">
        <w:rPr>
          <w:rFonts w:ascii="Times New Roman" w:hAnsi="Times New Roman" w:cs="Times New Roman"/>
          <w:sz w:val="20"/>
          <w:szCs w:val="20"/>
        </w:rPr>
        <w:t>. Many are chronic-care or recurrent-use categories, strengthening perceived value.</w:t>
      </w:r>
      <w:r w:rsidRPr="00F97235">
        <w:rPr>
          <w:rFonts w:ascii="Times New Roman" w:hAnsi="Times New Roman" w:cs="Times New Roman"/>
          <w:sz w:val="20"/>
          <w:szCs w:val="20"/>
        </w:rPr>
        <w:br/>
        <w:t>Additional drivers include:</w:t>
      </w:r>
    </w:p>
    <w:p w14:paraId="40CBE237" w14:textId="77777777" w:rsidR="00F97235" w:rsidRPr="00F97235" w:rsidRDefault="00F97235" w:rsidP="00F97235">
      <w:pPr>
        <w:numPr>
          <w:ilvl w:val="0"/>
          <w:numId w:val="31"/>
        </w:numPr>
        <w:spacing w:line="240" w:lineRule="auto"/>
        <w:rPr>
          <w:rFonts w:ascii="Times New Roman" w:hAnsi="Times New Roman" w:cs="Times New Roman"/>
          <w:sz w:val="20"/>
          <w:szCs w:val="20"/>
        </w:rPr>
      </w:pPr>
      <w:r w:rsidRPr="00F97235">
        <w:rPr>
          <w:rFonts w:ascii="Times New Roman" w:hAnsi="Times New Roman" w:cs="Times New Roman"/>
          <w:sz w:val="20"/>
          <w:szCs w:val="20"/>
        </w:rPr>
        <w:t>Favorable pregnancy categories (fewer safety warnings)</w:t>
      </w:r>
    </w:p>
    <w:p w14:paraId="68B23903" w14:textId="77777777" w:rsidR="00F97235" w:rsidRPr="00F97235" w:rsidRDefault="00F97235" w:rsidP="00F97235">
      <w:pPr>
        <w:numPr>
          <w:ilvl w:val="0"/>
          <w:numId w:val="31"/>
        </w:numPr>
        <w:spacing w:line="240" w:lineRule="auto"/>
        <w:rPr>
          <w:rFonts w:ascii="Times New Roman" w:hAnsi="Times New Roman" w:cs="Times New Roman"/>
          <w:sz w:val="20"/>
          <w:szCs w:val="20"/>
        </w:rPr>
      </w:pPr>
      <w:r w:rsidRPr="00F97235">
        <w:rPr>
          <w:rFonts w:ascii="Times New Roman" w:hAnsi="Times New Roman" w:cs="Times New Roman"/>
          <w:sz w:val="20"/>
          <w:szCs w:val="20"/>
        </w:rPr>
        <w:t>Strong OTC or Rx/OTC accessibility</w:t>
      </w:r>
    </w:p>
    <w:p w14:paraId="18420A8C" w14:textId="77777777" w:rsidR="00F97235" w:rsidRPr="00F97235" w:rsidRDefault="00F97235" w:rsidP="00F97235">
      <w:pPr>
        <w:numPr>
          <w:ilvl w:val="0"/>
          <w:numId w:val="31"/>
        </w:numPr>
        <w:spacing w:line="240" w:lineRule="auto"/>
        <w:rPr>
          <w:rFonts w:ascii="Times New Roman" w:hAnsi="Times New Roman" w:cs="Times New Roman"/>
          <w:sz w:val="20"/>
          <w:szCs w:val="20"/>
        </w:rPr>
      </w:pPr>
      <w:r w:rsidRPr="00F97235">
        <w:rPr>
          <w:rFonts w:ascii="Times New Roman" w:hAnsi="Times New Roman" w:cs="Times New Roman"/>
          <w:sz w:val="20"/>
          <w:szCs w:val="20"/>
        </w:rPr>
        <w:t>Lower side-effect burden relative to therapeutic utility</w:t>
      </w:r>
    </w:p>
    <w:p w14:paraId="3D48582B" w14:textId="3DA64319"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Strategic Insight:</w:t>
      </w:r>
      <w:r w:rsidRPr="00F97235">
        <w:rPr>
          <w:rFonts w:ascii="Times New Roman" w:hAnsi="Times New Roman" w:cs="Times New Roman"/>
          <w:sz w:val="20"/>
          <w:szCs w:val="20"/>
        </w:rPr>
        <w:br/>
        <w:t>These therapeutic areas offer high commercial headroom, strong retention, and superior pricing power.</w:t>
      </w:r>
    </w:p>
    <w:p w14:paraId="1B6B3C92"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2. Mid-Performing Drug Classes</w:t>
      </w:r>
    </w:p>
    <w:p w14:paraId="0F969496"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Examples:</w:t>
      </w:r>
    </w:p>
    <w:p w14:paraId="1ECEEA54" w14:textId="77777777" w:rsidR="00F97235" w:rsidRPr="00F97235" w:rsidRDefault="00F97235" w:rsidP="00F97235">
      <w:pPr>
        <w:numPr>
          <w:ilvl w:val="0"/>
          <w:numId w:val="32"/>
        </w:numPr>
        <w:spacing w:line="240" w:lineRule="auto"/>
        <w:rPr>
          <w:rFonts w:ascii="Times New Roman" w:hAnsi="Times New Roman" w:cs="Times New Roman"/>
          <w:sz w:val="20"/>
          <w:szCs w:val="20"/>
        </w:rPr>
      </w:pPr>
      <w:r w:rsidRPr="00F97235">
        <w:rPr>
          <w:rFonts w:ascii="Times New Roman" w:hAnsi="Times New Roman" w:cs="Times New Roman"/>
          <w:sz w:val="20"/>
          <w:szCs w:val="20"/>
        </w:rPr>
        <w:t>Topical acne agents</w:t>
      </w:r>
    </w:p>
    <w:p w14:paraId="030055F6" w14:textId="77777777" w:rsidR="00F97235" w:rsidRPr="00F97235" w:rsidRDefault="00F97235" w:rsidP="00F97235">
      <w:pPr>
        <w:numPr>
          <w:ilvl w:val="0"/>
          <w:numId w:val="32"/>
        </w:numPr>
        <w:spacing w:line="240" w:lineRule="auto"/>
        <w:rPr>
          <w:rFonts w:ascii="Times New Roman" w:hAnsi="Times New Roman" w:cs="Times New Roman"/>
          <w:sz w:val="20"/>
          <w:szCs w:val="20"/>
        </w:rPr>
      </w:pPr>
      <w:r w:rsidRPr="00F97235">
        <w:rPr>
          <w:rFonts w:ascii="Times New Roman" w:hAnsi="Times New Roman" w:cs="Times New Roman"/>
          <w:sz w:val="20"/>
          <w:szCs w:val="20"/>
        </w:rPr>
        <w:t>Miscellaneous topical agents</w:t>
      </w:r>
    </w:p>
    <w:p w14:paraId="3EEE6FBF" w14:textId="77777777" w:rsidR="00F97235" w:rsidRPr="00F97235" w:rsidRDefault="00F97235" w:rsidP="00F97235">
      <w:pPr>
        <w:numPr>
          <w:ilvl w:val="0"/>
          <w:numId w:val="32"/>
        </w:numPr>
        <w:spacing w:line="240" w:lineRule="auto"/>
        <w:rPr>
          <w:rFonts w:ascii="Times New Roman" w:hAnsi="Times New Roman" w:cs="Times New Roman"/>
          <w:sz w:val="20"/>
          <w:szCs w:val="20"/>
        </w:rPr>
      </w:pPr>
      <w:r w:rsidRPr="00F97235">
        <w:rPr>
          <w:rFonts w:ascii="Times New Roman" w:hAnsi="Times New Roman" w:cs="Times New Roman"/>
          <w:sz w:val="20"/>
          <w:szCs w:val="20"/>
        </w:rPr>
        <w:t>Laxatives</w:t>
      </w:r>
    </w:p>
    <w:p w14:paraId="5C41C0C3" w14:textId="77777777" w:rsidR="00F97235" w:rsidRPr="00F97235" w:rsidRDefault="00F97235" w:rsidP="00F97235">
      <w:pPr>
        <w:numPr>
          <w:ilvl w:val="0"/>
          <w:numId w:val="32"/>
        </w:numPr>
        <w:spacing w:line="240" w:lineRule="auto"/>
        <w:rPr>
          <w:rFonts w:ascii="Times New Roman" w:hAnsi="Times New Roman" w:cs="Times New Roman"/>
          <w:sz w:val="20"/>
          <w:szCs w:val="20"/>
        </w:rPr>
      </w:pPr>
      <w:r w:rsidRPr="00F97235">
        <w:rPr>
          <w:rFonts w:ascii="Times New Roman" w:hAnsi="Times New Roman" w:cs="Times New Roman"/>
          <w:sz w:val="20"/>
          <w:szCs w:val="20"/>
        </w:rPr>
        <w:t>CNS stimulants</w:t>
      </w:r>
    </w:p>
    <w:p w14:paraId="618CE988"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Business Interpretation:</w:t>
      </w:r>
      <w:r w:rsidRPr="00F97235">
        <w:rPr>
          <w:rFonts w:ascii="Times New Roman" w:hAnsi="Times New Roman" w:cs="Times New Roman"/>
          <w:sz w:val="20"/>
          <w:szCs w:val="20"/>
        </w:rPr>
        <w:br/>
        <w:t>These are categories where efficacy is formulation-dependent or side-effects limit satisfaction. Topical agents perform well for mild conditions but suffer from adherence issues; CNS stimulants show strong effects but carry risk-related perception penalties.</w:t>
      </w:r>
    </w:p>
    <w:p w14:paraId="5CA69624" w14:textId="48BB2D9D"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Strategic Insight:</w:t>
      </w:r>
      <w:r w:rsidRPr="00F97235">
        <w:rPr>
          <w:rFonts w:ascii="Times New Roman" w:hAnsi="Times New Roman" w:cs="Times New Roman"/>
          <w:sz w:val="20"/>
          <w:szCs w:val="20"/>
        </w:rPr>
        <w:br/>
        <w:t>Most suitable for differentiation via formulation innovation</w:t>
      </w:r>
      <w:r w:rsidRPr="00F97235">
        <w:rPr>
          <w:rFonts w:ascii="Times New Roman" w:hAnsi="Times New Roman" w:cs="Times New Roman"/>
          <w:sz w:val="20"/>
          <w:szCs w:val="20"/>
        </w:rPr>
        <w:br/>
        <w:t>(e.g., extended-release, reduced-irritation topical bases, safer stimulant profiles).</w:t>
      </w:r>
    </w:p>
    <w:p w14:paraId="7DDAD6D7"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3. Low-Performing Drug Classes</w:t>
      </w:r>
    </w:p>
    <w:p w14:paraId="398C7E8E"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Examples:</w:t>
      </w:r>
    </w:p>
    <w:p w14:paraId="5DDFEA58" w14:textId="77777777" w:rsidR="00F97235" w:rsidRPr="00F97235" w:rsidRDefault="00F97235" w:rsidP="00F97235">
      <w:pPr>
        <w:numPr>
          <w:ilvl w:val="0"/>
          <w:numId w:val="33"/>
        </w:numPr>
        <w:spacing w:line="240" w:lineRule="auto"/>
        <w:rPr>
          <w:rFonts w:ascii="Times New Roman" w:hAnsi="Times New Roman" w:cs="Times New Roman"/>
          <w:sz w:val="20"/>
          <w:szCs w:val="20"/>
        </w:rPr>
      </w:pPr>
      <w:r w:rsidRPr="00F97235">
        <w:rPr>
          <w:rFonts w:ascii="Times New Roman" w:hAnsi="Times New Roman" w:cs="Times New Roman"/>
          <w:sz w:val="20"/>
          <w:szCs w:val="20"/>
        </w:rPr>
        <w:t>Atypical antipsychotics</w:t>
      </w:r>
    </w:p>
    <w:p w14:paraId="722E2D39" w14:textId="77777777" w:rsidR="00F97235" w:rsidRPr="00F97235" w:rsidRDefault="00F97235" w:rsidP="00F97235">
      <w:pPr>
        <w:numPr>
          <w:ilvl w:val="0"/>
          <w:numId w:val="33"/>
        </w:numPr>
        <w:spacing w:line="240" w:lineRule="auto"/>
        <w:rPr>
          <w:rFonts w:ascii="Times New Roman" w:hAnsi="Times New Roman" w:cs="Times New Roman"/>
          <w:sz w:val="20"/>
          <w:szCs w:val="20"/>
        </w:rPr>
      </w:pPr>
      <w:r w:rsidRPr="00F97235">
        <w:rPr>
          <w:rFonts w:ascii="Times New Roman" w:hAnsi="Times New Roman" w:cs="Times New Roman"/>
          <w:sz w:val="20"/>
          <w:szCs w:val="20"/>
        </w:rPr>
        <w:t>Antidiabetic combinations</w:t>
      </w:r>
    </w:p>
    <w:p w14:paraId="7089DC30" w14:textId="77777777" w:rsidR="00F97235" w:rsidRPr="00F97235" w:rsidRDefault="00F97235" w:rsidP="00F97235">
      <w:pPr>
        <w:numPr>
          <w:ilvl w:val="0"/>
          <w:numId w:val="33"/>
        </w:numPr>
        <w:spacing w:line="240" w:lineRule="auto"/>
        <w:rPr>
          <w:rFonts w:ascii="Times New Roman" w:hAnsi="Times New Roman" w:cs="Times New Roman"/>
          <w:sz w:val="20"/>
          <w:szCs w:val="20"/>
        </w:rPr>
      </w:pPr>
      <w:r w:rsidRPr="00F97235">
        <w:rPr>
          <w:rFonts w:ascii="Times New Roman" w:hAnsi="Times New Roman" w:cs="Times New Roman"/>
          <w:sz w:val="20"/>
          <w:szCs w:val="20"/>
        </w:rPr>
        <w:t>Urinary antispasmodics</w:t>
      </w:r>
    </w:p>
    <w:p w14:paraId="73D120A2" w14:textId="77777777" w:rsidR="00F97235" w:rsidRPr="00F97235" w:rsidRDefault="00F97235" w:rsidP="00F97235">
      <w:pPr>
        <w:numPr>
          <w:ilvl w:val="0"/>
          <w:numId w:val="33"/>
        </w:numPr>
        <w:spacing w:line="240" w:lineRule="auto"/>
        <w:rPr>
          <w:rFonts w:ascii="Times New Roman" w:hAnsi="Times New Roman" w:cs="Times New Roman"/>
          <w:sz w:val="20"/>
          <w:szCs w:val="20"/>
        </w:rPr>
      </w:pPr>
      <w:r w:rsidRPr="00F97235">
        <w:rPr>
          <w:rFonts w:ascii="Times New Roman" w:hAnsi="Times New Roman" w:cs="Times New Roman"/>
          <w:sz w:val="20"/>
          <w:szCs w:val="20"/>
        </w:rPr>
        <w:t>Nonsteroidal anti-inflammatory drug combinations</w:t>
      </w:r>
    </w:p>
    <w:p w14:paraId="38DDE927"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Commercial Interpretation:</w:t>
      </w:r>
      <w:r w:rsidRPr="00F97235">
        <w:rPr>
          <w:rFonts w:ascii="Times New Roman" w:hAnsi="Times New Roman" w:cs="Times New Roman"/>
          <w:sz w:val="20"/>
          <w:szCs w:val="20"/>
        </w:rPr>
        <w:br/>
        <w:t>These categories typically suffer from:</w:t>
      </w:r>
    </w:p>
    <w:p w14:paraId="34465236" w14:textId="77777777" w:rsidR="00F97235" w:rsidRPr="00F97235" w:rsidRDefault="00F97235" w:rsidP="00F97235">
      <w:pPr>
        <w:numPr>
          <w:ilvl w:val="0"/>
          <w:numId w:val="34"/>
        </w:numPr>
        <w:spacing w:line="240" w:lineRule="auto"/>
        <w:rPr>
          <w:rFonts w:ascii="Times New Roman" w:hAnsi="Times New Roman" w:cs="Times New Roman"/>
          <w:sz w:val="20"/>
          <w:szCs w:val="20"/>
        </w:rPr>
      </w:pPr>
      <w:r w:rsidRPr="00F97235">
        <w:rPr>
          <w:rFonts w:ascii="Times New Roman" w:hAnsi="Times New Roman" w:cs="Times New Roman"/>
          <w:sz w:val="20"/>
          <w:szCs w:val="20"/>
        </w:rPr>
        <w:t>High and complex side-effect profiles</w:t>
      </w:r>
    </w:p>
    <w:p w14:paraId="08CCC1AE" w14:textId="77777777" w:rsidR="00F97235" w:rsidRPr="00F97235" w:rsidRDefault="00F97235" w:rsidP="00F97235">
      <w:pPr>
        <w:numPr>
          <w:ilvl w:val="0"/>
          <w:numId w:val="34"/>
        </w:numPr>
        <w:spacing w:line="240" w:lineRule="auto"/>
        <w:rPr>
          <w:rFonts w:ascii="Times New Roman" w:hAnsi="Times New Roman" w:cs="Times New Roman"/>
          <w:sz w:val="20"/>
          <w:szCs w:val="20"/>
        </w:rPr>
      </w:pPr>
      <w:r w:rsidRPr="00F97235">
        <w:rPr>
          <w:rFonts w:ascii="Times New Roman" w:hAnsi="Times New Roman" w:cs="Times New Roman"/>
          <w:sz w:val="20"/>
          <w:szCs w:val="20"/>
        </w:rPr>
        <w:lastRenderedPageBreak/>
        <w:t>Difficult-to-manage chronic disease progression</w:t>
      </w:r>
    </w:p>
    <w:p w14:paraId="322EDE71" w14:textId="77777777" w:rsidR="00F97235" w:rsidRPr="00F97235" w:rsidRDefault="00F97235" w:rsidP="00F97235">
      <w:pPr>
        <w:numPr>
          <w:ilvl w:val="0"/>
          <w:numId w:val="34"/>
        </w:numPr>
        <w:spacing w:line="240" w:lineRule="auto"/>
        <w:rPr>
          <w:rFonts w:ascii="Times New Roman" w:hAnsi="Times New Roman" w:cs="Times New Roman"/>
          <w:sz w:val="20"/>
          <w:szCs w:val="20"/>
        </w:rPr>
      </w:pPr>
      <w:r w:rsidRPr="00F97235">
        <w:rPr>
          <w:rFonts w:ascii="Times New Roman" w:hAnsi="Times New Roman" w:cs="Times New Roman"/>
          <w:sz w:val="20"/>
          <w:szCs w:val="20"/>
        </w:rPr>
        <w:t>High variability in individual response</w:t>
      </w:r>
    </w:p>
    <w:p w14:paraId="4B1871A9" w14:textId="77777777" w:rsidR="00F97235" w:rsidRPr="00F97235" w:rsidRDefault="00F97235" w:rsidP="00F97235">
      <w:pPr>
        <w:numPr>
          <w:ilvl w:val="0"/>
          <w:numId w:val="34"/>
        </w:numPr>
        <w:spacing w:line="240" w:lineRule="auto"/>
        <w:rPr>
          <w:rFonts w:ascii="Times New Roman" w:hAnsi="Times New Roman" w:cs="Times New Roman"/>
          <w:sz w:val="20"/>
          <w:szCs w:val="20"/>
        </w:rPr>
      </w:pPr>
      <w:r w:rsidRPr="00F97235">
        <w:rPr>
          <w:rFonts w:ascii="Times New Roman" w:hAnsi="Times New Roman" w:cs="Times New Roman"/>
          <w:sz w:val="20"/>
          <w:szCs w:val="20"/>
        </w:rPr>
        <w:t>Lower perceived day-to-day effectiveness</w:t>
      </w:r>
    </w:p>
    <w:p w14:paraId="03CD4DB8"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Notably, some classes (e.g., antidiabetics) have strong clinical value but lower user-reported satisfaction, highlighting a mismatch between clinical efficacy and patient experience.</w:t>
      </w:r>
    </w:p>
    <w:p w14:paraId="743D1D8E" w14:textId="5CA860BD"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Strategic Insight:</w:t>
      </w:r>
      <w:r w:rsidRPr="00F97235">
        <w:rPr>
          <w:rFonts w:ascii="Times New Roman" w:hAnsi="Times New Roman" w:cs="Times New Roman"/>
          <w:sz w:val="20"/>
          <w:szCs w:val="20"/>
        </w:rPr>
        <w:br/>
        <w:t>Focus should be on side-effect mitigation, precision-medicine positioning, and patient-support programs rather than pure efficacy claims.</w:t>
      </w:r>
    </w:p>
    <w:p w14:paraId="67A3B390"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E.2 Strategic Implications for Market Positioning</w:t>
      </w:r>
    </w:p>
    <w:p w14:paraId="0E2C9992"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1. R&amp;D Allocation Recommendations</w:t>
      </w:r>
    </w:p>
    <w:p w14:paraId="600C2BFC" w14:textId="77777777" w:rsidR="00F97235" w:rsidRPr="00F97235" w:rsidRDefault="00F97235" w:rsidP="00F97235">
      <w:pPr>
        <w:numPr>
          <w:ilvl w:val="0"/>
          <w:numId w:val="35"/>
        </w:numPr>
        <w:spacing w:line="240" w:lineRule="auto"/>
        <w:rPr>
          <w:rFonts w:ascii="Times New Roman" w:hAnsi="Times New Roman" w:cs="Times New Roman"/>
          <w:sz w:val="20"/>
          <w:szCs w:val="20"/>
        </w:rPr>
      </w:pPr>
      <w:r w:rsidRPr="00F97235">
        <w:rPr>
          <w:rFonts w:ascii="Times New Roman" w:hAnsi="Times New Roman" w:cs="Times New Roman"/>
          <w:sz w:val="20"/>
          <w:szCs w:val="20"/>
        </w:rPr>
        <w:t>Increase investment in high-scoring therapeutic classes</w:t>
      </w:r>
      <w:r w:rsidRPr="00F97235">
        <w:rPr>
          <w:rFonts w:ascii="Times New Roman" w:hAnsi="Times New Roman" w:cs="Times New Roman"/>
          <w:sz w:val="20"/>
          <w:szCs w:val="20"/>
        </w:rPr>
        <w:br/>
        <w:t>These categories provide the strongest probability of commercial success, adherence, and durable growth.</w:t>
      </w:r>
    </w:p>
    <w:p w14:paraId="4E005A5B" w14:textId="77777777" w:rsidR="00F97235" w:rsidRPr="00F97235" w:rsidRDefault="00F97235" w:rsidP="00F97235">
      <w:pPr>
        <w:numPr>
          <w:ilvl w:val="0"/>
          <w:numId w:val="35"/>
        </w:numPr>
        <w:spacing w:line="240" w:lineRule="auto"/>
        <w:rPr>
          <w:rFonts w:ascii="Times New Roman" w:hAnsi="Times New Roman" w:cs="Times New Roman"/>
          <w:sz w:val="20"/>
          <w:szCs w:val="20"/>
        </w:rPr>
      </w:pPr>
      <w:r w:rsidRPr="00F97235">
        <w:rPr>
          <w:rFonts w:ascii="Times New Roman" w:hAnsi="Times New Roman" w:cs="Times New Roman"/>
          <w:sz w:val="20"/>
          <w:szCs w:val="20"/>
        </w:rPr>
        <w:t>Reinvest in mid-performing classes via formulation innovation</w:t>
      </w:r>
      <w:r w:rsidRPr="00F97235">
        <w:rPr>
          <w:rFonts w:ascii="Times New Roman" w:hAnsi="Times New Roman" w:cs="Times New Roman"/>
          <w:sz w:val="20"/>
          <w:szCs w:val="20"/>
        </w:rPr>
        <w:br/>
        <w:t>Many mid-tier categories can meaningfully improve satisfaction through delivery improvements (e.g., once-daily dosing, less irritation, fewer GI effects).</w:t>
      </w:r>
    </w:p>
    <w:p w14:paraId="0B7B81E0" w14:textId="48C2E6DA" w:rsidR="00F97235" w:rsidRPr="00F97235" w:rsidRDefault="00F97235" w:rsidP="00F97235">
      <w:pPr>
        <w:numPr>
          <w:ilvl w:val="0"/>
          <w:numId w:val="35"/>
        </w:numPr>
        <w:spacing w:line="240" w:lineRule="auto"/>
        <w:rPr>
          <w:rFonts w:ascii="Times New Roman" w:hAnsi="Times New Roman" w:cs="Times New Roman"/>
          <w:sz w:val="20"/>
          <w:szCs w:val="20"/>
        </w:rPr>
      </w:pPr>
      <w:r w:rsidRPr="00F97235">
        <w:rPr>
          <w:rFonts w:ascii="Times New Roman" w:hAnsi="Times New Roman" w:cs="Times New Roman"/>
          <w:sz w:val="20"/>
          <w:szCs w:val="20"/>
        </w:rPr>
        <w:t>Apply risk-controlled innovation to low-performers</w:t>
      </w:r>
      <w:r w:rsidRPr="00F97235">
        <w:rPr>
          <w:rFonts w:ascii="Times New Roman" w:hAnsi="Times New Roman" w:cs="Times New Roman"/>
          <w:sz w:val="20"/>
          <w:szCs w:val="20"/>
        </w:rPr>
        <w:br/>
        <w:t>Targeted investments should focus on reducing side-effect burden or developing new patient sub-segments.</w:t>
      </w:r>
    </w:p>
    <w:p w14:paraId="1C3212B8"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2. Commercial Strategy Recommendations</w:t>
      </w:r>
    </w:p>
    <w:p w14:paraId="4804D3FE" w14:textId="77777777" w:rsidR="00F97235" w:rsidRPr="00F97235" w:rsidRDefault="00F97235" w:rsidP="00F97235">
      <w:pPr>
        <w:numPr>
          <w:ilvl w:val="0"/>
          <w:numId w:val="36"/>
        </w:numPr>
        <w:spacing w:line="240" w:lineRule="auto"/>
        <w:rPr>
          <w:rFonts w:ascii="Times New Roman" w:hAnsi="Times New Roman" w:cs="Times New Roman"/>
          <w:sz w:val="20"/>
          <w:szCs w:val="20"/>
        </w:rPr>
      </w:pPr>
      <w:r w:rsidRPr="00F97235">
        <w:rPr>
          <w:rFonts w:ascii="Times New Roman" w:hAnsi="Times New Roman" w:cs="Times New Roman"/>
          <w:sz w:val="20"/>
          <w:szCs w:val="20"/>
        </w:rPr>
        <w:t>OTC / Rx-OTC channels outperform Rx-only drugs in satisfaction</w:t>
      </w:r>
      <w:r w:rsidRPr="00F97235">
        <w:rPr>
          <w:rFonts w:ascii="Times New Roman" w:hAnsi="Times New Roman" w:cs="Times New Roman"/>
          <w:sz w:val="20"/>
          <w:szCs w:val="20"/>
        </w:rPr>
        <w:br/>
        <w:t xml:space="preserve">→ Consider </w:t>
      </w:r>
      <w:r w:rsidRPr="00F97235">
        <w:rPr>
          <w:rFonts w:ascii="Times New Roman" w:hAnsi="Times New Roman" w:cs="Times New Roman"/>
          <w:i/>
          <w:iCs/>
          <w:sz w:val="20"/>
          <w:szCs w:val="20"/>
        </w:rPr>
        <w:t>switch strategies</w:t>
      </w:r>
      <w:r w:rsidRPr="00F97235">
        <w:rPr>
          <w:rFonts w:ascii="Times New Roman" w:hAnsi="Times New Roman" w:cs="Times New Roman"/>
          <w:sz w:val="20"/>
          <w:szCs w:val="20"/>
        </w:rPr>
        <w:t>, DTC marketing, and broadened retail distribution.</w:t>
      </w:r>
    </w:p>
    <w:p w14:paraId="7C45851F" w14:textId="77777777" w:rsidR="00F97235" w:rsidRPr="00F97235" w:rsidRDefault="00F97235" w:rsidP="00F97235">
      <w:pPr>
        <w:numPr>
          <w:ilvl w:val="0"/>
          <w:numId w:val="36"/>
        </w:numPr>
        <w:spacing w:line="240" w:lineRule="auto"/>
        <w:rPr>
          <w:rFonts w:ascii="Times New Roman" w:hAnsi="Times New Roman" w:cs="Times New Roman"/>
          <w:sz w:val="20"/>
          <w:szCs w:val="20"/>
        </w:rPr>
      </w:pPr>
      <w:r w:rsidRPr="00F97235">
        <w:rPr>
          <w:rFonts w:ascii="Times New Roman" w:hAnsi="Times New Roman" w:cs="Times New Roman"/>
          <w:sz w:val="20"/>
          <w:szCs w:val="20"/>
        </w:rPr>
        <w:t>Pregnancy category strongly correlates with user trust</w:t>
      </w:r>
      <w:r w:rsidRPr="00F97235">
        <w:rPr>
          <w:rFonts w:ascii="Times New Roman" w:hAnsi="Times New Roman" w:cs="Times New Roman"/>
          <w:sz w:val="20"/>
          <w:szCs w:val="20"/>
        </w:rPr>
        <w:br/>
        <w:t>→ Improve labeling clarity, provide physician education, and enhance safety messaging.</w:t>
      </w:r>
    </w:p>
    <w:p w14:paraId="2E36B723" w14:textId="14135A1C" w:rsidR="00F97235" w:rsidRPr="00F97235" w:rsidRDefault="00F97235" w:rsidP="00F97235">
      <w:pPr>
        <w:numPr>
          <w:ilvl w:val="0"/>
          <w:numId w:val="36"/>
        </w:numPr>
        <w:spacing w:line="240" w:lineRule="auto"/>
        <w:rPr>
          <w:rFonts w:ascii="Times New Roman" w:hAnsi="Times New Roman" w:cs="Times New Roman"/>
          <w:sz w:val="20"/>
          <w:szCs w:val="20"/>
        </w:rPr>
      </w:pPr>
      <w:r w:rsidRPr="00F97235">
        <w:rPr>
          <w:rFonts w:ascii="Times New Roman" w:hAnsi="Times New Roman" w:cs="Times New Roman"/>
          <w:sz w:val="20"/>
          <w:szCs w:val="20"/>
        </w:rPr>
        <w:t>High side-effect categories require repositioning</w:t>
      </w:r>
      <w:r w:rsidRPr="00F97235">
        <w:rPr>
          <w:rFonts w:ascii="Times New Roman" w:hAnsi="Times New Roman" w:cs="Times New Roman"/>
          <w:sz w:val="20"/>
          <w:szCs w:val="20"/>
        </w:rPr>
        <w:br/>
        <w:t xml:space="preserve">→ Shift focus </w:t>
      </w:r>
      <w:proofErr w:type="gramStart"/>
      <w:r w:rsidRPr="00F97235">
        <w:rPr>
          <w:rFonts w:ascii="Times New Roman" w:hAnsi="Times New Roman" w:cs="Times New Roman"/>
          <w:sz w:val="20"/>
          <w:szCs w:val="20"/>
        </w:rPr>
        <w:t>toward</w:t>
      </w:r>
      <w:proofErr w:type="gramEnd"/>
      <w:r w:rsidRPr="00F97235">
        <w:rPr>
          <w:rFonts w:ascii="Times New Roman" w:hAnsi="Times New Roman" w:cs="Times New Roman"/>
          <w:sz w:val="20"/>
          <w:szCs w:val="20"/>
        </w:rPr>
        <w:t xml:space="preserve"> </w:t>
      </w:r>
      <w:r w:rsidRPr="00F97235">
        <w:rPr>
          <w:rFonts w:ascii="Times New Roman" w:hAnsi="Times New Roman" w:cs="Times New Roman"/>
          <w:i/>
          <w:iCs/>
          <w:sz w:val="20"/>
          <w:szCs w:val="20"/>
        </w:rPr>
        <w:t>specialized populations</w:t>
      </w:r>
      <w:r w:rsidRPr="00F97235">
        <w:rPr>
          <w:rFonts w:ascii="Times New Roman" w:hAnsi="Times New Roman" w:cs="Times New Roman"/>
          <w:sz w:val="20"/>
          <w:szCs w:val="20"/>
        </w:rPr>
        <w:t>, risk-benefit framing, or combination therapy strategies.</w:t>
      </w:r>
    </w:p>
    <w:p w14:paraId="041C98BA"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3. Target Population Optimization</w:t>
      </w:r>
    </w:p>
    <w:p w14:paraId="581BD755"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Model results highlight categories where success is driven by specific patient subgroups.</w:t>
      </w:r>
      <w:r w:rsidRPr="00F97235">
        <w:rPr>
          <w:rFonts w:ascii="Times New Roman" w:hAnsi="Times New Roman" w:cs="Times New Roman"/>
          <w:sz w:val="20"/>
          <w:szCs w:val="20"/>
        </w:rPr>
        <w:br/>
        <w:t>Examples:</w:t>
      </w:r>
    </w:p>
    <w:p w14:paraId="3F20C7D2" w14:textId="77777777" w:rsidR="00F97235" w:rsidRPr="00F97235" w:rsidRDefault="00F97235" w:rsidP="00F97235">
      <w:pPr>
        <w:numPr>
          <w:ilvl w:val="0"/>
          <w:numId w:val="37"/>
        </w:numPr>
        <w:spacing w:line="240" w:lineRule="auto"/>
        <w:rPr>
          <w:rFonts w:ascii="Times New Roman" w:hAnsi="Times New Roman" w:cs="Times New Roman"/>
          <w:sz w:val="20"/>
          <w:szCs w:val="20"/>
        </w:rPr>
      </w:pPr>
      <w:r w:rsidRPr="00F97235">
        <w:rPr>
          <w:rFonts w:ascii="Times New Roman" w:hAnsi="Times New Roman" w:cs="Times New Roman"/>
          <w:sz w:val="20"/>
          <w:szCs w:val="20"/>
        </w:rPr>
        <w:t>CNS &amp; psychiatric classes: Better fit younger adherence-motivated populations</w:t>
      </w:r>
    </w:p>
    <w:p w14:paraId="679EAB5D" w14:textId="77777777" w:rsidR="00F97235" w:rsidRPr="00F97235" w:rsidRDefault="00F97235" w:rsidP="00F97235">
      <w:pPr>
        <w:numPr>
          <w:ilvl w:val="0"/>
          <w:numId w:val="37"/>
        </w:numPr>
        <w:spacing w:line="240" w:lineRule="auto"/>
        <w:rPr>
          <w:rFonts w:ascii="Times New Roman" w:hAnsi="Times New Roman" w:cs="Times New Roman"/>
          <w:sz w:val="20"/>
          <w:szCs w:val="20"/>
        </w:rPr>
      </w:pPr>
      <w:r w:rsidRPr="00F97235">
        <w:rPr>
          <w:rFonts w:ascii="Times New Roman" w:hAnsi="Times New Roman" w:cs="Times New Roman"/>
          <w:sz w:val="20"/>
          <w:szCs w:val="20"/>
        </w:rPr>
        <w:t>Topical agents: Stronger adoption among cosmetic-concerned consumers</w:t>
      </w:r>
    </w:p>
    <w:p w14:paraId="4D20F416" w14:textId="77777777" w:rsidR="00F97235" w:rsidRPr="00F97235" w:rsidRDefault="00F97235" w:rsidP="00F97235">
      <w:pPr>
        <w:numPr>
          <w:ilvl w:val="0"/>
          <w:numId w:val="37"/>
        </w:numPr>
        <w:spacing w:line="240" w:lineRule="auto"/>
        <w:rPr>
          <w:rFonts w:ascii="Times New Roman" w:hAnsi="Times New Roman" w:cs="Times New Roman"/>
          <w:sz w:val="20"/>
          <w:szCs w:val="20"/>
        </w:rPr>
      </w:pPr>
      <w:r w:rsidRPr="00F97235">
        <w:rPr>
          <w:rFonts w:ascii="Times New Roman" w:hAnsi="Times New Roman" w:cs="Times New Roman"/>
          <w:sz w:val="20"/>
          <w:szCs w:val="20"/>
        </w:rPr>
        <w:t>PPIs / anti-reflux drugs: Broad adult population, strong repeat-purchase patterns</w:t>
      </w:r>
    </w:p>
    <w:p w14:paraId="47DE9BC5" w14:textId="57D4BC26"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Optimizing segmentation improves both market efficiency and lifetime value (LTV).</w:t>
      </w:r>
    </w:p>
    <w:p w14:paraId="420AB5C0"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lastRenderedPageBreak/>
        <w:t>E.3 Portfolio Optimization Insights</w:t>
      </w:r>
    </w:p>
    <w:p w14:paraId="2FEB50C8"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1. Pipeline Expansion</w:t>
      </w:r>
    </w:p>
    <w:p w14:paraId="7186CDD0"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High-performing drug classes serve as ideal candidates for:</w:t>
      </w:r>
    </w:p>
    <w:p w14:paraId="5B929780" w14:textId="77777777" w:rsidR="00F97235" w:rsidRPr="00F97235" w:rsidRDefault="00F97235" w:rsidP="00F97235">
      <w:pPr>
        <w:numPr>
          <w:ilvl w:val="0"/>
          <w:numId w:val="38"/>
        </w:numPr>
        <w:spacing w:line="240" w:lineRule="auto"/>
        <w:rPr>
          <w:rFonts w:ascii="Times New Roman" w:hAnsi="Times New Roman" w:cs="Times New Roman"/>
          <w:sz w:val="20"/>
          <w:szCs w:val="20"/>
        </w:rPr>
      </w:pPr>
      <w:r w:rsidRPr="00F97235">
        <w:rPr>
          <w:rFonts w:ascii="Times New Roman" w:hAnsi="Times New Roman" w:cs="Times New Roman"/>
          <w:sz w:val="20"/>
          <w:szCs w:val="20"/>
        </w:rPr>
        <w:t>New formulation launches</w:t>
      </w:r>
    </w:p>
    <w:p w14:paraId="21CAFBC5" w14:textId="77777777" w:rsidR="00F97235" w:rsidRPr="00F97235" w:rsidRDefault="00F97235" w:rsidP="00F97235">
      <w:pPr>
        <w:numPr>
          <w:ilvl w:val="0"/>
          <w:numId w:val="38"/>
        </w:numPr>
        <w:spacing w:line="240" w:lineRule="auto"/>
        <w:rPr>
          <w:rFonts w:ascii="Times New Roman" w:hAnsi="Times New Roman" w:cs="Times New Roman"/>
          <w:sz w:val="20"/>
          <w:szCs w:val="20"/>
        </w:rPr>
      </w:pPr>
      <w:r w:rsidRPr="00F97235">
        <w:rPr>
          <w:rFonts w:ascii="Times New Roman" w:hAnsi="Times New Roman" w:cs="Times New Roman"/>
          <w:sz w:val="20"/>
          <w:szCs w:val="20"/>
        </w:rPr>
        <w:t>Regional expansion</w:t>
      </w:r>
    </w:p>
    <w:p w14:paraId="0329681F" w14:textId="77777777" w:rsidR="00F97235" w:rsidRPr="00F97235" w:rsidRDefault="00F97235" w:rsidP="00F97235">
      <w:pPr>
        <w:numPr>
          <w:ilvl w:val="0"/>
          <w:numId w:val="38"/>
        </w:numPr>
        <w:spacing w:line="240" w:lineRule="auto"/>
        <w:rPr>
          <w:rFonts w:ascii="Times New Roman" w:hAnsi="Times New Roman" w:cs="Times New Roman"/>
          <w:sz w:val="20"/>
          <w:szCs w:val="20"/>
        </w:rPr>
      </w:pPr>
      <w:r w:rsidRPr="00F97235">
        <w:rPr>
          <w:rFonts w:ascii="Times New Roman" w:hAnsi="Times New Roman" w:cs="Times New Roman"/>
          <w:sz w:val="20"/>
          <w:szCs w:val="20"/>
        </w:rPr>
        <w:t>Lifecycle management strategies (ER versions, pediatric variants)</w:t>
      </w:r>
    </w:p>
    <w:p w14:paraId="668C1F89"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2. Lifecycle Strategy for Mid-Performers</w:t>
      </w:r>
    </w:p>
    <w:p w14:paraId="28A2C668"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Mid-scoring therapeutic areas benefit most from:</w:t>
      </w:r>
    </w:p>
    <w:p w14:paraId="07A24306" w14:textId="77777777" w:rsidR="00F97235" w:rsidRPr="00F97235" w:rsidRDefault="00F97235" w:rsidP="00F97235">
      <w:pPr>
        <w:numPr>
          <w:ilvl w:val="0"/>
          <w:numId w:val="39"/>
        </w:numPr>
        <w:spacing w:line="240" w:lineRule="auto"/>
        <w:rPr>
          <w:rFonts w:ascii="Times New Roman" w:hAnsi="Times New Roman" w:cs="Times New Roman"/>
          <w:sz w:val="20"/>
          <w:szCs w:val="20"/>
        </w:rPr>
      </w:pPr>
      <w:r w:rsidRPr="00F97235">
        <w:rPr>
          <w:rFonts w:ascii="Times New Roman" w:hAnsi="Times New Roman" w:cs="Times New Roman"/>
          <w:sz w:val="20"/>
          <w:szCs w:val="20"/>
        </w:rPr>
        <w:t>Switching from Rx to OTC</w:t>
      </w:r>
    </w:p>
    <w:p w14:paraId="76F1FC57" w14:textId="77777777" w:rsidR="00F97235" w:rsidRPr="00F97235" w:rsidRDefault="00F97235" w:rsidP="00F97235">
      <w:pPr>
        <w:numPr>
          <w:ilvl w:val="0"/>
          <w:numId w:val="39"/>
        </w:numPr>
        <w:spacing w:line="240" w:lineRule="auto"/>
        <w:rPr>
          <w:rFonts w:ascii="Times New Roman" w:hAnsi="Times New Roman" w:cs="Times New Roman"/>
          <w:sz w:val="20"/>
          <w:szCs w:val="20"/>
        </w:rPr>
      </w:pPr>
      <w:r w:rsidRPr="00F97235">
        <w:rPr>
          <w:rFonts w:ascii="Times New Roman" w:hAnsi="Times New Roman" w:cs="Times New Roman"/>
          <w:sz w:val="20"/>
          <w:szCs w:val="20"/>
        </w:rPr>
        <w:t>Co-packaging</w:t>
      </w:r>
    </w:p>
    <w:p w14:paraId="3C6A9A87" w14:textId="77777777" w:rsidR="00F97235" w:rsidRPr="00F97235" w:rsidRDefault="00F97235" w:rsidP="00F97235">
      <w:pPr>
        <w:numPr>
          <w:ilvl w:val="0"/>
          <w:numId w:val="39"/>
        </w:numPr>
        <w:spacing w:line="240" w:lineRule="auto"/>
        <w:rPr>
          <w:rFonts w:ascii="Times New Roman" w:hAnsi="Times New Roman" w:cs="Times New Roman"/>
          <w:sz w:val="20"/>
          <w:szCs w:val="20"/>
        </w:rPr>
      </w:pPr>
      <w:r w:rsidRPr="00F97235">
        <w:rPr>
          <w:rFonts w:ascii="Times New Roman" w:hAnsi="Times New Roman" w:cs="Times New Roman"/>
          <w:sz w:val="20"/>
          <w:szCs w:val="20"/>
        </w:rPr>
        <w:t>Long-acting formulations</w:t>
      </w:r>
    </w:p>
    <w:p w14:paraId="60B70FB9" w14:textId="77777777" w:rsidR="00F97235" w:rsidRPr="00F97235" w:rsidRDefault="00F97235" w:rsidP="00F97235">
      <w:pPr>
        <w:numPr>
          <w:ilvl w:val="0"/>
          <w:numId w:val="39"/>
        </w:numPr>
        <w:spacing w:line="240" w:lineRule="auto"/>
        <w:rPr>
          <w:rFonts w:ascii="Times New Roman" w:hAnsi="Times New Roman" w:cs="Times New Roman"/>
          <w:sz w:val="20"/>
          <w:szCs w:val="20"/>
        </w:rPr>
      </w:pPr>
      <w:r w:rsidRPr="00F97235">
        <w:rPr>
          <w:rFonts w:ascii="Times New Roman" w:hAnsi="Times New Roman" w:cs="Times New Roman"/>
          <w:sz w:val="20"/>
          <w:szCs w:val="20"/>
        </w:rPr>
        <w:t>Adherence &amp; patient-support solutions</w:t>
      </w:r>
    </w:p>
    <w:p w14:paraId="69E30E83"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These interventions directly improve the factors our models identify as success drivers.</w:t>
      </w:r>
    </w:p>
    <w:p w14:paraId="46B09D6B"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3. Risk-Mitigation for Low-Performers</w:t>
      </w:r>
    </w:p>
    <w:p w14:paraId="0093E5F2"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For classes penalized by side effects or safety concerns:</w:t>
      </w:r>
    </w:p>
    <w:p w14:paraId="44E920BF" w14:textId="77777777" w:rsidR="00F97235" w:rsidRPr="00F97235" w:rsidRDefault="00F97235" w:rsidP="00F97235">
      <w:pPr>
        <w:numPr>
          <w:ilvl w:val="0"/>
          <w:numId w:val="40"/>
        </w:numPr>
        <w:spacing w:line="240" w:lineRule="auto"/>
        <w:rPr>
          <w:rFonts w:ascii="Times New Roman" w:hAnsi="Times New Roman" w:cs="Times New Roman"/>
          <w:sz w:val="20"/>
          <w:szCs w:val="20"/>
        </w:rPr>
      </w:pPr>
      <w:r w:rsidRPr="00F97235">
        <w:rPr>
          <w:rFonts w:ascii="Times New Roman" w:hAnsi="Times New Roman" w:cs="Times New Roman"/>
          <w:sz w:val="20"/>
          <w:szCs w:val="20"/>
        </w:rPr>
        <w:t>Deploy risk-benefit education</w:t>
      </w:r>
    </w:p>
    <w:p w14:paraId="3E9A2331" w14:textId="77777777" w:rsidR="00F97235" w:rsidRPr="00F97235" w:rsidRDefault="00F97235" w:rsidP="00F97235">
      <w:pPr>
        <w:numPr>
          <w:ilvl w:val="0"/>
          <w:numId w:val="40"/>
        </w:numPr>
        <w:spacing w:line="240" w:lineRule="auto"/>
        <w:rPr>
          <w:rFonts w:ascii="Times New Roman" w:hAnsi="Times New Roman" w:cs="Times New Roman"/>
          <w:sz w:val="20"/>
          <w:szCs w:val="20"/>
        </w:rPr>
      </w:pPr>
      <w:r w:rsidRPr="00F97235">
        <w:rPr>
          <w:rFonts w:ascii="Times New Roman" w:hAnsi="Times New Roman" w:cs="Times New Roman"/>
          <w:sz w:val="20"/>
          <w:szCs w:val="20"/>
        </w:rPr>
        <w:t>Tighten monitoring strategies</w:t>
      </w:r>
    </w:p>
    <w:p w14:paraId="3A44F202" w14:textId="77777777" w:rsidR="00F97235" w:rsidRPr="00F97235" w:rsidRDefault="00F97235" w:rsidP="00F97235">
      <w:pPr>
        <w:numPr>
          <w:ilvl w:val="0"/>
          <w:numId w:val="40"/>
        </w:numPr>
        <w:spacing w:line="240" w:lineRule="auto"/>
        <w:rPr>
          <w:rFonts w:ascii="Times New Roman" w:hAnsi="Times New Roman" w:cs="Times New Roman"/>
          <w:sz w:val="20"/>
          <w:szCs w:val="20"/>
        </w:rPr>
      </w:pPr>
      <w:r w:rsidRPr="00F97235">
        <w:rPr>
          <w:rFonts w:ascii="Times New Roman" w:hAnsi="Times New Roman" w:cs="Times New Roman"/>
          <w:sz w:val="20"/>
          <w:szCs w:val="20"/>
        </w:rPr>
        <w:t>Emphasize niche population efficacy</w:t>
      </w:r>
    </w:p>
    <w:p w14:paraId="146DFDFA" w14:textId="4C53B215" w:rsidR="00F97235" w:rsidRPr="00F97235" w:rsidRDefault="00F97235" w:rsidP="00F97235">
      <w:pPr>
        <w:numPr>
          <w:ilvl w:val="0"/>
          <w:numId w:val="40"/>
        </w:numPr>
        <w:spacing w:line="240" w:lineRule="auto"/>
        <w:rPr>
          <w:rFonts w:ascii="Times New Roman" w:hAnsi="Times New Roman" w:cs="Times New Roman"/>
          <w:sz w:val="20"/>
          <w:szCs w:val="20"/>
        </w:rPr>
      </w:pPr>
      <w:r w:rsidRPr="00F97235">
        <w:rPr>
          <w:rFonts w:ascii="Times New Roman" w:hAnsi="Times New Roman" w:cs="Times New Roman"/>
          <w:sz w:val="20"/>
          <w:szCs w:val="20"/>
        </w:rPr>
        <w:t>Consider partnership-based R&amp;D rather than internal investment</w:t>
      </w:r>
    </w:p>
    <w:p w14:paraId="5C11182B" w14:textId="77777777" w:rsidR="00F97235" w:rsidRPr="00F97235" w:rsidRDefault="00F97235" w:rsidP="00F97235">
      <w:pPr>
        <w:spacing w:line="240" w:lineRule="auto"/>
        <w:rPr>
          <w:rFonts w:ascii="Times New Roman" w:hAnsi="Times New Roman" w:cs="Times New Roman"/>
          <w:b/>
          <w:bCs/>
          <w:szCs w:val="22"/>
        </w:rPr>
      </w:pPr>
      <w:r w:rsidRPr="00F97235">
        <w:rPr>
          <w:rFonts w:ascii="Times New Roman" w:hAnsi="Times New Roman" w:cs="Times New Roman"/>
          <w:b/>
          <w:bCs/>
          <w:szCs w:val="22"/>
        </w:rPr>
        <w:t>Appendix F — DCF Integration Framework (Phase 2)</w:t>
      </w:r>
    </w:p>
    <w:p w14:paraId="3E59D001" w14:textId="556D4586"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F.1 Structure of the DCF Model</w:t>
      </w:r>
    </w:p>
    <w:p w14:paraId="168D7C80"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Our Phase-2 financial model incorporates machine-learning predictions directly into core valuation components:</w:t>
      </w:r>
    </w:p>
    <w:p w14:paraId="4CEDEE93"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Revenue Model</w:t>
      </w:r>
    </w:p>
    <w:p w14:paraId="45C5893D" w14:textId="77777777" w:rsidR="000B582F" w:rsidRDefault="000B582F" w:rsidP="00F97235">
      <w:pPr>
        <w:spacing w:line="240" w:lineRule="auto"/>
        <w:rPr>
          <w:rFonts w:ascii="Times New Roman" w:hAnsi="Times New Roman" w:cs="Times New Roman"/>
          <w:sz w:val="20"/>
          <w:szCs w:val="20"/>
        </w:rPr>
      </w:pPr>
      <w:r w:rsidRPr="000B582F">
        <w:rPr>
          <w:rFonts w:ascii="Times New Roman" w:hAnsi="Times New Roman" w:cs="Times New Roman"/>
          <w:sz w:val="20"/>
          <w:szCs w:val="20"/>
        </w:rPr>
        <w:t>Revenue=</w:t>
      </w:r>
      <w:proofErr w:type="spellStart"/>
      <w:r w:rsidRPr="000B582F">
        <w:rPr>
          <w:rFonts w:ascii="Times New Roman" w:hAnsi="Times New Roman" w:cs="Times New Roman"/>
          <w:sz w:val="20"/>
          <w:szCs w:val="20"/>
        </w:rPr>
        <w:t>Uptake×Price×Adherence</w:t>
      </w:r>
      <w:proofErr w:type="spellEnd"/>
    </w:p>
    <w:p w14:paraId="470F474A" w14:textId="28A7BB34"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Where:</w:t>
      </w:r>
    </w:p>
    <w:p w14:paraId="20553CDB" w14:textId="4480AEC1" w:rsidR="000B582F" w:rsidRPr="000B582F" w:rsidRDefault="00F97235" w:rsidP="000B582F">
      <w:pPr>
        <w:numPr>
          <w:ilvl w:val="0"/>
          <w:numId w:val="41"/>
        </w:numPr>
        <w:spacing w:line="240" w:lineRule="auto"/>
        <w:rPr>
          <w:rFonts w:ascii="Times New Roman" w:hAnsi="Times New Roman" w:cs="Times New Roman"/>
          <w:sz w:val="20"/>
          <w:szCs w:val="20"/>
        </w:rPr>
      </w:pPr>
      <w:r w:rsidRPr="00F97235">
        <w:rPr>
          <w:rFonts w:ascii="Times New Roman" w:hAnsi="Times New Roman" w:cs="Times New Roman"/>
          <w:sz w:val="20"/>
          <w:szCs w:val="20"/>
        </w:rPr>
        <w:t>Uptake</w:t>
      </w:r>
      <w:r w:rsidR="000B582F">
        <w:rPr>
          <w:rFonts w:ascii="Times New Roman" w:hAnsi="Times New Roman" w:cs="Times New Roman" w:hint="eastAsia"/>
          <w:sz w:val="20"/>
          <w:szCs w:val="20"/>
        </w:rPr>
        <w:t>=</w:t>
      </w:r>
      <w:r w:rsidR="000B582F" w:rsidRPr="000B582F">
        <w:rPr>
          <w:rFonts w:ascii="Times New Roman" w:hAnsi="Times New Roman" w:cs="Times New Roman"/>
          <w:sz w:val="20"/>
          <w:szCs w:val="20"/>
        </w:rPr>
        <w:t>Baseline </w:t>
      </w:r>
      <w:proofErr w:type="spellStart"/>
      <w:r w:rsidR="000B582F" w:rsidRPr="000B582F">
        <w:rPr>
          <w:rFonts w:ascii="Times New Roman" w:hAnsi="Times New Roman" w:cs="Times New Roman"/>
          <w:sz w:val="20"/>
          <w:szCs w:val="20"/>
        </w:rPr>
        <w:t>uptake×RF</w:t>
      </w:r>
      <w:proofErr w:type="spellEnd"/>
      <w:r w:rsidR="000B582F" w:rsidRPr="000B582F">
        <w:rPr>
          <w:rFonts w:ascii="Times New Roman" w:hAnsi="Times New Roman" w:cs="Times New Roman"/>
          <w:sz w:val="20"/>
          <w:szCs w:val="20"/>
        </w:rPr>
        <w:t> Predicted Success Probability</w:t>
      </w:r>
    </w:p>
    <w:p w14:paraId="4D82F4B3" w14:textId="44F5AF5C" w:rsidR="00F97235" w:rsidRPr="00F97235" w:rsidRDefault="00F97235" w:rsidP="00F97235">
      <w:pPr>
        <w:numPr>
          <w:ilvl w:val="0"/>
          <w:numId w:val="41"/>
        </w:numPr>
        <w:spacing w:line="240" w:lineRule="auto"/>
        <w:rPr>
          <w:rFonts w:ascii="Times New Roman" w:hAnsi="Times New Roman" w:cs="Times New Roman"/>
          <w:sz w:val="20"/>
          <w:szCs w:val="20"/>
        </w:rPr>
      </w:pPr>
      <w:r w:rsidRPr="00F97235">
        <w:rPr>
          <w:rFonts w:ascii="Times New Roman" w:hAnsi="Times New Roman" w:cs="Times New Roman"/>
          <w:sz w:val="20"/>
          <w:szCs w:val="20"/>
        </w:rPr>
        <w:t>Price</w:t>
      </w:r>
      <w:r w:rsidRPr="00F97235">
        <w:rPr>
          <w:rFonts w:ascii="Times New Roman" w:hAnsi="Times New Roman" w:cs="Times New Roman"/>
          <w:sz w:val="20"/>
          <w:szCs w:val="20"/>
        </w:rPr>
        <w:br/>
        <w:t>Benchmarked to therapeutic class norms, with optional:</w:t>
      </w:r>
    </w:p>
    <w:p w14:paraId="33F266E5" w14:textId="77777777" w:rsidR="00F97235" w:rsidRPr="00F97235" w:rsidRDefault="00F97235" w:rsidP="00F97235">
      <w:pPr>
        <w:numPr>
          <w:ilvl w:val="1"/>
          <w:numId w:val="41"/>
        </w:numPr>
        <w:spacing w:line="240" w:lineRule="auto"/>
        <w:rPr>
          <w:rFonts w:ascii="Times New Roman" w:hAnsi="Times New Roman" w:cs="Times New Roman"/>
          <w:sz w:val="20"/>
          <w:szCs w:val="20"/>
        </w:rPr>
      </w:pPr>
      <w:r w:rsidRPr="00F97235">
        <w:rPr>
          <w:rFonts w:ascii="Times New Roman" w:hAnsi="Times New Roman" w:cs="Times New Roman"/>
          <w:sz w:val="20"/>
          <w:szCs w:val="20"/>
        </w:rPr>
        <w:t>Rating-based premium</w:t>
      </w:r>
    </w:p>
    <w:p w14:paraId="7562404C" w14:textId="77777777" w:rsidR="00F97235" w:rsidRPr="00F97235" w:rsidRDefault="00F97235" w:rsidP="00F97235">
      <w:pPr>
        <w:numPr>
          <w:ilvl w:val="1"/>
          <w:numId w:val="41"/>
        </w:numPr>
        <w:spacing w:line="240" w:lineRule="auto"/>
        <w:rPr>
          <w:rFonts w:ascii="Times New Roman" w:hAnsi="Times New Roman" w:cs="Times New Roman"/>
          <w:sz w:val="20"/>
          <w:szCs w:val="20"/>
        </w:rPr>
      </w:pPr>
      <w:r w:rsidRPr="00F97235">
        <w:rPr>
          <w:rFonts w:ascii="Times New Roman" w:hAnsi="Times New Roman" w:cs="Times New Roman"/>
          <w:sz w:val="20"/>
          <w:szCs w:val="20"/>
        </w:rPr>
        <w:lastRenderedPageBreak/>
        <w:t>Safety-based discount</w:t>
      </w:r>
    </w:p>
    <w:p w14:paraId="55498D08" w14:textId="77777777" w:rsidR="00F97235" w:rsidRPr="00F97235" w:rsidRDefault="00F97235" w:rsidP="00F97235">
      <w:pPr>
        <w:numPr>
          <w:ilvl w:val="0"/>
          <w:numId w:val="41"/>
        </w:numPr>
        <w:spacing w:line="240" w:lineRule="auto"/>
        <w:rPr>
          <w:rFonts w:ascii="Times New Roman" w:hAnsi="Times New Roman" w:cs="Times New Roman"/>
          <w:sz w:val="20"/>
          <w:szCs w:val="20"/>
        </w:rPr>
      </w:pPr>
      <w:r w:rsidRPr="00F97235">
        <w:rPr>
          <w:rFonts w:ascii="Times New Roman" w:hAnsi="Times New Roman" w:cs="Times New Roman"/>
          <w:sz w:val="20"/>
          <w:szCs w:val="20"/>
        </w:rPr>
        <w:t>Adherence</w:t>
      </w:r>
      <w:r w:rsidRPr="00F97235">
        <w:rPr>
          <w:rFonts w:ascii="Times New Roman" w:hAnsi="Times New Roman" w:cs="Times New Roman"/>
          <w:sz w:val="20"/>
          <w:szCs w:val="20"/>
        </w:rPr>
        <w:br/>
        <w:t>Adjusted by predicted success and side-effect burden.</w:t>
      </w:r>
    </w:p>
    <w:p w14:paraId="01B45BA1"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Cost Structure</w:t>
      </w:r>
    </w:p>
    <w:p w14:paraId="4AD3A9AB" w14:textId="77777777" w:rsidR="00F97235" w:rsidRPr="00F97235" w:rsidRDefault="00F97235" w:rsidP="00F97235">
      <w:pPr>
        <w:spacing w:line="240" w:lineRule="auto"/>
        <w:rPr>
          <w:rFonts w:ascii="Times New Roman" w:hAnsi="Times New Roman" w:cs="Times New Roman"/>
          <w:b/>
          <w:bCs/>
          <w:sz w:val="20"/>
          <w:szCs w:val="20"/>
        </w:rPr>
      </w:pPr>
      <w:r w:rsidRPr="00F97235">
        <w:rPr>
          <w:rFonts w:ascii="Times New Roman" w:hAnsi="Times New Roman" w:cs="Times New Roman"/>
          <w:b/>
          <w:bCs/>
          <w:sz w:val="20"/>
          <w:szCs w:val="20"/>
        </w:rPr>
        <w:t>Cost=COGS+SG&amp;A+R&amp;D amortization</w:t>
      </w:r>
    </w:p>
    <w:p w14:paraId="50AF1AEA" w14:textId="659CC8E3"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Discount Rate</w:t>
      </w:r>
    </w:p>
    <w:p w14:paraId="3DE4EB79" w14:textId="77777777" w:rsidR="00F97235" w:rsidRPr="00F97235" w:rsidRDefault="00F97235" w:rsidP="00F97235">
      <w:pPr>
        <w:spacing w:line="240" w:lineRule="auto"/>
        <w:rPr>
          <w:rFonts w:ascii="Times New Roman" w:hAnsi="Times New Roman" w:cs="Times New Roman"/>
          <w:b/>
          <w:bCs/>
          <w:sz w:val="20"/>
          <w:szCs w:val="20"/>
        </w:rPr>
      </w:pPr>
      <w:r w:rsidRPr="00F97235">
        <w:rPr>
          <w:rFonts w:ascii="Times New Roman" w:hAnsi="Times New Roman" w:cs="Times New Roman"/>
          <w:b/>
          <w:bCs/>
          <w:sz w:val="20"/>
          <w:szCs w:val="20"/>
        </w:rPr>
        <w:t>Risk-adjusted WACC=Base WACC</w:t>
      </w:r>
      <w:proofErr w:type="gramStart"/>
      <w:r w:rsidRPr="00F97235">
        <w:rPr>
          <w:rFonts w:ascii="Times New Roman" w:hAnsi="Times New Roman" w:cs="Times New Roman"/>
          <w:b/>
          <w:bCs/>
          <w:sz w:val="20"/>
          <w:szCs w:val="20"/>
        </w:rPr>
        <w:t>×(</w:t>
      </w:r>
      <w:proofErr w:type="gramEnd"/>
      <w:r w:rsidRPr="00F97235">
        <w:rPr>
          <w:rFonts w:ascii="Times New Roman" w:hAnsi="Times New Roman" w:cs="Times New Roman"/>
          <w:b/>
          <w:bCs/>
          <w:sz w:val="20"/>
          <w:szCs w:val="20"/>
        </w:rPr>
        <w:t>1−Predicted Success Probability)</w:t>
      </w:r>
    </w:p>
    <w:p w14:paraId="0E6017F2" w14:textId="503C8C73"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Higher predicted success → lower risk → lower discount rate → higher valuation.</w:t>
      </w:r>
    </w:p>
    <w:p w14:paraId="17836340"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F.2 How RF Predicted Probabilities Enter the DCF</w:t>
      </w:r>
    </w:p>
    <w:p w14:paraId="26835AE7"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RF probabilities serve three direct functions:</w:t>
      </w:r>
    </w:p>
    <w:p w14:paraId="184322CB"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1. Revenue Uplift Factor</w:t>
      </w:r>
    </w:p>
    <w:p w14:paraId="629A752D"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Higher satisfaction increases:</w:t>
      </w:r>
    </w:p>
    <w:p w14:paraId="5A8E185C" w14:textId="77777777" w:rsidR="00F97235" w:rsidRPr="00F97235" w:rsidRDefault="00F97235" w:rsidP="00F97235">
      <w:pPr>
        <w:numPr>
          <w:ilvl w:val="0"/>
          <w:numId w:val="42"/>
        </w:numPr>
        <w:spacing w:line="240" w:lineRule="auto"/>
        <w:rPr>
          <w:rFonts w:ascii="Times New Roman" w:hAnsi="Times New Roman" w:cs="Times New Roman"/>
          <w:sz w:val="20"/>
          <w:szCs w:val="20"/>
        </w:rPr>
      </w:pPr>
      <w:r w:rsidRPr="00F97235">
        <w:rPr>
          <w:rFonts w:ascii="Times New Roman" w:hAnsi="Times New Roman" w:cs="Times New Roman"/>
          <w:sz w:val="20"/>
          <w:szCs w:val="20"/>
        </w:rPr>
        <w:t>Prescriber likelihood</w:t>
      </w:r>
    </w:p>
    <w:p w14:paraId="18497989" w14:textId="77777777" w:rsidR="00F97235" w:rsidRPr="00F97235" w:rsidRDefault="00F97235" w:rsidP="00F97235">
      <w:pPr>
        <w:numPr>
          <w:ilvl w:val="0"/>
          <w:numId w:val="42"/>
        </w:numPr>
        <w:spacing w:line="240" w:lineRule="auto"/>
        <w:rPr>
          <w:rFonts w:ascii="Times New Roman" w:hAnsi="Times New Roman" w:cs="Times New Roman"/>
          <w:sz w:val="20"/>
          <w:szCs w:val="20"/>
        </w:rPr>
      </w:pPr>
      <w:r w:rsidRPr="00F97235">
        <w:rPr>
          <w:rFonts w:ascii="Times New Roman" w:hAnsi="Times New Roman" w:cs="Times New Roman"/>
          <w:sz w:val="20"/>
          <w:szCs w:val="20"/>
        </w:rPr>
        <w:t>Word-of-mouth adoption</w:t>
      </w:r>
    </w:p>
    <w:p w14:paraId="55C836C3" w14:textId="77777777" w:rsidR="00F97235" w:rsidRPr="00F97235" w:rsidRDefault="00F97235" w:rsidP="00F97235">
      <w:pPr>
        <w:numPr>
          <w:ilvl w:val="0"/>
          <w:numId w:val="42"/>
        </w:numPr>
        <w:spacing w:line="240" w:lineRule="auto"/>
        <w:rPr>
          <w:rFonts w:ascii="Times New Roman" w:hAnsi="Times New Roman" w:cs="Times New Roman"/>
          <w:sz w:val="20"/>
          <w:szCs w:val="20"/>
        </w:rPr>
      </w:pPr>
      <w:r w:rsidRPr="00F97235">
        <w:rPr>
          <w:rFonts w:ascii="Times New Roman" w:hAnsi="Times New Roman" w:cs="Times New Roman"/>
          <w:sz w:val="20"/>
          <w:szCs w:val="20"/>
        </w:rPr>
        <w:t>Market share capture</w:t>
      </w:r>
    </w:p>
    <w:p w14:paraId="2F8FEDD4" w14:textId="7965EFB6"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Integrated as a multiplicative modifier on uptake.</w:t>
      </w:r>
    </w:p>
    <w:p w14:paraId="3FA3A679"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2. Adherence &amp; Churn Adjustment</w:t>
      </w:r>
    </w:p>
    <w:p w14:paraId="04363C3D"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More satisfied users → higher refill rates, lower discontinuation.</w:t>
      </w:r>
      <w:r w:rsidRPr="00F97235">
        <w:rPr>
          <w:rFonts w:ascii="Times New Roman" w:hAnsi="Times New Roman" w:cs="Times New Roman"/>
          <w:sz w:val="20"/>
          <w:szCs w:val="20"/>
        </w:rPr>
        <w:br/>
        <w:t>Modeled through:</w:t>
      </w:r>
    </w:p>
    <w:p w14:paraId="795A3C75" w14:textId="77777777" w:rsidR="00F97235" w:rsidRPr="00F97235" w:rsidRDefault="00F97235" w:rsidP="00F97235">
      <w:pPr>
        <w:spacing w:line="240" w:lineRule="auto"/>
        <w:rPr>
          <w:rFonts w:ascii="Times New Roman" w:hAnsi="Times New Roman" w:cs="Times New Roman"/>
          <w:b/>
          <w:bCs/>
          <w:sz w:val="20"/>
          <w:szCs w:val="20"/>
        </w:rPr>
      </w:pPr>
      <w:r w:rsidRPr="00F97235">
        <w:rPr>
          <w:rFonts w:ascii="Times New Roman" w:hAnsi="Times New Roman" w:cs="Times New Roman"/>
          <w:b/>
          <w:bCs/>
          <w:sz w:val="20"/>
          <w:szCs w:val="20"/>
        </w:rPr>
        <w:t>Adherencet+1​=</w:t>
      </w:r>
      <w:proofErr w:type="spellStart"/>
      <w:r w:rsidRPr="00F97235">
        <w:rPr>
          <w:rFonts w:ascii="Times New Roman" w:hAnsi="Times New Roman" w:cs="Times New Roman"/>
          <w:b/>
          <w:bCs/>
          <w:sz w:val="20"/>
          <w:szCs w:val="20"/>
        </w:rPr>
        <w:t>Adherencet</w:t>
      </w:r>
      <w:proofErr w:type="spellEnd"/>
      <w:r w:rsidRPr="00F97235">
        <w:rPr>
          <w:rFonts w:ascii="Times New Roman" w:hAnsi="Times New Roman" w:cs="Times New Roman"/>
          <w:b/>
          <w:bCs/>
          <w:sz w:val="20"/>
          <w:szCs w:val="20"/>
        </w:rPr>
        <w:t>​</w:t>
      </w:r>
      <w:proofErr w:type="gramStart"/>
      <w:r w:rsidRPr="00F97235">
        <w:rPr>
          <w:rFonts w:ascii="Times New Roman" w:hAnsi="Times New Roman" w:cs="Times New Roman"/>
          <w:b/>
          <w:bCs/>
          <w:sz w:val="20"/>
          <w:szCs w:val="20"/>
        </w:rPr>
        <w:t>×(</w:t>
      </w:r>
      <w:proofErr w:type="gramEnd"/>
      <w:r w:rsidRPr="00F97235">
        <w:rPr>
          <w:rFonts w:ascii="Times New Roman" w:hAnsi="Times New Roman" w:cs="Times New Roman"/>
          <w:b/>
          <w:bCs/>
          <w:sz w:val="20"/>
          <w:szCs w:val="20"/>
        </w:rPr>
        <w:t>1+k</w:t>
      </w:r>
      <w:r w:rsidRPr="00F97235">
        <w:rPr>
          <w:rFonts w:ascii="Cambria Math" w:hAnsi="Cambria Math" w:cs="Cambria Math"/>
          <w:b/>
          <w:bCs/>
          <w:sz w:val="20"/>
          <w:szCs w:val="20"/>
        </w:rPr>
        <w:t>⋅</w:t>
      </w:r>
      <w:r w:rsidRPr="00F97235">
        <w:rPr>
          <w:rFonts w:ascii="Times New Roman" w:hAnsi="Times New Roman" w:cs="Times New Roman"/>
          <w:b/>
          <w:bCs/>
          <w:sz w:val="20"/>
          <w:szCs w:val="20"/>
        </w:rPr>
        <w:t>Predicted Success)</w:t>
      </w:r>
    </w:p>
    <w:p w14:paraId="631357E2" w14:textId="32EE41AC"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3. Risk Adjustment Factor</w:t>
      </w:r>
    </w:p>
    <w:p w14:paraId="781F5C74"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ML-predicted success probability modulates:</w:t>
      </w:r>
    </w:p>
    <w:p w14:paraId="662AC8CC" w14:textId="77777777" w:rsidR="00F97235" w:rsidRPr="00F97235" w:rsidRDefault="00F97235" w:rsidP="00F97235">
      <w:pPr>
        <w:numPr>
          <w:ilvl w:val="0"/>
          <w:numId w:val="43"/>
        </w:numPr>
        <w:spacing w:line="240" w:lineRule="auto"/>
        <w:rPr>
          <w:rFonts w:ascii="Times New Roman" w:hAnsi="Times New Roman" w:cs="Times New Roman"/>
          <w:sz w:val="20"/>
          <w:szCs w:val="20"/>
        </w:rPr>
      </w:pPr>
      <w:r w:rsidRPr="00F97235">
        <w:rPr>
          <w:rFonts w:ascii="Times New Roman" w:hAnsi="Times New Roman" w:cs="Times New Roman"/>
          <w:sz w:val="20"/>
          <w:szCs w:val="20"/>
        </w:rPr>
        <w:t>WACC</w:t>
      </w:r>
    </w:p>
    <w:p w14:paraId="1266214A" w14:textId="77777777" w:rsidR="00F97235" w:rsidRPr="00F97235" w:rsidRDefault="00F97235" w:rsidP="00F97235">
      <w:pPr>
        <w:numPr>
          <w:ilvl w:val="0"/>
          <w:numId w:val="43"/>
        </w:numPr>
        <w:spacing w:line="240" w:lineRule="auto"/>
        <w:rPr>
          <w:rFonts w:ascii="Times New Roman" w:hAnsi="Times New Roman" w:cs="Times New Roman"/>
          <w:sz w:val="20"/>
          <w:szCs w:val="20"/>
        </w:rPr>
      </w:pPr>
      <w:r w:rsidRPr="00F97235">
        <w:rPr>
          <w:rFonts w:ascii="Times New Roman" w:hAnsi="Times New Roman" w:cs="Times New Roman"/>
          <w:sz w:val="20"/>
          <w:szCs w:val="20"/>
        </w:rPr>
        <w:t>scenario weighting</w:t>
      </w:r>
    </w:p>
    <w:p w14:paraId="7317CBED" w14:textId="77777777" w:rsidR="00F97235" w:rsidRPr="00F97235" w:rsidRDefault="00F97235" w:rsidP="00F97235">
      <w:pPr>
        <w:numPr>
          <w:ilvl w:val="0"/>
          <w:numId w:val="43"/>
        </w:numPr>
        <w:spacing w:line="240" w:lineRule="auto"/>
        <w:rPr>
          <w:rFonts w:ascii="Times New Roman" w:hAnsi="Times New Roman" w:cs="Times New Roman"/>
          <w:sz w:val="20"/>
          <w:szCs w:val="20"/>
        </w:rPr>
      </w:pPr>
      <w:r w:rsidRPr="00F97235">
        <w:rPr>
          <w:rFonts w:ascii="Times New Roman" w:hAnsi="Times New Roman" w:cs="Times New Roman"/>
          <w:sz w:val="20"/>
          <w:szCs w:val="20"/>
        </w:rPr>
        <w:t>terminal value risk factor</w:t>
      </w:r>
    </w:p>
    <w:p w14:paraId="121A3B84" w14:textId="324E0450"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This links clinical-perception success to financial uncertainty.</w:t>
      </w:r>
    </w:p>
    <w:p w14:paraId="1369FCB7"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F.3 Scenario Analysis Framework</w:t>
      </w:r>
    </w:p>
    <w:p w14:paraId="6410B013"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Bull Case (rating ≥ 8)</w:t>
      </w:r>
    </w:p>
    <w:p w14:paraId="6F3FC08F" w14:textId="77777777" w:rsidR="00F97235" w:rsidRPr="00F97235" w:rsidRDefault="00F97235" w:rsidP="00F97235">
      <w:pPr>
        <w:numPr>
          <w:ilvl w:val="0"/>
          <w:numId w:val="44"/>
        </w:numPr>
        <w:spacing w:line="240" w:lineRule="auto"/>
        <w:rPr>
          <w:rFonts w:ascii="Times New Roman" w:hAnsi="Times New Roman" w:cs="Times New Roman"/>
          <w:sz w:val="20"/>
          <w:szCs w:val="20"/>
        </w:rPr>
      </w:pPr>
      <w:r w:rsidRPr="00F97235">
        <w:rPr>
          <w:rFonts w:ascii="Times New Roman" w:hAnsi="Times New Roman" w:cs="Times New Roman"/>
          <w:sz w:val="20"/>
          <w:szCs w:val="20"/>
        </w:rPr>
        <w:t>Uptake ↑</w:t>
      </w:r>
    </w:p>
    <w:p w14:paraId="7BCB3138" w14:textId="77777777" w:rsidR="00F97235" w:rsidRPr="00F97235" w:rsidRDefault="00F97235" w:rsidP="00F97235">
      <w:pPr>
        <w:numPr>
          <w:ilvl w:val="0"/>
          <w:numId w:val="44"/>
        </w:numPr>
        <w:spacing w:line="240" w:lineRule="auto"/>
        <w:rPr>
          <w:rFonts w:ascii="Times New Roman" w:hAnsi="Times New Roman" w:cs="Times New Roman"/>
          <w:sz w:val="20"/>
          <w:szCs w:val="20"/>
        </w:rPr>
      </w:pPr>
      <w:r w:rsidRPr="00F97235">
        <w:rPr>
          <w:rFonts w:ascii="Times New Roman" w:hAnsi="Times New Roman" w:cs="Times New Roman"/>
          <w:sz w:val="20"/>
          <w:szCs w:val="20"/>
        </w:rPr>
        <w:t>Adherence ↑</w:t>
      </w:r>
    </w:p>
    <w:p w14:paraId="3D2C3A8A" w14:textId="77777777" w:rsidR="00F97235" w:rsidRPr="00F97235" w:rsidRDefault="00F97235" w:rsidP="00F97235">
      <w:pPr>
        <w:numPr>
          <w:ilvl w:val="0"/>
          <w:numId w:val="44"/>
        </w:numPr>
        <w:spacing w:line="240" w:lineRule="auto"/>
        <w:rPr>
          <w:rFonts w:ascii="Times New Roman" w:hAnsi="Times New Roman" w:cs="Times New Roman"/>
          <w:sz w:val="20"/>
          <w:szCs w:val="20"/>
        </w:rPr>
      </w:pPr>
      <w:r w:rsidRPr="00F97235">
        <w:rPr>
          <w:rFonts w:ascii="Times New Roman" w:hAnsi="Times New Roman" w:cs="Times New Roman"/>
          <w:sz w:val="20"/>
          <w:szCs w:val="20"/>
        </w:rPr>
        <w:lastRenderedPageBreak/>
        <w:t>Pricing power ↑</w:t>
      </w:r>
    </w:p>
    <w:p w14:paraId="64CE8A16" w14:textId="77777777" w:rsidR="00F97235" w:rsidRPr="00F97235" w:rsidRDefault="00F97235" w:rsidP="00F97235">
      <w:pPr>
        <w:numPr>
          <w:ilvl w:val="0"/>
          <w:numId w:val="44"/>
        </w:numPr>
        <w:spacing w:line="240" w:lineRule="auto"/>
        <w:rPr>
          <w:rFonts w:ascii="Times New Roman" w:hAnsi="Times New Roman" w:cs="Times New Roman"/>
          <w:sz w:val="20"/>
          <w:szCs w:val="20"/>
        </w:rPr>
      </w:pPr>
      <w:r w:rsidRPr="00F97235">
        <w:rPr>
          <w:rFonts w:ascii="Times New Roman" w:hAnsi="Times New Roman" w:cs="Times New Roman"/>
          <w:sz w:val="20"/>
          <w:szCs w:val="20"/>
        </w:rPr>
        <w:t>Risk discount ↓</w:t>
      </w:r>
      <w:r w:rsidRPr="00F97235">
        <w:rPr>
          <w:rFonts w:ascii="Times New Roman" w:hAnsi="Times New Roman" w:cs="Times New Roman"/>
          <w:sz w:val="20"/>
          <w:szCs w:val="20"/>
        </w:rPr>
        <w:br/>
        <w:t>→ Highest NPV</w:t>
      </w:r>
    </w:p>
    <w:p w14:paraId="6294528B"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Base Case (rating 5–7)</w:t>
      </w:r>
    </w:p>
    <w:p w14:paraId="6F2F958E" w14:textId="77777777" w:rsidR="00F97235" w:rsidRPr="00F97235" w:rsidRDefault="00F97235" w:rsidP="00F97235">
      <w:pPr>
        <w:numPr>
          <w:ilvl w:val="0"/>
          <w:numId w:val="45"/>
        </w:numPr>
        <w:spacing w:line="240" w:lineRule="auto"/>
        <w:rPr>
          <w:rFonts w:ascii="Times New Roman" w:hAnsi="Times New Roman" w:cs="Times New Roman"/>
          <w:sz w:val="20"/>
          <w:szCs w:val="20"/>
        </w:rPr>
      </w:pPr>
      <w:r w:rsidRPr="00F97235">
        <w:rPr>
          <w:rFonts w:ascii="Times New Roman" w:hAnsi="Times New Roman" w:cs="Times New Roman"/>
          <w:sz w:val="20"/>
          <w:szCs w:val="20"/>
        </w:rPr>
        <w:t>Moderate uptake</w:t>
      </w:r>
    </w:p>
    <w:p w14:paraId="0F895A7B" w14:textId="77777777" w:rsidR="00F97235" w:rsidRPr="00F97235" w:rsidRDefault="00F97235" w:rsidP="00F97235">
      <w:pPr>
        <w:numPr>
          <w:ilvl w:val="0"/>
          <w:numId w:val="45"/>
        </w:numPr>
        <w:spacing w:line="240" w:lineRule="auto"/>
        <w:rPr>
          <w:rFonts w:ascii="Times New Roman" w:hAnsi="Times New Roman" w:cs="Times New Roman"/>
          <w:sz w:val="20"/>
          <w:szCs w:val="20"/>
        </w:rPr>
      </w:pPr>
      <w:r w:rsidRPr="00F97235">
        <w:rPr>
          <w:rFonts w:ascii="Times New Roman" w:hAnsi="Times New Roman" w:cs="Times New Roman"/>
          <w:sz w:val="20"/>
          <w:szCs w:val="20"/>
        </w:rPr>
        <w:t>Average pricing</w:t>
      </w:r>
    </w:p>
    <w:p w14:paraId="2360D7C2" w14:textId="77777777" w:rsidR="00F97235" w:rsidRPr="00F97235" w:rsidRDefault="00F97235" w:rsidP="00F97235">
      <w:pPr>
        <w:numPr>
          <w:ilvl w:val="0"/>
          <w:numId w:val="45"/>
        </w:numPr>
        <w:spacing w:line="240" w:lineRule="auto"/>
        <w:rPr>
          <w:rFonts w:ascii="Times New Roman" w:hAnsi="Times New Roman" w:cs="Times New Roman"/>
          <w:sz w:val="20"/>
          <w:szCs w:val="20"/>
        </w:rPr>
      </w:pPr>
      <w:r w:rsidRPr="00F97235">
        <w:rPr>
          <w:rFonts w:ascii="Times New Roman" w:hAnsi="Times New Roman" w:cs="Times New Roman"/>
          <w:sz w:val="20"/>
          <w:szCs w:val="20"/>
        </w:rPr>
        <w:t>Stable LTV</w:t>
      </w:r>
    </w:p>
    <w:p w14:paraId="5541F45C"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Bear Case (rating &lt; 5)</w:t>
      </w:r>
    </w:p>
    <w:p w14:paraId="5E4840D1" w14:textId="77777777" w:rsidR="00F97235" w:rsidRPr="00F97235" w:rsidRDefault="00F97235" w:rsidP="00F97235">
      <w:pPr>
        <w:numPr>
          <w:ilvl w:val="0"/>
          <w:numId w:val="46"/>
        </w:numPr>
        <w:spacing w:line="240" w:lineRule="auto"/>
        <w:rPr>
          <w:rFonts w:ascii="Times New Roman" w:hAnsi="Times New Roman" w:cs="Times New Roman"/>
          <w:sz w:val="20"/>
          <w:szCs w:val="20"/>
        </w:rPr>
      </w:pPr>
      <w:r w:rsidRPr="00F97235">
        <w:rPr>
          <w:rFonts w:ascii="Times New Roman" w:hAnsi="Times New Roman" w:cs="Times New Roman"/>
          <w:sz w:val="20"/>
          <w:szCs w:val="20"/>
        </w:rPr>
        <w:t>High churn</w:t>
      </w:r>
    </w:p>
    <w:p w14:paraId="14EB7223" w14:textId="77777777" w:rsidR="00F97235" w:rsidRPr="00F97235" w:rsidRDefault="00F97235" w:rsidP="00F97235">
      <w:pPr>
        <w:numPr>
          <w:ilvl w:val="0"/>
          <w:numId w:val="46"/>
        </w:numPr>
        <w:spacing w:line="240" w:lineRule="auto"/>
        <w:rPr>
          <w:rFonts w:ascii="Times New Roman" w:hAnsi="Times New Roman" w:cs="Times New Roman"/>
          <w:sz w:val="20"/>
          <w:szCs w:val="20"/>
        </w:rPr>
      </w:pPr>
      <w:r w:rsidRPr="00F97235">
        <w:rPr>
          <w:rFonts w:ascii="Times New Roman" w:hAnsi="Times New Roman" w:cs="Times New Roman"/>
          <w:sz w:val="20"/>
          <w:szCs w:val="20"/>
        </w:rPr>
        <w:t>Reduced demand</w:t>
      </w:r>
    </w:p>
    <w:p w14:paraId="278664E2" w14:textId="77777777" w:rsidR="00F97235" w:rsidRPr="00F97235" w:rsidRDefault="00F97235" w:rsidP="00F97235">
      <w:pPr>
        <w:numPr>
          <w:ilvl w:val="0"/>
          <w:numId w:val="46"/>
        </w:numPr>
        <w:spacing w:line="240" w:lineRule="auto"/>
        <w:rPr>
          <w:rFonts w:ascii="Times New Roman" w:hAnsi="Times New Roman" w:cs="Times New Roman"/>
          <w:sz w:val="20"/>
          <w:szCs w:val="20"/>
        </w:rPr>
      </w:pPr>
      <w:r w:rsidRPr="00F97235">
        <w:rPr>
          <w:rFonts w:ascii="Times New Roman" w:hAnsi="Times New Roman" w:cs="Times New Roman"/>
          <w:sz w:val="20"/>
          <w:szCs w:val="20"/>
        </w:rPr>
        <w:t>Safety-label friction</w:t>
      </w:r>
      <w:r w:rsidRPr="00F97235">
        <w:rPr>
          <w:rFonts w:ascii="Times New Roman" w:hAnsi="Times New Roman" w:cs="Times New Roman"/>
          <w:sz w:val="20"/>
          <w:szCs w:val="20"/>
        </w:rPr>
        <w:br/>
        <w:t>→ Lowest NPV</w:t>
      </w:r>
    </w:p>
    <w:p w14:paraId="69D90678"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Scenario weights can be tied to RF probability distributions.</w:t>
      </w:r>
    </w:p>
    <w:p w14:paraId="2969114F" w14:textId="3E8A9F39"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F.</w:t>
      </w:r>
      <w:r w:rsidR="00004074">
        <w:rPr>
          <w:rFonts w:ascii="Times New Roman" w:hAnsi="Times New Roman" w:cs="Times New Roman" w:hint="eastAsia"/>
          <w:sz w:val="20"/>
          <w:szCs w:val="20"/>
        </w:rPr>
        <w:t>4</w:t>
      </w:r>
      <w:r w:rsidRPr="00F97235">
        <w:rPr>
          <w:rFonts w:ascii="Times New Roman" w:hAnsi="Times New Roman" w:cs="Times New Roman"/>
          <w:sz w:val="20"/>
          <w:szCs w:val="20"/>
        </w:rPr>
        <w:t xml:space="preserve"> Integrated Forecasting Framework (Phase 2)</w:t>
      </w:r>
    </w:p>
    <w:p w14:paraId="3EC9C99C" w14:textId="77777777" w:rsidR="00F97235" w:rsidRPr="00F97235" w:rsidRDefault="00F97235" w:rsidP="00F97235">
      <w:pPr>
        <w:spacing w:line="240" w:lineRule="auto"/>
        <w:rPr>
          <w:rFonts w:ascii="Times New Roman" w:hAnsi="Times New Roman" w:cs="Times New Roman"/>
          <w:sz w:val="20"/>
          <w:szCs w:val="20"/>
        </w:rPr>
      </w:pPr>
      <w:r w:rsidRPr="00F97235">
        <w:rPr>
          <w:rFonts w:ascii="Times New Roman" w:hAnsi="Times New Roman" w:cs="Times New Roman"/>
          <w:sz w:val="20"/>
          <w:szCs w:val="20"/>
        </w:rPr>
        <w:t>This framework enables a unified clinical–commercial–financial model:</w:t>
      </w:r>
    </w:p>
    <w:p w14:paraId="5E482B34" w14:textId="77777777" w:rsidR="00F97235" w:rsidRPr="00F97235" w:rsidRDefault="00F97235" w:rsidP="00F97235">
      <w:pPr>
        <w:numPr>
          <w:ilvl w:val="0"/>
          <w:numId w:val="47"/>
        </w:numPr>
        <w:spacing w:line="240" w:lineRule="auto"/>
        <w:rPr>
          <w:rFonts w:ascii="Times New Roman" w:hAnsi="Times New Roman" w:cs="Times New Roman"/>
          <w:sz w:val="20"/>
          <w:szCs w:val="20"/>
        </w:rPr>
      </w:pPr>
      <w:r w:rsidRPr="00F97235">
        <w:rPr>
          <w:rFonts w:ascii="Times New Roman" w:hAnsi="Times New Roman" w:cs="Times New Roman"/>
          <w:sz w:val="20"/>
          <w:szCs w:val="20"/>
        </w:rPr>
        <w:t>ML predicts market success potential</w:t>
      </w:r>
    </w:p>
    <w:p w14:paraId="11AE5950" w14:textId="77777777" w:rsidR="00F97235" w:rsidRPr="00F97235" w:rsidRDefault="00F97235" w:rsidP="00F97235">
      <w:pPr>
        <w:numPr>
          <w:ilvl w:val="0"/>
          <w:numId w:val="47"/>
        </w:numPr>
        <w:spacing w:line="240" w:lineRule="auto"/>
        <w:rPr>
          <w:rFonts w:ascii="Times New Roman" w:hAnsi="Times New Roman" w:cs="Times New Roman"/>
          <w:sz w:val="20"/>
          <w:szCs w:val="20"/>
        </w:rPr>
      </w:pPr>
      <w:r w:rsidRPr="00F97235">
        <w:rPr>
          <w:rFonts w:ascii="Times New Roman" w:hAnsi="Times New Roman" w:cs="Times New Roman"/>
          <w:sz w:val="20"/>
          <w:szCs w:val="20"/>
        </w:rPr>
        <w:t>DCF translates this into financial valuation</w:t>
      </w:r>
    </w:p>
    <w:p w14:paraId="68A5095C" w14:textId="77777777" w:rsidR="00F97235" w:rsidRPr="00F97235" w:rsidRDefault="00F97235" w:rsidP="00F97235">
      <w:pPr>
        <w:numPr>
          <w:ilvl w:val="0"/>
          <w:numId w:val="47"/>
        </w:numPr>
        <w:spacing w:line="240" w:lineRule="auto"/>
        <w:rPr>
          <w:rFonts w:ascii="Times New Roman" w:hAnsi="Times New Roman" w:cs="Times New Roman"/>
          <w:sz w:val="20"/>
          <w:szCs w:val="20"/>
        </w:rPr>
      </w:pPr>
      <w:r w:rsidRPr="00F97235">
        <w:rPr>
          <w:rFonts w:ascii="Times New Roman" w:hAnsi="Times New Roman" w:cs="Times New Roman"/>
          <w:sz w:val="20"/>
          <w:szCs w:val="20"/>
        </w:rPr>
        <w:t>Scenario modeling captures strategic uncertainty</w:t>
      </w:r>
    </w:p>
    <w:p w14:paraId="1E64EA36" w14:textId="77777777" w:rsidR="00F97235" w:rsidRPr="00F97235" w:rsidRDefault="00F97235" w:rsidP="00F97235">
      <w:pPr>
        <w:numPr>
          <w:ilvl w:val="0"/>
          <w:numId w:val="47"/>
        </w:numPr>
        <w:spacing w:line="240" w:lineRule="auto"/>
        <w:rPr>
          <w:rFonts w:ascii="Times New Roman" w:hAnsi="Times New Roman" w:cs="Times New Roman"/>
          <w:sz w:val="20"/>
          <w:szCs w:val="20"/>
        </w:rPr>
      </w:pPr>
      <w:r w:rsidRPr="00F97235">
        <w:rPr>
          <w:rFonts w:ascii="Times New Roman" w:hAnsi="Times New Roman" w:cs="Times New Roman"/>
          <w:sz w:val="20"/>
          <w:szCs w:val="20"/>
        </w:rPr>
        <w:t>Outputs inform R&amp;D prioritization, portfolio strategy, and capital allocation</w:t>
      </w:r>
    </w:p>
    <w:p w14:paraId="4D47DB86" w14:textId="0CC39F8C" w:rsidR="00061A45" w:rsidRPr="00F97235" w:rsidRDefault="00F97235" w:rsidP="001B1393">
      <w:pPr>
        <w:spacing w:line="240" w:lineRule="auto"/>
        <w:rPr>
          <w:rFonts w:ascii="Times New Roman" w:hAnsi="Times New Roman" w:cs="Times New Roman"/>
          <w:szCs w:val="22"/>
        </w:rPr>
      </w:pPr>
      <w:r w:rsidRPr="00F97235">
        <w:rPr>
          <w:rFonts w:ascii="Times New Roman" w:hAnsi="Times New Roman" w:cs="Times New Roman"/>
          <w:sz w:val="20"/>
          <w:szCs w:val="20"/>
        </w:rPr>
        <w:t>This elevates the project from a modeling exercise to a decision-support system for real pharmaceutical investment scenarios.</w:t>
      </w:r>
    </w:p>
    <w:sectPr w:rsidR="00061A45" w:rsidRPr="00F972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A67"/>
    <w:multiLevelType w:val="multilevel"/>
    <w:tmpl w:val="902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64D7"/>
    <w:multiLevelType w:val="multilevel"/>
    <w:tmpl w:val="C5A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3431"/>
    <w:multiLevelType w:val="multilevel"/>
    <w:tmpl w:val="F69C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3288A"/>
    <w:multiLevelType w:val="multilevel"/>
    <w:tmpl w:val="FFF8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5645E"/>
    <w:multiLevelType w:val="multilevel"/>
    <w:tmpl w:val="5BF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62B"/>
    <w:multiLevelType w:val="multilevel"/>
    <w:tmpl w:val="BCF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34EF6"/>
    <w:multiLevelType w:val="multilevel"/>
    <w:tmpl w:val="057A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46AE7"/>
    <w:multiLevelType w:val="multilevel"/>
    <w:tmpl w:val="BA9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A57D3"/>
    <w:multiLevelType w:val="multilevel"/>
    <w:tmpl w:val="0EC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D3BB1"/>
    <w:multiLevelType w:val="multilevel"/>
    <w:tmpl w:val="6FB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25D07"/>
    <w:multiLevelType w:val="multilevel"/>
    <w:tmpl w:val="4DD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B0B2C"/>
    <w:multiLevelType w:val="multilevel"/>
    <w:tmpl w:val="A6FEE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E73B3"/>
    <w:multiLevelType w:val="multilevel"/>
    <w:tmpl w:val="F4A8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A3683"/>
    <w:multiLevelType w:val="multilevel"/>
    <w:tmpl w:val="E8C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0C72"/>
    <w:multiLevelType w:val="multilevel"/>
    <w:tmpl w:val="6CE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244E3"/>
    <w:multiLevelType w:val="multilevel"/>
    <w:tmpl w:val="D11C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7149C"/>
    <w:multiLevelType w:val="multilevel"/>
    <w:tmpl w:val="C60C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85C95"/>
    <w:multiLevelType w:val="multilevel"/>
    <w:tmpl w:val="09C8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F1A33"/>
    <w:multiLevelType w:val="multilevel"/>
    <w:tmpl w:val="9B8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86FDB"/>
    <w:multiLevelType w:val="multilevel"/>
    <w:tmpl w:val="D88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40365"/>
    <w:multiLevelType w:val="multilevel"/>
    <w:tmpl w:val="B478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03A6D"/>
    <w:multiLevelType w:val="multilevel"/>
    <w:tmpl w:val="47E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D6515"/>
    <w:multiLevelType w:val="multilevel"/>
    <w:tmpl w:val="68EE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4101FD"/>
    <w:multiLevelType w:val="multilevel"/>
    <w:tmpl w:val="E0F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D572F"/>
    <w:multiLevelType w:val="multilevel"/>
    <w:tmpl w:val="C0E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C3E0A"/>
    <w:multiLevelType w:val="multilevel"/>
    <w:tmpl w:val="835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B55E3"/>
    <w:multiLevelType w:val="multilevel"/>
    <w:tmpl w:val="3C3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F6F86"/>
    <w:multiLevelType w:val="multilevel"/>
    <w:tmpl w:val="8D1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4618C"/>
    <w:multiLevelType w:val="multilevel"/>
    <w:tmpl w:val="F0E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37B08"/>
    <w:multiLevelType w:val="multilevel"/>
    <w:tmpl w:val="803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407BB"/>
    <w:multiLevelType w:val="multilevel"/>
    <w:tmpl w:val="69A4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336F2"/>
    <w:multiLevelType w:val="multilevel"/>
    <w:tmpl w:val="4C90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3120F"/>
    <w:multiLevelType w:val="multilevel"/>
    <w:tmpl w:val="DD6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41570"/>
    <w:multiLevelType w:val="multilevel"/>
    <w:tmpl w:val="1E0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13B18"/>
    <w:multiLevelType w:val="multilevel"/>
    <w:tmpl w:val="A284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E7F5F"/>
    <w:multiLevelType w:val="multilevel"/>
    <w:tmpl w:val="79E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D05F2"/>
    <w:multiLevelType w:val="multilevel"/>
    <w:tmpl w:val="96B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946DE"/>
    <w:multiLevelType w:val="multilevel"/>
    <w:tmpl w:val="F67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074F9"/>
    <w:multiLevelType w:val="multilevel"/>
    <w:tmpl w:val="6E8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16846"/>
    <w:multiLevelType w:val="multilevel"/>
    <w:tmpl w:val="27D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C30E5"/>
    <w:multiLevelType w:val="multilevel"/>
    <w:tmpl w:val="170C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76BAE"/>
    <w:multiLevelType w:val="multilevel"/>
    <w:tmpl w:val="72E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757E2"/>
    <w:multiLevelType w:val="multilevel"/>
    <w:tmpl w:val="A32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044BC"/>
    <w:multiLevelType w:val="multilevel"/>
    <w:tmpl w:val="42E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57A13"/>
    <w:multiLevelType w:val="multilevel"/>
    <w:tmpl w:val="00F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C1DF5"/>
    <w:multiLevelType w:val="multilevel"/>
    <w:tmpl w:val="DB5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05749"/>
    <w:multiLevelType w:val="multilevel"/>
    <w:tmpl w:val="9BE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705761">
    <w:abstractNumId w:val="29"/>
  </w:num>
  <w:num w:numId="2" w16cid:durableId="1081100386">
    <w:abstractNumId w:val="30"/>
  </w:num>
  <w:num w:numId="3" w16cid:durableId="2079669318">
    <w:abstractNumId w:val="11"/>
  </w:num>
  <w:num w:numId="4" w16cid:durableId="1827432765">
    <w:abstractNumId w:val="35"/>
  </w:num>
  <w:num w:numId="5" w16cid:durableId="831484562">
    <w:abstractNumId w:val="2"/>
  </w:num>
  <w:num w:numId="6" w16cid:durableId="104076933">
    <w:abstractNumId w:val="5"/>
  </w:num>
  <w:num w:numId="7" w16cid:durableId="1244024355">
    <w:abstractNumId w:val="34"/>
  </w:num>
  <w:num w:numId="8" w16cid:durableId="302347683">
    <w:abstractNumId w:val="37"/>
  </w:num>
  <w:num w:numId="9" w16cid:durableId="1980189295">
    <w:abstractNumId w:val="26"/>
  </w:num>
  <w:num w:numId="10" w16cid:durableId="1994992334">
    <w:abstractNumId w:val="8"/>
  </w:num>
  <w:num w:numId="11" w16cid:durableId="1193105121">
    <w:abstractNumId w:val="31"/>
  </w:num>
  <w:num w:numId="12" w16cid:durableId="1225414639">
    <w:abstractNumId w:val="18"/>
  </w:num>
  <w:num w:numId="13" w16cid:durableId="1371566378">
    <w:abstractNumId w:val="23"/>
  </w:num>
  <w:num w:numId="14" w16cid:durableId="996349864">
    <w:abstractNumId w:val="15"/>
  </w:num>
  <w:num w:numId="15" w16cid:durableId="1091857600">
    <w:abstractNumId w:val="22"/>
  </w:num>
  <w:num w:numId="16" w16cid:durableId="259679247">
    <w:abstractNumId w:val="25"/>
  </w:num>
  <w:num w:numId="17" w16cid:durableId="1275673057">
    <w:abstractNumId w:val="33"/>
  </w:num>
  <w:num w:numId="18" w16cid:durableId="1771848878">
    <w:abstractNumId w:val="14"/>
  </w:num>
  <w:num w:numId="19" w16cid:durableId="113181523">
    <w:abstractNumId w:val="0"/>
  </w:num>
  <w:num w:numId="20" w16cid:durableId="1518885232">
    <w:abstractNumId w:val="16"/>
  </w:num>
  <w:num w:numId="21" w16cid:durableId="1442871959">
    <w:abstractNumId w:val="41"/>
  </w:num>
  <w:num w:numId="22" w16cid:durableId="875511794">
    <w:abstractNumId w:val="21"/>
  </w:num>
  <w:num w:numId="23" w16cid:durableId="1928616578">
    <w:abstractNumId w:val="44"/>
  </w:num>
  <w:num w:numId="24" w16cid:durableId="32462470">
    <w:abstractNumId w:val="38"/>
  </w:num>
  <w:num w:numId="25" w16cid:durableId="11303781">
    <w:abstractNumId w:val="13"/>
  </w:num>
  <w:num w:numId="26" w16cid:durableId="941305130">
    <w:abstractNumId w:val="17"/>
  </w:num>
  <w:num w:numId="27" w16cid:durableId="830103404">
    <w:abstractNumId w:val="39"/>
  </w:num>
  <w:num w:numId="28" w16cid:durableId="2118988992">
    <w:abstractNumId w:val="4"/>
  </w:num>
  <w:num w:numId="29" w16cid:durableId="428162275">
    <w:abstractNumId w:val="36"/>
  </w:num>
  <w:num w:numId="30" w16cid:durableId="1782994426">
    <w:abstractNumId w:val="46"/>
  </w:num>
  <w:num w:numId="31" w16cid:durableId="1521317576">
    <w:abstractNumId w:val="10"/>
  </w:num>
  <w:num w:numId="32" w16cid:durableId="266041367">
    <w:abstractNumId w:val="12"/>
  </w:num>
  <w:num w:numId="33" w16cid:durableId="1371345687">
    <w:abstractNumId w:val="32"/>
  </w:num>
  <w:num w:numId="34" w16cid:durableId="552888647">
    <w:abstractNumId w:val="1"/>
  </w:num>
  <w:num w:numId="35" w16cid:durableId="1486971695">
    <w:abstractNumId w:val="7"/>
  </w:num>
  <w:num w:numId="36" w16cid:durableId="946892294">
    <w:abstractNumId w:val="28"/>
  </w:num>
  <w:num w:numId="37" w16cid:durableId="1936935216">
    <w:abstractNumId w:val="19"/>
  </w:num>
  <w:num w:numId="38" w16cid:durableId="1228883576">
    <w:abstractNumId w:val="3"/>
  </w:num>
  <w:num w:numId="39" w16cid:durableId="2022393258">
    <w:abstractNumId w:val="9"/>
  </w:num>
  <w:num w:numId="40" w16cid:durableId="1051925358">
    <w:abstractNumId w:val="27"/>
  </w:num>
  <w:num w:numId="41" w16cid:durableId="969672079">
    <w:abstractNumId w:val="40"/>
  </w:num>
  <w:num w:numId="42" w16cid:durableId="1668629401">
    <w:abstractNumId w:val="43"/>
  </w:num>
  <w:num w:numId="43" w16cid:durableId="1016345046">
    <w:abstractNumId w:val="42"/>
  </w:num>
  <w:num w:numId="44" w16cid:durableId="2014063789">
    <w:abstractNumId w:val="6"/>
  </w:num>
  <w:num w:numId="45" w16cid:durableId="559095678">
    <w:abstractNumId w:val="20"/>
  </w:num>
  <w:num w:numId="46" w16cid:durableId="1639065795">
    <w:abstractNumId w:val="24"/>
  </w:num>
  <w:num w:numId="47" w16cid:durableId="185245479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86"/>
    <w:rsid w:val="00004074"/>
    <w:rsid w:val="00061A45"/>
    <w:rsid w:val="000827C2"/>
    <w:rsid w:val="000B582F"/>
    <w:rsid w:val="001B1393"/>
    <w:rsid w:val="00243F29"/>
    <w:rsid w:val="002A43C0"/>
    <w:rsid w:val="00427972"/>
    <w:rsid w:val="00490ED7"/>
    <w:rsid w:val="004E38A0"/>
    <w:rsid w:val="005C1370"/>
    <w:rsid w:val="00627BA1"/>
    <w:rsid w:val="007935A4"/>
    <w:rsid w:val="007C2186"/>
    <w:rsid w:val="00A228B1"/>
    <w:rsid w:val="00A471DE"/>
    <w:rsid w:val="00B4165C"/>
    <w:rsid w:val="00C53440"/>
    <w:rsid w:val="00C73E3B"/>
    <w:rsid w:val="00D61F83"/>
    <w:rsid w:val="00E2794B"/>
    <w:rsid w:val="00F97235"/>
    <w:rsid w:val="00FD5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296F3"/>
  <w15:chartTrackingRefBased/>
  <w15:docId w15:val="{850E8E70-C820-9341-8509-5CA22EB2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21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21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21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21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21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21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21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21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21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21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21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21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2186"/>
    <w:rPr>
      <w:rFonts w:cstheme="majorBidi"/>
      <w:color w:val="0F4761" w:themeColor="accent1" w:themeShade="BF"/>
      <w:sz w:val="28"/>
      <w:szCs w:val="28"/>
    </w:rPr>
  </w:style>
  <w:style w:type="character" w:customStyle="1" w:styleId="50">
    <w:name w:val="标题 5 字符"/>
    <w:basedOn w:val="a0"/>
    <w:link w:val="5"/>
    <w:uiPriority w:val="9"/>
    <w:semiHidden/>
    <w:rsid w:val="007C2186"/>
    <w:rPr>
      <w:rFonts w:cstheme="majorBidi"/>
      <w:color w:val="0F4761" w:themeColor="accent1" w:themeShade="BF"/>
      <w:sz w:val="24"/>
    </w:rPr>
  </w:style>
  <w:style w:type="character" w:customStyle="1" w:styleId="60">
    <w:name w:val="标题 6 字符"/>
    <w:basedOn w:val="a0"/>
    <w:link w:val="6"/>
    <w:uiPriority w:val="9"/>
    <w:semiHidden/>
    <w:rsid w:val="007C2186"/>
    <w:rPr>
      <w:rFonts w:cstheme="majorBidi"/>
      <w:b/>
      <w:bCs/>
      <w:color w:val="0F4761" w:themeColor="accent1" w:themeShade="BF"/>
    </w:rPr>
  </w:style>
  <w:style w:type="character" w:customStyle="1" w:styleId="70">
    <w:name w:val="标题 7 字符"/>
    <w:basedOn w:val="a0"/>
    <w:link w:val="7"/>
    <w:uiPriority w:val="9"/>
    <w:semiHidden/>
    <w:rsid w:val="007C2186"/>
    <w:rPr>
      <w:rFonts w:cstheme="majorBidi"/>
      <w:b/>
      <w:bCs/>
      <w:color w:val="595959" w:themeColor="text1" w:themeTint="A6"/>
    </w:rPr>
  </w:style>
  <w:style w:type="character" w:customStyle="1" w:styleId="80">
    <w:name w:val="标题 8 字符"/>
    <w:basedOn w:val="a0"/>
    <w:link w:val="8"/>
    <w:uiPriority w:val="9"/>
    <w:semiHidden/>
    <w:rsid w:val="007C2186"/>
    <w:rPr>
      <w:rFonts w:cstheme="majorBidi"/>
      <w:color w:val="595959" w:themeColor="text1" w:themeTint="A6"/>
    </w:rPr>
  </w:style>
  <w:style w:type="character" w:customStyle="1" w:styleId="90">
    <w:name w:val="标题 9 字符"/>
    <w:basedOn w:val="a0"/>
    <w:link w:val="9"/>
    <w:uiPriority w:val="9"/>
    <w:semiHidden/>
    <w:rsid w:val="007C2186"/>
    <w:rPr>
      <w:rFonts w:eastAsiaTheme="majorEastAsia" w:cstheme="majorBidi"/>
      <w:color w:val="595959" w:themeColor="text1" w:themeTint="A6"/>
    </w:rPr>
  </w:style>
  <w:style w:type="paragraph" w:styleId="a3">
    <w:name w:val="Title"/>
    <w:basedOn w:val="a"/>
    <w:next w:val="a"/>
    <w:link w:val="a4"/>
    <w:uiPriority w:val="10"/>
    <w:qFormat/>
    <w:rsid w:val="007C21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21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21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21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2186"/>
    <w:pPr>
      <w:spacing w:before="160"/>
      <w:jc w:val="center"/>
    </w:pPr>
    <w:rPr>
      <w:i/>
      <w:iCs/>
      <w:color w:val="404040" w:themeColor="text1" w:themeTint="BF"/>
    </w:rPr>
  </w:style>
  <w:style w:type="character" w:customStyle="1" w:styleId="a8">
    <w:name w:val="引用 字符"/>
    <w:basedOn w:val="a0"/>
    <w:link w:val="a7"/>
    <w:uiPriority w:val="29"/>
    <w:rsid w:val="007C2186"/>
    <w:rPr>
      <w:i/>
      <w:iCs/>
      <w:color w:val="404040" w:themeColor="text1" w:themeTint="BF"/>
    </w:rPr>
  </w:style>
  <w:style w:type="paragraph" w:styleId="a9">
    <w:name w:val="List Paragraph"/>
    <w:basedOn w:val="a"/>
    <w:uiPriority w:val="34"/>
    <w:qFormat/>
    <w:rsid w:val="007C2186"/>
    <w:pPr>
      <w:ind w:left="720"/>
      <w:contextualSpacing/>
    </w:pPr>
  </w:style>
  <w:style w:type="character" w:styleId="aa">
    <w:name w:val="Intense Emphasis"/>
    <w:basedOn w:val="a0"/>
    <w:uiPriority w:val="21"/>
    <w:qFormat/>
    <w:rsid w:val="007C2186"/>
    <w:rPr>
      <w:i/>
      <w:iCs/>
      <w:color w:val="0F4761" w:themeColor="accent1" w:themeShade="BF"/>
    </w:rPr>
  </w:style>
  <w:style w:type="paragraph" w:styleId="ab">
    <w:name w:val="Intense Quote"/>
    <w:basedOn w:val="a"/>
    <w:next w:val="a"/>
    <w:link w:val="ac"/>
    <w:uiPriority w:val="30"/>
    <w:qFormat/>
    <w:rsid w:val="007C2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2186"/>
    <w:rPr>
      <w:i/>
      <w:iCs/>
      <w:color w:val="0F4761" w:themeColor="accent1" w:themeShade="BF"/>
    </w:rPr>
  </w:style>
  <w:style w:type="character" w:styleId="ad">
    <w:name w:val="Intense Reference"/>
    <w:basedOn w:val="a0"/>
    <w:uiPriority w:val="32"/>
    <w:qFormat/>
    <w:rsid w:val="007C21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5263">
      <w:bodyDiv w:val="1"/>
      <w:marLeft w:val="0"/>
      <w:marRight w:val="0"/>
      <w:marTop w:val="0"/>
      <w:marBottom w:val="0"/>
      <w:divBdr>
        <w:top w:val="none" w:sz="0" w:space="0" w:color="auto"/>
        <w:left w:val="none" w:sz="0" w:space="0" w:color="auto"/>
        <w:bottom w:val="none" w:sz="0" w:space="0" w:color="auto"/>
        <w:right w:val="none" w:sz="0" w:space="0" w:color="auto"/>
      </w:divBdr>
    </w:div>
    <w:div w:id="194002949">
      <w:bodyDiv w:val="1"/>
      <w:marLeft w:val="0"/>
      <w:marRight w:val="0"/>
      <w:marTop w:val="0"/>
      <w:marBottom w:val="0"/>
      <w:divBdr>
        <w:top w:val="none" w:sz="0" w:space="0" w:color="auto"/>
        <w:left w:val="none" w:sz="0" w:space="0" w:color="auto"/>
        <w:bottom w:val="none" w:sz="0" w:space="0" w:color="auto"/>
        <w:right w:val="none" w:sz="0" w:space="0" w:color="auto"/>
      </w:divBdr>
    </w:div>
    <w:div w:id="211233200">
      <w:bodyDiv w:val="1"/>
      <w:marLeft w:val="0"/>
      <w:marRight w:val="0"/>
      <w:marTop w:val="0"/>
      <w:marBottom w:val="0"/>
      <w:divBdr>
        <w:top w:val="none" w:sz="0" w:space="0" w:color="auto"/>
        <w:left w:val="none" w:sz="0" w:space="0" w:color="auto"/>
        <w:bottom w:val="none" w:sz="0" w:space="0" w:color="auto"/>
        <w:right w:val="none" w:sz="0" w:space="0" w:color="auto"/>
      </w:divBdr>
    </w:div>
    <w:div w:id="269121214">
      <w:bodyDiv w:val="1"/>
      <w:marLeft w:val="0"/>
      <w:marRight w:val="0"/>
      <w:marTop w:val="0"/>
      <w:marBottom w:val="0"/>
      <w:divBdr>
        <w:top w:val="none" w:sz="0" w:space="0" w:color="auto"/>
        <w:left w:val="none" w:sz="0" w:space="0" w:color="auto"/>
        <w:bottom w:val="none" w:sz="0" w:space="0" w:color="auto"/>
        <w:right w:val="none" w:sz="0" w:space="0" w:color="auto"/>
      </w:divBdr>
    </w:div>
    <w:div w:id="402526534">
      <w:bodyDiv w:val="1"/>
      <w:marLeft w:val="0"/>
      <w:marRight w:val="0"/>
      <w:marTop w:val="0"/>
      <w:marBottom w:val="0"/>
      <w:divBdr>
        <w:top w:val="none" w:sz="0" w:space="0" w:color="auto"/>
        <w:left w:val="none" w:sz="0" w:space="0" w:color="auto"/>
        <w:bottom w:val="none" w:sz="0" w:space="0" w:color="auto"/>
        <w:right w:val="none" w:sz="0" w:space="0" w:color="auto"/>
      </w:divBdr>
    </w:div>
    <w:div w:id="447625620">
      <w:bodyDiv w:val="1"/>
      <w:marLeft w:val="0"/>
      <w:marRight w:val="0"/>
      <w:marTop w:val="0"/>
      <w:marBottom w:val="0"/>
      <w:divBdr>
        <w:top w:val="none" w:sz="0" w:space="0" w:color="auto"/>
        <w:left w:val="none" w:sz="0" w:space="0" w:color="auto"/>
        <w:bottom w:val="none" w:sz="0" w:space="0" w:color="auto"/>
        <w:right w:val="none" w:sz="0" w:space="0" w:color="auto"/>
      </w:divBdr>
    </w:div>
    <w:div w:id="519272707">
      <w:bodyDiv w:val="1"/>
      <w:marLeft w:val="0"/>
      <w:marRight w:val="0"/>
      <w:marTop w:val="0"/>
      <w:marBottom w:val="0"/>
      <w:divBdr>
        <w:top w:val="none" w:sz="0" w:space="0" w:color="auto"/>
        <w:left w:val="none" w:sz="0" w:space="0" w:color="auto"/>
        <w:bottom w:val="none" w:sz="0" w:space="0" w:color="auto"/>
        <w:right w:val="none" w:sz="0" w:space="0" w:color="auto"/>
      </w:divBdr>
    </w:div>
    <w:div w:id="573049361">
      <w:bodyDiv w:val="1"/>
      <w:marLeft w:val="0"/>
      <w:marRight w:val="0"/>
      <w:marTop w:val="0"/>
      <w:marBottom w:val="0"/>
      <w:divBdr>
        <w:top w:val="none" w:sz="0" w:space="0" w:color="auto"/>
        <w:left w:val="none" w:sz="0" w:space="0" w:color="auto"/>
        <w:bottom w:val="none" w:sz="0" w:space="0" w:color="auto"/>
        <w:right w:val="none" w:sz="0" w:space="0" w:color="auto"/>
      </w:divBdr>
    </w:div>
    <w:div w:id="617564824">
      <w:bodyDiv w:val="1"/>
      <w:marLeft w:val="0"/>
      <w:marRight w:val="0"/>
      <w:marTop w:val="0"/>
      <w:marBottom w:val="0"/>
      <w:divBdr>
        <w:top w:val="none" w:sz="0" w:space="0" w:color="auto"/>
        <w:left w:val="none" w:sz="0" w:space="0" w:color="auto"/>
        <w:bottom w:val="none" w:sz="0" w:space="0" w:color="auto"/>
        <w:right w:val="none" w:sz="0" w:space="0" w:color="auto"/>
      </w:divBdr>
    </w:div>
    <w:div w:id="709572978">
      <w:bodyDiv w:val="1"/>
      <w:marLeft w:val="0"/>
      <w:marRight w:val="0"/>
      <w:marTop w:val="0"/>
      <w:marBottom w:val="0"/>
      <w:divBdr>
        <w:top w:val="none" w:sz="0" w:space="0" w:color="auto"/>
        <w:left w:val="none" w:sz="0" w:space="0" w:color="auto"/>
        <w:bottom w:val="none" w:sz="0" w:space="0" w:color="auto"/>
        <w:right w:val="none" w:sz="0" w:space="0" w:color="auto"/>
      </w:divBdr>
      <w:divsChild>
        <w:div w:id="89268">
          <w:marLeft w:val="0"/>
          <w:marRight w:val="0"/>
          <w:marTop w:val="0"/>
          <w:marBottom w:val="0"/>
          <w:divBdr>
            <w:top w:val="none" w:sz="0" w:space="0" w:color="auto"/>
            <w:left w:val="none" w:sz="0" w:space="0" w:color="auto"/>
            <w:bottom w:val="none" w:sz="0" w:space="0" w:color="auto"/>
            <w:right w:val="none" w:sz="0" w:space="0" w:color="auto"/>
          </w:divBdr>
          <w:divsChild>
            <w:div w:id="1527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3610">
      <w:bodyDiv w:val="1"/>
      <w:marLeft w:val="0"/>
      <w:marRight w:val="0"/>
      <w:marTop w:val="0"/>
      <w:marBottom w:val="0"/>
      <w:divBdr>
        <w:top w:val="none" w:sz="0" w:space="0" w:color="auto"/>
        <w:left w:val="none" w:sz="0" w:space="0" w:color="auto"/>
        <w:bottom w:val="none" w:sz="0" w:space="0" w:color="auto"/>
        <w:right w:val="none" w:sz="0" w:space="0" w:color="auto"/>
      </w:divBdr>
    </w:div>
    <w:div w:id="856503184">
      <w:bodyDiv w:val="1"/>
      <w:marLeft w:val="0"/>
      <w:marRight w:val="0"/>
      <w:marTop w:val="0"/>
      <w:marBottom w:val="0"/>
      <w:divBdr>
        <w:top w:val="none" w:sz="0" w:space="0" w:color="auto"/>
        <w:left w:val="none" w:sz="0" w:space="0" w:color="auto"/>
        <w:bottom w:val="none" w:sz="0" w:space="0" w:color="auto"/>
        <w:right w:val="none" w:sz="0" w:space="0" w:color="auto"/>
      </w:divBdr>
    </w:div>
    <w:div w:id="873464668">
      <w:bodyDiv w:val="1"/>
      <w:marLeft w:val="0"/>
      <w:marRight w:val="0"/>
      <w:marTop w:val="0"/>
      <w:marBottom w:val="0"/>
      <w:divBdr>
        <w:top w:val="none" w:sz="0" w:space="0" w:color="auto"/>
        <w:left w:val="none" w:sz="0" w:space="0" w:color="auto"/>
        <w:bottom w:val="none" w:sz="0" w:space="0" w:color="auto"/>
        <w:right w:val="none" w:sz="0" w:space="0" w:color="auto"/>
      </w:divBdr>
    </w:div>
    <w:div w:id="1096168209">
      <w:bodyDiv w:val="1"/>
      <w:marLeft w:val="0"/>
      <w:marRight w:val="0"/>
      <w:marTop w:val="0"/>
      <w:marBottom w:val="0"/>
      <w:divBdr>
        <w:top w:val="none" w:sz="0" w:space="0" w:color="auto"/>
        <w:left w:val="none" w:sz="0" w:space="0" w:color="auto"/>
        <w:bottom w:val="none" w:sz="0" w:space="0" w:color="auto"/>
        <w:right w:val="none" w:sz="0" w:space="0" w:color="auto"/>
      </w:divBdr>
      <w:divsChild>
        <w:div w:id="2091392645">
          <w:marLeft w:val="0"/>
          <w:marRight w:val="0"/>
          <w:marTop w:val="0"/>
          <w:marBottom w:val="0"/>
          <w:divBdr>
            <w:top w:val="none" w:sz="0" w:space="0" w:color="auto"/>
            <w:left w:val="none" w:sz="0" w:space="0" w:color="auto"/>
            <w:bottom w:val="none" w:sz="0" w:space="0" w:color="auto"/>
            <w:right w:val="none" w:sz="0" w:space="0" w:color="auto"/>
          </w:divBdr>
          <w:divsChild>
            <w:div w:id="1917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4537">
      <w:bodyDiv w:val="1"/>
      <w:marLeft w:val="0"/>
      <w:marRight w:val="0"/>
      <w:marTop w:val="0"/>
      <w:marBottom w:val="0"/>
      <w:divBdr>
        <w:top w:val="none" w:sz="0" w:space="0" w:color="auto"/>
        <w:left w:val="none" w:sz="0" w:space="0" w:color="auto"/>
        <w:bottom w:val="none" w:sz="0" w:space="0" w:color="auto"/>
        <w:right w:val="none" w:sz="0" w:space="0" w:color="auto"/>
      </w:divBdr>
    </w:div>
    <w:div w:id="1206481535">
      <w:bodyDiv w:val="1"/>
      <w:marLeft w:val="0"/>
      <w:marRight w:val="0"/>
      <w:marTop w:val="0"/>
      <w:marBottom w:val="0"/>
      <w:divBdr>
        <w:top w:val="none" w:sz="0" w:space="0" w:color="auto"/>
        <w:left w:val="none" w:sz="0" w:space="0" w:color="auto"/>
        <w:bottom w:val="none" w:sz="0" w:space="0" w:color="auto"/>
        <w:right w:val="none" w:sz="0" w:space="0" w:color="auto"/>
      </w:divBdr>
    </w:div>
    <w:div w:id="1229726331">
      <w:bodyDiv w:val="1"/>
      <w:marLeft w:val="0"/>
      <w:marRight w:val="0"/>
      <w:marTop w:val="0"/>
      <w:marBottom w:val="0"/>
      <w:divBdr>
        <w:top w:val="none" w:sz="0" w:space="0" w:color="auto"/>
        <w:left w:val="none" w:sz="0" w:space="0" w:color="auto"/>
        <w:bottom w:val="none" w:sz="0" w:space="0" w:color="auto"/>
        <w:right w:val="none" w:sz="0" w:space="0" w:color="auto"/>
      </w:divBdr>
    </w:div>
    <w:div w:id="1525555340">
      <w:bodyDiv w:val="1"/>
      <w:marLeft w:val="0"/>
      <w:marRight w:val="0"/>
      <w:marTop w:val="0"/>
      <w:marBottom w:val="0"/>
      <w:divBdr>
        <w:top w:val="none" w:sz="0" w:space="0" w:color="auto"/>
        <w:left w:val="none" w:sz="0" w:space="0" w:color="auto"/>
        <w:bottom w:val="none" w:sz="0" w:space="0" w:color="auto"/>
        <w:right w:val="none" w:sz="0" w:space="0" w:color="auto"/>
      </w:divBdr>
    </w:div>
    <w:div w:id="1539463675">
      <w:bodyDiv w:val="1"/>
      <w:marLeft w:val="0"/>
      <w:marRight w:val="0"/>
      <w:marTop w:val="0"/>
      <w:marBottom w:val="0"/>
      <w:divBdr>
        <w:top w:val="none" w:sz="0" w:space="0" w:color="auto"/>
        <w:left w:val="none" w:sz="0" w:space="0" w:color="auto"/>
        <w:bottom w:val="none" w:sz="0" w:space="0" w:color="auto"/>
        <w:right w:val="none" w:sz="0" w:space="0" w:color="auto"/>
      </w:divBdr>
    </w:div>
    <w:div w:id="1581449790">
      <w:bodyDiv w:val="1"/>
      <w:marLeft w:val="0"/>
      <w:marRight w:val="0"/>
      <w:marTop w:val="0"/>
      <w:marBottom w:val="0"/>
      <w:divBdr>
        <w:top w:val="none" w:sz="0" w:space="0" w:color="auto"/>
        <w:left w:val="none" w:sz="0" w:space="0" w:color="auto"/>
        <w:bottom w:val="none" w:sz="0" w:space="0" w:color="auto"/>
        <w:right w:val="none" w:sz="0" w:space="0" w:color="auto"/>
      </w:divBdr>
    </w:div>
    <w:div w:id="1778986036">
      <w:bodyDiv w:val="1"/>
      <w:marLeft w:val="0"/>
      <w:marRight w:val="0"/>
      <w:marTop w:val="0"/>
      <w:marBottom w:val="0"/>
      <w:divBdr>
        <w:top w:val="none" w:sz="0" w:space="0" w:color="auto"/>
        <w:left w:val="none" w:sz="0" w:space="0" w:color="auto"/>
        <w:bottom w:val="none" w:sz="0" w:space="0" w:color="auto"/>
        <w:right w:val="none" w:sz="0" w:space="0" w:color="auto"/>
      </w:divBdr>
    </w:div>
    <w:div w:id="1781996545">
      <w:bodyDiv w:val="1"/>
      <w:marLeft w:val="0"/>
      <w:marRight w:val="0"/>
      <w:marTop w:val="0"/>
      <w:marBottom w:val="0"/>
      <w:divBdr>
        <w:top w:val="none" w:sz="0" w:space="0" w:color="auto"/>
        <w:left w:val="none" w:sz="0" w:space="0" w:color="auto"/>
        <w:bottom w:val="none" w:sz="0" w:space="0" w:color="auto"/>
        <w:right w:val="none" w:sz="0" w:space="0" w:color="auto"/>
      </w:divBdr>
    </w:div>
    <w:div w:id="1797674665">
      <w:bodyDiv w:val="1"/>
      <w:marLeft w:val="0"/>
      <w:marRight w:val="0"/>
      <w:marTop w:val="0"/>
      <w:marBottom w:val="0"/>
      <w:divBdr>
        <w:top w:val="none" w:sz="0" w:space="0" w:color="auto"/>
        <w:left w:val="none" w:sz="0" w:space="0" w:color="auto"/>
        <w:bottom w:val="none" w:sz="0" w:space="0" w:color="auto"/>
        <w:right w:val="none" w:sz="0" w:space="0" w:color="auto"/>
      </w:divBdr>
    </w:div>
    <w:div w:id="1904170171">
      <w:bodyDiv w:val="1"/>
      <w:marLeft w:val="0"/>
      <w:marRight w:val="0"/>
      <w:marTop w:val="0"/>
      <w:marBottom w:val="0"/>
      <w:divBdr>
        <w:top w:val="none" w:sz="0" w:space="0" w:color="auto"/>
        <w:left w:val="none" w:sz="0" w:space="0" w:color="auto"/>
        <w:bottom w:val="none" w:sz="0" w:space="0" w:color="auto"/>
        <w:right w:val="none" w:sz="0" w:space="0" w:color="auto"/>
      </w:divBdr>
      <w:divsChild>
        <w:div w:id="1262840983">
          <w:marLeft w:val="0"/>
          <w:marRight w:val="0"/>
          <w:marTop w:val="0"/>
          <w:marBottom w:val="0"/>
          <w:divBdr>
            <w:top w:val="none" w:sz="0" w:space="0" w:color="auto"/>
            <w:left w:val="none" w:sz="0" w:space="0" w:color="auto"/>
            <w:bottom w:val="none" w:sz="0" w:space="0" w:color="auto"/>
            <w:right w:val="none" w:sz="0" w:space="0" w:color="auto"/>
          </w:divBdr>
          <w:divsChild>
            <w:div w:id="19414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2519">
      <w:bodyDiv w:val="1"/>
      <w:marLeft w:val="0"/>
      <w:marRight w:val="0"/>
      <w:marTop w:val="0"/>
      <w:marBottom w:val="0"/>
      <w:divBdr>
        <w:top w:val="none" w:sz="0" w:space="0" w:color="auto"/>
        <w:left w:val="none" w:sz="0" w:space="0" w:color="auto"/>
        <w:bottom w:val="none" w:sz="0" w:space="0" w:color="auto"/>
        <w:right w:val="none" w:sz="0" w:space="0" w:color="auto"/>
      </w:divBdr>
      <w:divsChild>
        <w:div w:id="614018378">
          <w:marLeft w:val="0"/>
          <w:marRight w:val="0"/>
          <w:marTop w:val="0"/>
          <w:marBottom w:val="0"/>
          <w:divBdr>
            <w:top w:val="none" w:sz="0" w:space="0" w:color="auto"/>
            <w:left w:val="none" w:sz="0" w:space="0" w:color="auto"/>
            <w:bottom w:val="none" w:sz="0" w:space="0" w:color="auto"/>
            <w:right w:val="none" w:sz="0" w:space="0" w:color="auto"/>
          </w:divBdr>
          <w:divsChild>
            <w:div w:id="1516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17</Pages>
  <Words>3365</Words>
  <Characters>19182</Characters>
  <Application>Microsoft Office Word</Application>
  <DocSecurity>0</DocSecurity>
  <Lines>159</Lines>
  <Paragraphs>45</Paragraphs>
  <ScaleCrop>false</ScaleCrop>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Haoran Zhu</dc:creator>
  <cp:keywords/>
  <dc:description/>
  <cp:lastModifiedBy>Haoran Zhu</cp:lastModifiedBy>
  <cp:revision>7</cp:revision>
  <dcterms:created xsi:type="dcterms:W3CDTF">2025-12-03T18:58:00Z</dcterms:created>
  <dcterms:modified xsi:type="dcterms:W3CDTF">2025-12-06T14:38:00Z</dcterms:modified>
</cp:coreProperties>
</file>