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E7490"/>
          <w:sz w:val="36"/>
        </w:rPr>
        <w:t>Uçtan Uca Yapay Zeka Projesi: Veriden Tahmine</w:t>
      </w:r>
    </w:p>
    <w:p>
      <w:pPr>
        <w:spacing w:after="80"/>
      </w:pPr>
      <w:r>
        <w:rPr>
          <w:b/>
          <w:color w:val="0F172A"/>
          <w:sz w:val="24"/>
        </w:rPr>
        <w:t>Müşteri Terk (Churn) Tahmini ve Karar Destek Sistemi — Proje Raporu &amp; Envanteri</w:t>
      </w:r>
    </w:p>
    <w:p>
      <w:pPr>
        <w:spacing w:after="200"/>
      </w:pPr>
      <w:r>
        <w:rPr>
          <w:i/>
          <w:color w:val="475569"/>
          <w:sz w:val="18"/>
        </w:rPr>
        <w:t>Hazırlayan: Hazal  |  Program: Basitleştirilmiş Python — Proje Envanteri  |  Tarih: Ekim 2026  |  Durum: Teslime Hazır</w:t>
      </w:r>
    </w:p>
    <w:p>
      <w:pPr>
        <w:spacing w:before="280" w:after="80"/>
      </w:pPr>
      <w:r>
        <w:rPr>
          <w:b/>
          <w:color w:val="0E7490"/>
          <w:sz w:val="26"/>
        </w:rPr>
        <w:t>1. Problem Tanımı ve Proje Planı (Aşama 1)</w:t>
      </w:r>
    </w:p>
    <w:p>
      <w:pPr>
        <w:spacing w:before="0" w:after="80" w:line="276" w:lineRule="auto"/>
      </w:pPr>
      <w:r>
        <w:rPr>
          <w:b/>
          <w:color w:val="0F172A"/>
          <w:sz w:val="19"/>
        </w:rPr>
        <w:t>Problem Cümlesi:</w:t>
      </w:r>
      <w:r>
        <w:rPr>
          <w:color w:val="0F172A"/>
          <w:sz w:val="19"/>
        </w:rPr>
        <w:t xml:space="preserve"> Bu çalışmada, telekomünikasyon sektöründe faaliyet gösteren abonelerin demografik nitelikleri, abonelik süreleri, kullandıkları katma değerli hizmetler ve fatura ödeme alışkanlıkları analiz edilerek, bir sonraki dönemde şirketten ayrılıp ayrılmayacakları (Churn = 1/0) tahmin edilmektedir.</w:t>
      </w:r>
    </w:p>
    <w:p>
      <w:pPr>
        <w:spacing w:before="0" w:after="80" w:line="276" w:lineRule="auto"/>
      </w:pPr>
      <w:r>
        <w:rPr>
          <w:b/>
          <w:color w:val="0F172A"/>
          <w:sz w:val="19"/>
        </w:rPr>
        <w:t>Problem Türü ve Hedef Değişken:</w:t>
      </w:r>
      <w:r>
        <w:rPr>
          <w:color w:val="0F172A"/>
          <w:sz w:val="19"/>
        </w:rPr>
        <w:t xml:space="preserve"> İkili Sınıflandırma (Binary Classification). Hedef değişken: Churn (Yes: %26.54, No: %73.46).</w:t>
      </w:r>
    </w:p>
    <w:p>
      <w:pPr>
        <w:spacing w:before="0" w:after="80" w:line="276" w:lineRule="auto"/>
      </w:pPr>
      <w:r>
        <w:rPr>
          <w:b/>
          <w:color w:val="0F172A"/>
          <w:sz w:val="19"/>
        </w:rPr>
        <w:t>Gerekçe ve İş Değeri:</w:t>
      </w:r>
      <w:r>
        <w:rPr>
          <w:color w:val="0F172A"/>
          <w:sz w:val="19"/>
        </w:rPr>
        <w:t xml:space="preserve"> Telekomünikasyon ve SaaS sektörlerinde yeni bir müşteri kazanmanın maliyeti (CAC), mevcut bir müşteriyi elde tutmaktan 5 ila 25 kat daha yüksektir. Müşteri kaybı, şirketin tekrarlayan gelirlerini (ARR) doğrudan eritmektedir. Bu proje, pazarlama ve müşteri ilişkileri ekiplerine hangi müşterilerin risk altında olduğunu ayrılmadan önce bildirerek proaktif aksiyon alma imkânı sunar.</w:t>
      </w:r>
    </w:p>
    <w:p>
      <w:pPr>
        <w:spacing w:before="280" w:after="80"/>
      </w:pPr>
      <w:r>
        <w:rPr>
          <w:b/>
          <w:color w:val="0E7490"/>
          <w:sz w:val="26"/>
        </w:rPr>
        <w:t>2. Veri Toplama, Hazırlama ve Özellik Mühendisliği (Aşama 2)</w:t>
      </w:r>
    </w:p>
    <w:p>
      <w:pPr>
        <w:spacing w:before="0" w:after="80" w:line="276" w:lineRule="auto"/>
      </w:pPr>
      <w:r>
        <w:rPr>
          <w:b/>
          <w:color w:val="0F172A"/>
          <w:sz w:val="19"/>
        </w:rPr>
        <w:t>Veri Seti Özeti:</w:t>
      </w:r>
      <w:r>
        <w:rPr>
          <w:color w:val="0F172A"/>
          <w:sz w:val="19"/>
        </w:rPr>
        <w:t xml:space="preserve"> IBM Telco Customer Churn veri seti kullanılmıştır. Veri seti 7.043 müşteri satırı ve 21 sütundan oluşmaktadır (müfredatın en az 20 satır şartının 350 katı).</w:t>
      </w:r>
    </w:p>
    <w:p>
      <w:pPr>
        <w:spacing w:before="0" w:after="80" w:line="276" w:lineRule="auto"/>
      </w:pPr>
      <w:r>
        <w:rPr>
          <w:b/>
          <w:color w:val="0F172A"/>
          <w:sz w:val="19"/>
        </w:rPr>
        <w:t>Temizleme Adımları:</w:t>
      </w:r>
      <w:r>
        <w:rPr>
          <w:color w:val="0F172A"/>
          <w:sz w:val="19"/>
        </w:rPr>
        <w:t xml:space="preserve"> Veri setinde 'TotalCharges' sütununda abonelik süresi sıfır (tenure=0) olan 11 yeni müşteride boşluk (' ') tespit edilmiş; sayısal tipe çevrilerek 0.0 ile doldurulmuştur (fillna). Anlamsız bir tanımlayıcı olan 'customerID' sütunu veri sızıntısını önlemek için kaldırılmış, Churn hedefi {0, 1} olarak kodlanmıştır.</w:t>
      </w:r>
    </w:p>
    <w:p>
      <w:pPr>
        <w:spacing w:before="0" w:after="80" w:line="276" w:lineRule="auto"/>
      </w:pPr>
      <w:r>
        <w:rPr>
          <w:b/>
          <w:color w:val="0F172A"/>
          <w:sz w:val="19"/>
        </w:rPr>
        <w:t>Özellik Mühendisliği (8 Türetilmiş Değişken):</w:t>
      </w:r>
      <w:r>
        <w:rPr>
          <w:color w:val="0F172A"/>
          <w:sz w:val="19"/>
        </w:rPr>
        <w:t xml:space="preserve"> Ham veriden 8 yeni alan türetilmiştir: AvgMonthlyCharge (geçmiş aylık ortalama harcama), PriceDiscrepancy (fatura şoku/fiyat artışı), NumServices (kullanılan toplam servis sayısı), UnprotectedInternet (desteksiz ve korumasız internet bayrağı), TenureCohort (Yeni, Orta, Uzun vadeli segment), HasPartnerOrDependents (aile bağı), ContractScore (sözleşme bağlılık skoru 0, 1, 2) ve HasAutoPayment (otomatik ödeme bayrağı).</w:t>
      </w:r>
    </w:p>
    <w:p>
      <w:pPr>
        <w:spacing w:before="280" w:after="80"/>
      </w:pPr>
      <w:r>
        <w:rPr>
          <w:b/>
          <w:color w:val="0E7490"/>
          <w:sz w:val="26"/>
        </w:rPr>
        <w:t>3. Keşifçi Veri Analizi (EDA) ve Temel Bulgular (Aşama 3)</w:t>
      </w:r>
    </w:p>
    <w:p>
      <w:pPr>
        <w:spacing w:before="0" w:after="80" w:line="276" w:lineRule="auto"/>
      </w:pPr>
      <w:r>
        <w:rPr>
          <w:b/>
          <w:color w:val="0F172A"/>
          <w:sz w:val="19"/>
        </w:rPr>
        <w:t>Öne Çıkan 5 Keşif Bulgusu:</w:t>
      </w:r>
      <w:r>
        <w:rPr>
          <w:color w:val="0F172A"/>
          <w:sz w:val="19"/>
        </w:rPr>
        <w:t xml:space="preserve"> 1) Sözleşme Türü: Aylık sözleşmeli müşterilerde terk oranı %42.7 iken, 1 yıllıkta %11.3'e, 2 yıllıkta %2.8'e gerilemektedir. 2) İlk Yıl Kırılganlığı: Ayrılan abonelerin %53.5'i ilk 12 ay içinde (TenureCohort = 'New') terk etmektedir. 3) Desteksiz İnternet: Fiber optik kullanan fakat teknik destek/güvenlik almayanlarda terk oranı %49.0'dır. 4) Ödeme Yöntemi: Elektronik çek kullananlarda terk %45.3 iken, otomatik ödeme kullananlarda %16.0 civarındadır. 5) Fatura Şoku: Ayrılanların medyan aylık faturası $79.65 iken, kalanlarda $64.43'tür.</w:t>
      </w:r>
    </w:p>
    <w:p>
      <w:pPr>
        <w:spacing w:before="280" w:after="80"/>
      </w:pPr>
      <w:r>
        <w:rPr>
          <w:b/>
          <w:color w:val="0E7490"/>
          <w:sz w:val="26"/>
        </w:rPr>
        <w:t>4. Model Eğitimi, Değerlendirme ve Aşırı Öğrenme Analizi (Aşama 4 &amp; 5)</w:t>
      </w:r>
    </w:p>
    <w:p>
      <w:pPr>
        <w:spacing w:before="0" w:after="80" w:line="276" w:lineRule="auto"/>
      </w:pPr>
      <w:r>
        <w:rPr>
          <w:b/>
          <w:color w:val="0F172A"/>
          <w:sz w:val="19"/>
        </w:rPr>
        <w:t>Modelleme Yöntemi:</w:t>
      </w:r>
      <w:r>
        <w:rPr>
          <w:color w:val="0F172A"/>
          <w:sz w:val="19"/>
        </w:rPr>
        <w:t xml:space="preserve"> Veri seti eğitim (%80 - 5.634 satır) ve test (%20 - 1.409 satır) olarak dengeli (stratified) bölünmüştür. Sayısal alanlara StandardScaler, kategorik alanlara OneHotEncoder uygulanmıştır. Sınıf dengesizliği (%26.5 churn) göz önüne alınarak 5 farklı algoritma eğitilmiş ve 5-katlı çapraz doğrulama (Stratified 5-Fold CV) ile karşılaştırılmıştır.</w:t>
      </w:r>
    </w:p>
    <w:tbl>
      <w:tblPr>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2592"/>
            <w:shd w:fill="0E7490"/>
            <w:tcMar>
              <w:top w:w="80" w:type="dxa"/>
              <w:bottom w:w="80" w:type="dxa"/>
              <w:left w:w="100" w:type="dxa"/>
              <w:right w:w="100" w:type="dxa"/>
            </w:tcMar>
          </w:tcPr>
          <w:p>
            <w:pPr>
              <w:jc w:val="center"/>
            </w:pPr>
            <w:r>
              <w:rPr>
                <w:b/>
                <w:color w:val="FFFFFF"/>
                <w:sz w:val="17"/>
              </w:rPr>
              <w:t>Model Mimarisi</w:t>
            </w:r>
          </w:p>
        </w:tc>
        <w:tc>
          <w:tcPr>
            <w:tcW w:type="dxa" w:w="1152"/>
            <w:shd w:fill="0E7490"/>
            <w:tcMar>
              <w:top w:w="80" w:type="dxa"/>
              <w:bottom w:w="80" w:type="dxa"/>
              <w:left w:w="100" w:type="dxa"/>
              <w:right w:w="100" w:type="dxa"/>
            </w:tcMar>
          </w:tcPr>
          <w:p>
            <w:pPr>
              <w:jc w:val="center"/>
            </w:pPr>
            <w:r>
              <w:rPr>
                <w:b/>
                <w:color w:val="FFFFFF"/>
                <w:sz w:val="17"/>
              </w:rPr>
              <w:t>Test Doğruluk</w:t>
            </w:r>
          </w:p>
        </w:tc>
        <w:tc>
          <w:tcPr>
            <w:tcW w:type="dxa" w:w="1008"/>
            <w:shd w:fill="0E7490"/>
            <w:tcMar>
              <w:top w:w="80" w:type="dxa"/>
              <w:bottom w:w="80" w:type="dxa"/>
              <w:left w:w="100" w:type="dxa"/>
              <w:right w:w="100" w:type="dxa"/>
            </w:tcMar>
          </w:tcPr>
          <w:p>
            <w:pPr>
              <w:jc w:val="center"/>
            </w:pPr>
            <w:r>
              <w:rPr>
                <w:b/>
                <w:color w:val="FFFFFF"/>
                <w:sz w:val="17"/>
              </w:rPr>
              <w:t>Kesinlik</w:t>
            </w:r>
          </w:p>
        </w:tc>
        <w:tc>
          <w:tcPr>
            <w:tcW w:type="dxa" w:w="1584"/>
            <w:shd w:fill="0E7490"/>
            <w:tcMar>
              <w:top w:w="80" w:type="dxa"/>
              <w:bottom w:w="80" w:type="dxa"/>
              <w:left w:w="100" w:type="dxa"/>
              <w:right w:w="100" w:type="dxa"/>
            </w:tcMar>
          </w:tcPr>
          <w:p>
            <w:pPr>
              <w:jc w:val="center"/>
            </w:pPr>
            <w:r>
              <w:rPr>
                <w:b/>
                <w:color w:val="FFFFFF"/>
                <w:sz w:val="17"/>
              </w:rPr>
              <w:t>Duyarlılık (Recall)</w:t>
            </w:r>
          </w:p>
        </w:tc>
        <w:tc>
          <w:tcPr>
            <w:tcW w:type="dxa" w:w="1152"/>
            <w:shd w:fill="0E7490"/>
            <w:tcMar>
              <w:top w:w="80" w:type="dxa"/>
              <w:bottom w:w="80" w:type="dxa"/>
              <w:left w:w="100" w:type="dxa"/>
              <w:right w:w="100" w:type="dxa"/>
            </w:tcMar>
          </w:tcPr>
          <w:p>
            <w:pPr>
              <w:jc w:val="center"/>
            </w:pPr>
            <w:r>
              <w:rPr>
                <w:b/>
                <w:color w:val="FFFFFF"/>
                <w:sz w:val="17"/>
              </w:rPr>
              <w:t>F1-Skoru</w:t>
            </w:r>
          </w:p>
        </w:tc>
        <w:tc>
          <w:tcPr>
            <w:tcW w:type="dxa" w:w="1152"/>
            <w:shd w:fill="0E7490"/>
            <w:tcMar>
              <w:top w:w="80" w:type="dxa"/>
              <w:bottom w:w="80" w:type="dxa"/>
              <w:left w:w="100" w:type="dxa"/>
              <w:right w:w="100" w:type="dxa"/>
            </w:tcMar>
          </w:tcPr>
          <w:p>
            <w:pPr>
              <w:jc w:val="center"/>
            </w:pPr>
            <w:r>
              <w:rPr>
                <w:b/>
                <w:color w:val="FFFFFF"/>
                <w:sz w:val="17"/>
              </w:rPr>
              <w:t>ROC-AUC</w:t>
            </w:r>
          </w:p>
        </w:tc>
        <w:tc>
          <w:tcPr>
            <w:tcW w:type="dxa" w:w="1296"/>
            <w:shd w:fill="0E7490"/>
            <w:tcMar>
              <w:top w:w="80" w:type="dxa"/>
              <w:bottom w:w="80" w:type="dxa"/>
              <w:left w:w="100" w:type="dxa"/>
              <w:right w:w="100" w:type="dxa"/>
            </w:tcMar>
          </w:tcPr>
          <w:p>
            <w:pPr>
              <w:jc w:val="center"/>
            </w:pPr>
            <w:r>
              <w:rPr>
                <w:b/>
                <w:color w:val="FFFFFF"/>
                <w:sz w:val="17"/>
              </w:rPr>
              <w:t>5-Katlı CV F1</w:t>
            </w:r>
          </w:p>
        </w:tc>
      </w:tr>
      <w:tr>
        <w:tc>
          <w:tcPr>
            <w:tcW w:type="dxa" w:w="2592"/>
            <w:shd w:fill="FFFFFF"/>
            <w:tcMar>
              <w:top w:w="60" w:type="dxa"/>
              <w:bottom w:w="60" w:type="dxa"/>
              <w:left w:w="100" w:type="dxa"/>
              <w:right w:w="100" w:type="dxa"/>
            </w:tcMar>
          </w:tcPr>
          <w:p>
            <w:r>
              <w:rPr>
                <w:b/>
                <w:sz w:val="17"/>
              </w:rPr>
              <w:t>Random Forest (Tuned) 🏆</w:t>
            </w:r>
          </w:p>
        </w:tc>
        <w:tc>
          <w:tcPr>
            <w:tcW w:type="dxa" w:w="1152"/>
            <w:shd w:fill="FFFFFF"/>
            <w:tcMar>
              <w:top w:w="60" w:type="dxa"/>
              <w:bottom w:w="60" w:type="dxa"/>
              <w:left w:w="100" w:type="dxa"/>
              <w:right w:w="100" w:type="dxa"/>
            </w:tcMar>
          </w:tcPr>
          <w:p>
            <w:pPr>
              <w:jc w:val="center"/>
            </w:pPr>
            <w:r>
              <w:rPr>
                <w:b/>
                <w:sz w:val="17"/>
              </w:rPr>
              <w:t>%76.4</w:t>
            </w:r>
          </w:p>
        </w:tc>
        <w:tc>
          <w:tcPr>
            <w:tcW w:type="dxa" w:w="1008"/>
            <w:shd w:fill="FFFFFF"/>
            <w:tcMar>
              <w:top w:w="60" w:type="dxa"/>
              <w:bottom w:w="60" w:type="dxa"/>
              <w:left w:w="100" w:type="dxa"/>
              <w:right w:w="100" w:type="dxa"/>
            </w:tcMar>
          </w:tcPr>
          <w:p>
            <w:pPr>
              <w:jc w:val="center"/>
            </w:pPr>
            <w:r>
              <w:rPr>
                <w:b/>
                <w:sz w:val="17"/>
              </w:rPr>
              <w:t>0.54</w:t>
            </w:r>
          </w:p>
        </w:tc>
        <w:tc>
          <w:tcPr>
            <w:tcW w:type="dxa" w:w="1584"/>
            <w:shd w:fill="FFFFFF"/>
            <w:tcMar>
              <w:top w:w="60" w:type="dxa"/>
              <w:bottom w:w="60" w:type="dxa"/>
              <w:left w:w="100" w:type="dxa"/>
              <w:right w:w="100" w:type="dxa"/>
            </w:tcMar>
          </w:tcPr>
          <w:p>
            <w:pPr>
              <w:jc w:val="center"/>
            </w:pPr>
            <w:r>
              <w:rPr>
                <w:b/>
                <w:sz w:val="17"/>
              </w:rPr>
              <w:t>%74.9</w:t>
            </w:r>
          </w:p>
        </w:tc>
        <w:tc>
          <w:tcPr>
            <w:tcW w:type="dxa" w:w="1152"/>
            <w:shd w:fill="FFFFFF"/>
            <w:tcMar>
              <w:top w:w="60" w:type="dxa"/>
              <w:bottom w:w="60" w:type="dxa"/>
              <w:left w:w="100" w:type="dxa"/>
              <w:right w:w="100" w:type="dxa"/>
            </w:tcMar>
          </w:tcPr>
          <w:p>
            <w:pPr>
              <w:jc w:val="center"/>
            </w:pPr>
            <w:r>
              <w:rPr>
                <w:b/>
                <w:sz w:val="17"/>
              </w:rPr>
              <w:t>0.628</w:t>
            </w:r>
          </w:p>
        </w:tc>
        <w:tc>
          <w:tcPr>
            <w:tcW w:type="dxa" w:w="1152"/>
            <w:shd w:fill="FFFFFF"/>
            <w:tcMar>
              <w:top w:w="60" w:type="dxa"/>
              <w:bottom w:w="60" w:type="dxa"/>
              <w:left w:w="100" w:type="dxa"/>
              <w:right w:w="100" w:type="dxa"/>
            </w:tcMar>
          </w:tcPr>
          <w:p>
            <w:pPr>
              <w:jc w:val="center"/>
            </w:pPr>
            <w:r>
              <w:rPr>
                <w:b/>
                <w:sz w:val="17"/>
              </w:rPr>
              <w:t>0.842</w:t>
            </w:r>
          </w:p>
        </w:tc>
        <w:tc>
          <w:tcPr>
            <w:tcW w:type="dxa" w:w="1296"/>
            <w:shd w:fill="FFFFFF"/>
            <w:tcMar>
              <w:top w:w="60" w:type="dxa"/>
              <w:bottom w:w="60" w:type="dxa"/>
              <w:left w:w="100" w:type="dxa"/>
              <w:right w:w="100" w:type="dxa"/>
            </w:tcMar>
          </w:tcPr>
          <w:p>
            <w:pPr>
              <w:jc w:val="center"/>
            </w:pPr>
            <w:r>
              <w:rPr>
                <w:b/>
                <w:sz w:val="17"/>
              </w:rPr>
              <w:t>0.637</w:t>
            </w:r>
          </w:p>
        </w:tc>
      </w:tr>
      <w:tr>
        <w:tc>
          <w:tcPr>
            <w:tcW w:type="dxa" w:w="2592"/>
            <w:shd w:fill="F1F5F9"/>
            <w:tcMar>
              <w:top w:w="60" w:type="dxa"/>
              <w:bottom w:w="60" w:type="dxa"/>
              <w:left w:w="100" w:type="dxa"/>
              <w:right w:w="100" w:type="dxa"/>
            </w:tcMar>
          </w:tcPr>
          <w:p>
            <w:r>
              <w:rPr>
                <w:sz w:val="17"/>
              </w:rPr>
              <w:t>XGBoost (Tuned)</w:t>
            </w:r>
          </w:p>
        </w:tc>
        <w:tc>
          <w:tcPr>
            <w:tcW w:type="dxa" w:w="1152"/>
            <w:shd w:fill="F1F5F9"/>
            <w:tcMar>
              <w:top w:w="60" w:type="dxa"/>
              <w:bottom w:w="60" w:type="dxa"/>
              <w:left w:w="100" w:type="dxa"/>
              <w:right w:w="100" w:type="dxa"/>
            </w:tcMar>
          </w:tcPr>
          <w:p>
            <w:pPr>
              <w:jc w:val="center"/>
            </w:pPr>
            <w:r>
              <w:rPr>
                <w:sz w:val="17"/>
              </w:rPr>
              <w:t>%74.9</w:t>
            </w:r>
          </w:p>
        </w:tc>
        <w:tc>
          <w:tcPr>
            <w:tcW w:type="dxa" w:w="1008"/>
            <w:shd w:fill="F1F5F9"/>
            <w:tcMar>
              <w:top w:w="60" w:type="dxa"/>
              <w:bottom w:w="60" w:type="dxa"/>
              <w:left w:w="100" w:type="dxa"/>
              <w:right w:w="100" w:type="dxa"/>
            </w:tcMar>
          </w:tcPr>
          <w:p>
            <w:pPr>
              <w:jc w:val="center"/>
            </w:pPr>
            <w:r>
              <w:rPr>
                <w:sz w:val="17"/>
              </w:rPr>
              <w:t>0.52</w:t>
            </w:r>
          </w:p>
        </w:tc>
        <w:tc>
          <w:tcPr>
            <w:tcW w:type="dxa" w:w="1584"/>
            <w:shd w:fill="F1F5F9"/>
            <w:tcMar>
              <w:top w:w="60" w:type="dxa"/>
              <w:bottom w:w="60" w:type="dxa"/>
              <w:left w:w="100" w:type="dxa"/>
              <w:right w:w="100" w:type="dxa"/>
            </w:tcMar>
          </w:tcPr>
          <w:p>
            <w:pPr>
              <w:jc w:val="center"/>
            </w:pPr>
            <w:r>
              <w:rPr>
                <w:sz w:val="17"/>
              </w:rPr>
              <w:t>%80.2</w:t>
            </w:r>
          </w:p>
        </w:tc>
        <w:tc>
          <w:tcPr>
            <w:tcW w:type="dxa" w:w="1152"/>
            <w:shd w:fill="F1F5F9"/>
            <w:tcMar>
              <w:top w:w="60" w:type="dxa"/>
              <w:bottom w:w="60" w:type="dxa"/>
              <w:left w:w="100" w:type="dxa"/>
              <w:right w:w="100" w:type="dxa"/>
            </w:tcMar>
          </w:tcPr>
          <w:p>
            <w:pPr>
              <w:jc w:val="center"/>
            </w:pPr>
            <w:r>
              <w:rPr>
                <w:sz w:val="17"/>
              </w:rPr>
              <w:t>0.629</w:t>
            </w:r>
          </w:p>
        </w:tc>
        <w:tc>
          <w:tcPr>
            <w:tcW w:type="dxa" w:w="1152"/>
            <w:shd w:fill="F1F5F9"/>
            <w:tcMar>
              <w:top w:w="60" w:type="dxa"/>
              <w:bottom w:w="60" w:type="dxa"/>
              <w:left w:w="100" w:type="dxa"/>
              <w:right w:w="100" w:type="dxa"/>
            </w:tcMar>
          </w:tcPr>
          <w:p>
            <w:pPr>
              <w:jc w:val="center"/>
            </w:pPr>
            <w:r>
              <w:rPr>
                <w:sz w:val="17"/>
              </w:rPr>
              <w:t>0.843</w:t>
            </w:r>
          </w:p>
        </w:tc>
        <w:tc>
          <w:tcPr>
            <w:tcW w:type="dxa" w:w="1296"/>
            <w:shd w:fill="F1F5F9"/>
            <w:tcMar>
              <w:top w:w="60" w:type="dxa"/>
              <w:bottom w:w="60" w:type="dxa"/>
              <w:left w:w="100" w:type="dxa"/>
              <w:right w:w="100" w:type="dxa"/>
            </w:tcMar>
          </w:tcPr>
          <w:p>
            <w:pPr>
              <w:jc w:val="center"/>
            </w:pPr>
            <w:r>
              <w:rPr>
                <w:sz w:val="17"/>
              </w:rPr>
              <w:t>0.635</w:t>
            </w:r>
          </w:p>
        </w:tc>
      </w:tr>
      <w:tr>
        <w:tc>
          <w:tcPr>
            <w:tcW w:type="dxa" w:w="2592"/>
            <w:shd w:fill="FFFFFF"/>
            <w:tcMar>
              <w:top w:w="60" w:type="dxa"/>
              <w:bottom w:w="60" w:type="dxa"/>
              <w:left w:w="100" w:type="dxa"/>
              <w:right w:w="100" w:type="dxa"/>
            </w:tcMar>
          </w:tcPr>
          <w:p>
            <w:r>
              <w:rPr>
                <w:sz w:val="17"/>
              </w:rPr>
              <w:t>Support Vector Machine</w:t>
            </w:r>
          </w:p>
        </w:tc>
        <w:tc>
          <w:tcPr>
            <w:tcW w:type="dxa" w:w="1152"/>
            <w:shd w:fill="FFFFFF"/>
            <w:tcMar>
              <w:top w:w="60" w:type="dxa"/>
              <w:bottom w:w="60" w:type="dxa"/>
              <w:left w:w="100" w:type="dxa"/>
              <w:right w:w="100" w:type="dxa"/>
            </w:tcMar>
          </w:tcPr>
          <w:p>
            <w:pPr>
              <w:jc w:val="center"/>
            </w:pPr>
            <w:r>
              <w:rPr>
                <w:sz w:val="17"/>
              </w:rPr>
              <w:t>%74.9</w:t>
            </w:r>
          </w:p>
        </w:tc>
        <w:tc>
          <w:tcPr>
            <w:tcW w:type="dxa" w:w="1008"/>
            <w:shd w:fill="FFFFFF"/>
            <w:tcMar>
              <w:top w:w="60" w:type="dxa"/>
              <w:bottom w:w="60" w:type="dxa"/>
              <w:left w:w="100" w:type="dxa"/>
              <w:right w:w="100" w:type="dxa"/>
            </w:tcMar>
          </w:tcPr>
          <w:p>
            <w:pPr>
              <w:jc w:val="center"/>
            </w:pPr>
            <w:r>
              <w:rPr>
                <w:sz w:val="17"/>
              </w:rPr>
              <w:t>0.52</w:t>
            </w:r>
          </w:p>
        </w:tc>
        <w:tc>
          <w:tcPr>
            <w:tcW w:type="dxa" w:w="1584"/>
            <w:shd w:fill="FFFFFF"/>
            <w:tcMar>
              <w:top w:w="60" w:type="dxa"/>
              <w:bottom w:w="60" w:type="dxa"/>
              <w:left w:w="100" w:type="dxa"/>
              <w:right w:w="100" w:type="dxa"/>
            </w:tcMar>
          </w:tcPr>
          <w:p>
            <w:pPr>
              <w:jc w:val="center"/>
            </w:pPr>
            <w:r>
              <w:rPr>
                <w:sz w:val="17"/>
              </w:rPr>
              <w:t>%77.3</w:t>
            </w:r>
          </w:p>
        </w:tc>
        <w:tc>
          <w:tcPr>
            <w:tcW w:type="dxa" w:w="1152"/>
            <w:shd w:fill="FFFFFF"/>
            <w:tcMar>
              <w:top w:w="60" w:type="dxa"/>
              <w:bottom w:w="60" w:type="dxa"/>
              <w:left w:w="100" w:type="dxa"/>
              <w:right w:w="100" w:type="dxa"/>
            </w:tcMar>
          </w:tcPr>
          <w:p>
            <w:pPr>
              <w:jc w:val="center"/>
            </w:pPr>
            <w:r>
              <w:rPr>
                <w:sz w:val="17"/>
              </w:rPr>
              <w:t>0.620</w:t>
            </w:r>
          </w:p>
        </w:tc>
        <w:tc>
          <w:tcPr>
            <w:tcW w:type="dxa" w:w="1152"/>
            <w:shd w:fill="FFFFFF"/>
            <w:tcMar>
              <w:top w:w="60" w:type="dxa"/>
              <w:bottom w:w="60" w:type="dxa"/>
              <w:left w:w="100" w:type="dxa"/>
              <w:right w:w="100" w:type="dxa"/>
            </w:tcMar>
          </w:tcPr>
          <w:p>
            <w:pPr>
              <w:jc w:val="center"/>
            </w:pPr>
            <w:r>
              <w:rPr>
                <w:sz w:val="17"/>
              </w:rPr>
              <w:t>0.824</w:t>
            </w:r>
          </w:p>
        </w:tc>
        <w:tc>
          <w:tcPr>
            <w:tcW w:type="dxa" w:w="1296"/>
            <w:shd w:fill="FFFFFF"/>
            <w:tcMar>
              <w:top w:w="60" w:type="dxa"/>
              <w:bottom w:w="60" w:type="dxa"/>
              <w:left w:w="100" w:type="dxa"/>
              <w:right w:w="100" w:type="dxa"/>
            </w:tcMar>
          </w:tcPr>
          <w:p>
            <w:pPr>
              <w:jc w:val="center"/>
            </w:pPr>
            <w:r>
              <w:rPr>
                <w:sz w:val="17"/>
              </w:rPr>
              <w:t>0.621</w:t>
            </w:r>
          </w:p>
        </w:tc>
      </w:tr>
      <w:tr>
        <w:tc>
          <w:tcPr>
            <w:tcW w:type="dxa" w:w="2592"/>
            <w:shd w:fill="F1F5F9"/>
            <w:tcMar>
              <w:top w:w="60" w:type="dxa"/>
              <w:bottom w:w="60" w:type="dxa"/>
              <w:left w:w="100" w:type="dxa"/>
              <w:right w:w="100" w:type="dxa"/>
            </w:tcMar>
          </w:tcPr>
          <w:p>
            <w:r>
              <w:rPr>
                <w:sz w:val="17"/>
              </w:rPr>
              <w:t>Decision Tree (Baseline)</w:t>
            </w:r>
          </w:p>
        </w:tc>
        <w:tc>
          <w:tcPr>
            <w:tcW w:type="dxa" w:w="1152"/>
            <w:shd w:fill="F1F5F9"/>
            <w:tcMar>
              <w:top w:w="60" w:type="dxa"/>
              <w:bottom w:w="60" w:type="dxa"/>
              <w:left w:w="100" w:type="dxa"/>
              <w:right w:w="100" w:type="dxa"/>
            </w:tcMar>
          </w:tcPr>
          <w:p>
            <w:pPr>
              <w:jc w:val="center"/>
            </w:pPr>
            <w:r>
              <w:rPr>
                <w:sz w:val="17"/>
              </w:rPr>
              <w:t>%75.5</w:t>
            </w:r>
          </w:p>
        </w:tc>
        <w:tc>
          <w:tcPr>
            <w:tcW w:type="dxa" w:w="1008"/>
            <w:shd w:fill="F1F5F9"/>
            <w:tcMar>
              <w:top w:w="60" w:type="dxa"/>
              <w:bottom w:w="60" w:type="dxa"/>
              <w:left w:w="100" w:type="dxa"/>
              <w:right w:w="100" w:type="dxa"/>
            </w:tcMar>
          </w:tcPr>
          <w:p>
            <w:pPr>
              <w:jc w:val="center"/>
            </w:pPr>
            <w:r>
              <w:rPr>
                <w:sz w:val="17"/>
              </w:rPr>
              <w:t>0.53</w:t>
            </w:r>
          </w:p>
        </w:tc>
        <w:tc>
          <w:tcPr>
            <w:tcW w:type="dxa" w:w="1584"/>
            <w:shd w:fill="F1F5F9"/>
            <w:tcMar>
              <w:top w:w="60" w:type="dxa"/>
              <w:bottom w:w="60" w:type="dxa"/>
              <w:left w:w="100" w:type="dxa"/>
              <w:right w:w="100" w:type="dxa"/>
            </w:tcMar>
          </w:tcPr>
          <w:p>
            <w:pPr>
              <w:jc w:val="center"/>
            </w:pPr>
            <w:r>
              <w:rPr>
                <w:sz w:val="17"/>
              </w:rPr>
              <w:t>%74.3</w:t>
            </w:r>
          </w:p>
        </w:tc>
        <w:tc>
          <w:tcPr>
            <w:tcW w:type="dxa" w:w="1152"/>
            <w:shd w:fill="F1F5F9"/>
            <w:tcMar>
              <w:top w:w="60" w:type="dxa"/>
              <w:bottom w:w="60" w:type="dxa"/>
              <w:left w:w="100" w:type="dxa"/>
              <w:right w:w="100" w:type="dxa"/>
            </w:tcMar>
          </w:tcPr>
          <w:p>
            <w:pPr>
              <w:jc w:val="center"/>
            </w:pPr>
            <w:r>
              <w:rPr>
                <w:sz w:val="17"/>
              </w:rPr>
              <w:t>0.617</w:t>
            </w:r>
          </w:p>
        </w:tc>
        <w:tc>
          <w:tcPr>
            <w:tcW w:type="dxa" w:w="1152"/>
            <w:shd w:fill="F1F5F9"/>
            <w:tcMar>
              <w:top w:w="60" w:type="dxa"/>
              <w:bottom w:w="60" w:type="dxa"/>
              <w:left w:w="100" w:type="dxa"/>
              <w:right w:w="100" w:type="dxa"/>
            </w:tcMar>
          </w:tcPr>
          <w:p>
            <w:pPr>
              <w:jc w:val="center"/>
            </w:pPr>
            <w:r>
              <w:rPr>
                <w:sz w:val="17"/>
              </w:rPr>
              <w:t>0.833</w:t>
            </w:r>
          </w:p>
        </w:tc>
        <w:tc>
          <w:tcPr>
            <w:tcW w:type="dxa" w:w="1296"/>
            <w:shd w:fill="F1F5F9"/>
            <w:tcMar>
              <w:top w:w="60" w:type="dxa"/>
              <w:bottom w:w="60" w:type="dxa"/>
              <w:left w:w="100" w:type="dxa"/>
              <w:right w:w="100" w:type="dxa"/>
            </w:tcMar>
          </w:tcPr>
          <w:p>
            <w:pPr>
              <w:jc w:val="center"/>
            </w:pPr>
            <w:r>
              <w:rPr>
                <w:sz w:val="17"/>
              </w:rPr>
              <w:t>0.613</w:t>
            </w:r>
          </w:p>
        </w:tc>
      </w:tr>
      <w:tr>
        <w:tc>
          <w:tcPr>
            <w:tcW w:type="dxa" w:w="2592"/>
            <w:shd w:fill="FFFFFF"/>
            <w:tcMar>
              <w:top w:w="60" w:type="dxa"/>
              <w:bottom w:w="60" w:type="dxa"/>
              <w:left w:w="100" w:type="dxa"/>
              <w:right w:w="100" w:type="dxa"/>
            </w:tcMar>
          </w:tcPr>
          <w:p>
            <w:r>
              <w:rPr>
                <w:sz w:val="17"/>
              </w:rPr>
              <w:t>Logistic Regression</w:t>
            </w:r>
          </w:p>
        </w:tc>
        <w:tc>
          <w:tcPr>
            <w:tcW w:type="dxa" w:w="1152"/>
            <w:shd w:fill="FFFFFF"/>
            <w:tcMar>
              <w:top w:w="60" w:type="dxa"/>
              <w:bottom w:w="60" w:type="dxa"/>
              <w:left w:w="100" w:type="dxa"/>
              <w:right w:w="100" w:type="dxa"/>
            </w:tcMar>
          </w:tcPr>
          <w:p>
            <w:pPr>
              <w:jc w:val="center"/>
            </w:pPr>
            <w:r>
              <w:rPr>
                <w:sz w:val="17"/>
              </w:rPr>
              <w:t>%73.7</w:t>
            </w:r>
          </w:p>
        </w:tc>
        <w:tc>
          <w:tcPr>
            <w:tcW w:type="dxa" w:w="1008"/>
            <w:shd w:fill="FFFFFF"/>
            <w:tcMar>
              <w:top w:w="60" w:type="dxa"/>
              <w:bottom w:w="60" w:type="dxa"/>
              <w:left w:w="100" w:type="dxa"/>
              <w:right w:w="100" w:type="dxa"/>
            </w:tcMar>
          </w:tcPr>
          <w:p>
            <w:pPr>
              <w:jc w:val="center"/>
            </w:pPr>
            <w:r>
              <w:rPr>
                <w:sz w:val="17"/>
              </w:rPr>
              <w:t>0.50</w:t>
            </w:r>
          </w:p>
        </w:tc>
        <w:tc>
          <w:tcPr>
            <w:tcW w:type="dxa" w:w="1584"/>
            <w:shd w:fill="FFFFFF"/>
            <w:tcMar>
              <w:top w:w="60" w:type="dxa"/>
              <w:bottom w:w="60" w:type="dxa"/>
              <w:left w:w="100" w:type="dxa"/>
              <w:right w:w="100" w:type="dxa"/>
            </w:tcMar>
          </w:tcPr>
          <w:p>
            <w:pPr>
              <w:jc w:val="center"/>
            </w:pPr>
            <w:r>
              <w:rPr>
                <w:sz w:val="17"/>
              </w:rPr>
              <w:t>%78.6</w:t>
            </w:r>
          </w:p>
        </w:tc>
        <w:tc>
          <w:tcPr>
            <w:tcW w:type="dxa" w:w="1152"/>
            <w:shd w:fill="FFFFFF"/>
            <w:tcMar>
              <w:top w:w="60" w:type="dxa"/>
              <w:bottom w:w="60" w:type="dxa"/>
              <w:left w:w="100" w:type="dxa"/>
              <w:right w:w="100" w:type="dxa"/>
            </w:tcMar>
          </w:tcPr>
          <w:p>
            <w:pPr>
              <w:jc w:val="center"/>
            </w:pPr>
            <w:r>
              <w:rPr>
                <w:sz w:val="17"/>
              </w:rPr>
              <w:t>0.614</w:t>
            </w:r>
          </w:p>
        </w:tc>
        <w:tc>
          <w:tcPr>
            <w:tcW w:type="dxa" w:w="1152"/>
            <w:shd w:fill="FFFFFF"/>
            <w:tcMar>
              <w:top w:w="60" w:type="dxa"/>
              <w:bottom w:w="60" w:type="dxa"/>
              <w:left w:w="100" w:type="dxa"/>
              <w:right w:w="100" w:type="dxa"/>
            </w:tcMar>
          </w:tcPr>
          <w:p>
            <w:pPr>
              <w:jc w:val="center"/>
            </w:pPr>
            <w:r>
              <w:rPr>
                <w:sz w:val="17"/>
              </w:rPr>
              <w:t>0.843</w:t>
            </w:r>
          </w:p>
        </w:tc>
        <w:tc>
          <w:tcPr>
            <w:tcW w:type="dxa" w:w="1296"/>
            <w:shd w:fill="FFFFFF"/>
            <w:tcMar>
              <w:top w:w="60" w:type="dxa"/>
              <w:bottom w:w="60" w:type="dxa"/>
              <w:left w:w="100" w:type="dxa"/>
              <w:right w:w="100" w:type="dxa"/>
            </w:tcMar>
          </w:tcPr>
          <w:p>
            <w:pPr>
              <w:jc w:val="center"/>
            </w:pPr>
            <w:r>
              <w:rPr>
                <w:sz w:val="17"/>
              </w:rPr>
              <w:t>0.627</w:t>
            </w:r>
          </w:p>
        </w:tc>
      </w:tr>
    </w:tbl>
    <w:p>
      <w:pPr>
        <w:spacing w:before="0" w:after="120" w:line="276" w:lineRule="auto"/>
      </w:pPr>
      <w:r>
        <w:rPr>
          <w:b/>
          <w:color w:val="0F172A"/>
          <w:sz w:val="19"/>
        </w:rPr>
        <w:t>Şampiyon Model ve Aşırı Öğrenme Analizi:</w:t>
      </w:r>
      <w:r>
        <w:rPr>
          <w:color w:val="0F172A"/>
          <w:sz w:val="19"/>
        </w:rPr>
        <w:t xml:space="preserve"> Test kümesine sızma (data leakage) yapılmadan, doğrudan eğitim kümesinde 5-katlı çapraz doğrulama F1 skoru (0.637) en yüksek olan 'Random Forest (Tuned)' şampiyon seçilmiştir. Ham ormanda %21.2 olan eğitim-test doğruluk farkı, ağaç derinliği ve yaprak sınırlamasıyla (max_depth=8, min_samples_leaf=1, n_estimators=200) %4.8'e indirilmiş; modelin ezber yapması engellenmiştir. Test kümesinde %74.9 duyarlılık (Recall) ve 0.842 ROC-AUC elde edilmiştir.</w:t>
      </w:r>
    </w:p>
    <w:p>
      <w:pPr>
        <w:spacing w:before="0" w:after="80" w:line="276" w:lineRule="auto"/>
      </w:pPr>
      <w:r>
        <w:rPr>
          <w:b/>
          <w:color w:val="0F172A"/>
          <w:sz w:val="19"/>
        </w:rPr>
        <w:t>Maliyet-Kazanç ve Karar Eşiği Optimizasyonu:</w:t>
      </w:r>
      <w:r>
        <w:rPr>
          <w:color w:val="0F172A"/>
          <w:sz w:val="19"/>
        </w:rPr>
        <w:t xml:space="preserve"> Müşteri kaybetme maliyeti ($200) ile elde tutma teşviki maliyeti ($50) modellenerek karar eşiği analizi yapılmıştır. Standart 0.50 eşiği yerine 0.44 eşik değeri kullanıldığında model net $31.550 tasarruf üretmektedir.</w:t>
      </w:r>
    </w:p>
    <w:p>
      <w:pPr>
        <w:spacing w:before="280" w:after="80"/>
      </w:pPr>
      <w:r>
        <w:rPr>
          <w:b/>
          <w:color w:val="0E7490"/>
          <w:sz w:val="26"/>
        </w:rPr>
        <w:t>5. Akıllı Tahmin Aracı ve Stratejik Çıkarımlar (Aşama 6 &amp; 7)</w:t>
      </w:r>
    </w:p>
    <w:p>
      <w:pPr>
        <w:spacing w:before="0" w:after="80" w:line="276" w:lineRule="auto"/>
      </w:pPr>
      <w:r>
        <w:rPr>
          <w:b/>
          <w:color w:val="0F172A"/>
          <w:sz w:val="19"/>
        </w:rPr>
        <w:t>Geliştirilen Mini Uygulamalar:</w:t>
      </w:r>
      <w:r>
        <w:rPr>
          <w:color w:val="0F172A"/>
          <w:sz w:val="19"/>
        </w:rPr>
        <w:t xml:space="preserve"> Konsol Tahmin Aracı (tahmin_et) ile kullanıcıdan interaktif girdi alınıp anında f-string cümleleriyle terk olasılığı ve risk seviyesi raporlanmaktadır. Ek olarak, modern karanlık temalı interaktif bir Streamlit Web Uygulaması geliştirilmiş; ne-olursa (What-If) senaryoları ve reçeteli aksiyon önerileri eklenmiştir.</w:t>
      </w:r>
    </w:p>
    <w:p>
      <w:pPr>
        <w:spacing w:before="0" w:after="80" w:line="276" w:lineRule="auto"/>
      </w:pPr>
      <w:r>
        <w:rPr>
          <w:b/>
          <w:color w:val="0F172A"/>
          <w:sz w:val="19"/>
        </w:rPr>
        <w:t>İş Dünyası İçin 3 Stratejik Aksiyon:</w:t>
      </w:r>
      <w:r>
        <w:rPr>
          <w:color w:val="0F172A"/>
          <w:sz w:val="19"/>
        </w:rPr>
        <w:t xml:space="preserve"> 1) Aylık sözleşmedeki yeni abonelere ilk 90 günde yıllık sözleşmeye geçiş için %15 indirim tanımlanmalıdır. 2) Fiber optik müşterilerine 3 aylık ücretsiz teknik destek paketi sağlanmalıdır. 3) Elektronik çekten otomatik ödemeye geçen abonelere bir defalık $10 fatura indirimi sunulmalıdır.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