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Omnivore Architecture Notes</w:t>
      </w:r>
    </w:p>
    <w:p>
      <w:r>
        <w:t>Omnivore ingests heterogeneous documents and produces a uniform structured representation. Each format handler converts its input into blocks and fragments that downstream stages can process identically.</w:t>
      </w:r>
    </w:p>
    <w:p>
      <w:pPr>
        <w:pStyle w:val="Heading2"/>
      </w:pPr>
      <w:r>
        <w:t>Chunking Strategy</w:t>
      </w:r>
    </w:p>
    <w:p>
      <w:r>
        <w:t>The chunker is structure-first: section boundaries take precedence over token limits, and a chunk is never split across a heading. Token overflow only applies within a single section, keeping retrieval units semantically coherent.</w:t>
      </w:r>
    </w:p>
    <w:p>
      <w:r>
        <w:t>Chunks carry mandatory metadata including the heading path, the source block identifiers, and their ordinal position within the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