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b/>
          <w:color w:val="00A6A6"/>
        </w:rPr>
        <w:t>TEKLİFPRO · LIVE BIM READINESS</w:t>
      </w:r>
    </w:p>
    <w:p>
      <w:pPr>
        <w:pStyle w:val="Title"/>
        <w:jc w:val="left"/>
      </w:pPr>
      <w:r>
        <w:rPr>
          <w:b w:val="0"/>
        </w:rPr>
        <w:t>Canlı Uygulama BIM GAP Raporu</w:t>
      </w:r>
    </w:p>
    <w:p>
      <w:r>
        <w:rPr>
          <w:b w:val="0"/>
        </w:rPr>
        <w:t>23 Temmuz 2026  |  localhost:3013  |  Playwright canlı tarayıcı kanıtı</w:t>
      </w:r>
    </w:p>
    <w:p>
      <w:r>
        <w:rPr>
          <w:b/>
          <w:color w:val="123047"/>
        </w:rPr>
        <w:t>Karar: Uygulama demo ve kontrollü teknik pilot hazırlık seviyesinde; müşteri production pilotu için P0/P1 GAP’ler devam ediyor.</w:t>
      </w:r>
    </w:p>
    <w:p>
      <w:pPr>
        <w:pStyle w:val="Heading1"/>
      </w:pPr>
      <w:r>
        <w:rPr>
          <w:b w:val="0"/>
        </w:rPr>
        <w:t>1. Executive Summary</w:t>
      </w:r>
    </w:p>
    <w:p>
      <w:r>
        <w:rPr>
          <w:b w:val="0"/>
        </w:rPr>
        <w:t>Uygulama gerçek tarayıcıda başlatıldı. Public Academy, login, dashboard ve /app/smartcheck ekranları açıldı. SmartCheck ekranı evidence-first mesajını, Excel/CSV yükleme alanını, kolon eşlemesini ve kaynak hücre incelemesini görünür kılıyor.</w:t>
      </w:r>
    </w:p>
    <w:p>
      <w:r>
        <w:rPr>
          <w:b w:val="0"/>
        </w:rPr>
        <w:t>Canlı ekran kanıtı production pilot hazır olduğu anlamına gelmez. Gerçek müşteri dosyası, teknik reviewer kaydı, production S3 kanıtı ve browser upload-to-transfer kanıtı hâlâ gereklidir.</w:t>
      </w:r>
    </w:p>
    <w:p>
      <w:pPr>
        <w:pStyle w:val="Heading1"/>
      </w:pPr>
      <w:r>
        <w:rPr>
          <w:b w:val="0"/>
        </w:rPr>
        <w:t>2. Canlı Kanıt Günlüğü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Kanıt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Sonuç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Güven</w:t>
            </w:r>
          </w:p>
        </w:tc>
      </w:tr>
      <w:tr>
        <w:tc>
          <w:tcPr>
            <w:tcW w:type="dxa" w:w="3408"/>
            <w:vAlign w:val="center"/>
          </w:tcPr>
          <w:p>
            <w:r>
              <w:t>/academy</w:t>
            </w:r>
          </w:p>
        </w:tc>
        <w:tc>
          <w:tcPr>
            <w:tcW w:type="dxa" w:w="3408"/>
            <w:vAlign w:val="center"/>
          </w:tcPr>
          <w:p>
            <w:r>
              <w:t>Açıldı; Academy navigasyonu ve CTA’lar görünür</w:t>
            </w:r>
          </w:p>
        </w:tc>
        <w:tc>
          <w:tcPr>
            <w:tcW w:type="dxa" w:w="3408"/>
            <w:vAlign w:val="center"/>
          </w:tcPr>
          <w:p>
            <w:r>
              <w:t>Yüksek</w:t>
            </w:r>
          </w:p>
        </w:tc>
      </w:tr>
      <w:tr>
        <w:tc>
          <w:tcPr>
            <w:tcW w:type="dxa" w:w="3408"/>
            <w:vAlign w:val="center"/>
          </w:tcPr>
          <w:p>
            <w:r>
              <w:t>/login + admin oturumu</w:t>
            </w:r>
          </w:p>
        </w:tc>
        <w:tc>
          <w:tcPr>
            <w:tcW w:type="dxa" w:w="3408"/>
            <w:vAlign w:val="center"/>
          </w:tcPr>
          <w:p>
            <w:r>
              <w:t>/app dashboard’a yönlendi</w:t>
            </w:r>
          </w:p>
        </w:tc>
        <w:tc>
          <w:tcPr>
            <w:tcW w:type="dxa" w:w="3408"/>
            <w:vAlign w:val="center"/>
          </w:tcPr>
          <w:p>
            <w:r>
              <w:t>Yüksek</w:t>
            </w:r>
          </w:p>
        </w:tc>
      </w:tr>
      <w:tr>
        <w:tc>
          <w:tcPr>
            <w:tcW w:type="dxa" w:w="3408"/>
            <w:vAlign w:val="center"/>
          </w:tcPr>
          <w:p>
            <w:r>
              <w:t>/app/smartcheck</w:t>
            </w:r>
          </w:p>
        </w:tc>
        <w:tc>
          <w:tcPr>
            <w:tcW w:type="dxa" w:w="3408"/>
            <w:vAlign w:val="center"/>
          </w:tcPr>
          <w:p>
            <w:r>
              <w:t>Upload, mapping, kaynak kanıtı ve review alanı görünür</w:t>
            </w:r>
          </w:p>
        </w:tc>
        <w:tc>
          <w:tcPr>
            <w:tcW w:type="dxa" w:w="3408"/>
            <w:vAlign w:val="center"/>
          </w:tcPr>
          <w:p>
            <w:r>
              <w:t>Yüksek</w:t>
            </w:r>
          </w:p>
        </w:tc>
      </w:tr>
      <w:tr>
        <w:tc>
          <w:tcPr>
            <w:tcW w:type="dxa" w:w="3408"/>
            <w:vAlign w:val="center"/>
          </w:tcPr>
          <w:p>
            <w:r>
              <w:t>HTTP + PostgreSQL harness</w:t>
            </w:r>
          </w:p>
        </w:tc>
        <w:tc>
          <w:tcPr>
            <w:tcW w:type="dxa" w:w="3408"/>
            <w:vAlign w:val="center"/>
          </w:tcPr>
          <w:p>
            <w:r>
              <w:t>Gerçek endpoint zinciri ve tenant izolasyonu 1/1 geçti</w:t>
            </w:r>
          </w:p>
        </w:tc>
        <w:tc>
          <w:tcPr>
            <w:tcW w:type="dxa" w:w="3408"/>
            <w:vAlign w:val="center"/>
          </w:tcPr>
          <w:p>
            <w:r>
              <w:t>Yüksek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Console</w:t>
            </w:r>
          </w:p>
        </w:tc>
        <w:tc>
          <w:tcPr>
            <w:tcW w:type="dxa" w:w="3408"/>
            <w:vAlign w:val="center"/>
          </w:tcPr>
          <w:p>
            <w:r>
              <w:t>favicon 404 ve development HMR websocket uyarısı</w:t>
            </w:r>
          </w:p>
        </w:tc>
        <w:tc>
          <w:tcPr>
            <w:tcW w:type="dxa" w:w="3408"/>
            <w:vAlign w:val="center"/>
          </w:tcPr>
          <w:p>
            <w:r>
              <w:t>Yüksek</w:t>
            </w:r>
          </w:p>
        </w:tc>
      </w:tr>
    </w:tbl>
    <w:p>
      <w:pPr>
        <w:pStyle w:val="Heading1"/>
      </w:pPr>
      <w:r>
        <w:rPr>
          <w:b w:val="0"/>
        </w:rPr>
        <w:t>3. Current BIM Maturity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Boyut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Seviye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Bulgular</w:t>
            </w:r>
          </w:p>
        </w:tc>
      </w:tr>
      <w:tr>
        <w:tc>
          <w:tcPr>
            <w:tcW w:type="dxa" w:w="3408"/>
            <w:vAlign w:val="center"/>
          </w:tcPr>
          <w:p>
            <w:r>
              <w:t>People</w:t>
            </w:r>
          </w:p>
        </w:tc>
        <w:tc>
          <w:tcPr>
            <w:tcW w:type="dxa" w:w="3408"/>
            <w:vAlign w:val="center"/>
          </w:tcPr>
          <w:p>
            <w:r>
              <w:t>Pilot hazırlığı</w:t>
            </w:r>
          </w:p>
        </w:tc>
        <w:tc>
          <w:tcPr>
            <w:tcW w:type="dxa" w:w="3408"/>
            <w:vAlign w:val="center"/>
          </w:tcPr>
          <w:p>
            <w:r>
              <w:t>Reviewer veri sözleşmesi var; gerçek atama/onay yok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</w:t>
            </w:r>
          </w:p>
        </w:tc>
        <w:tc>
          <w:tcPr>
            <w:tcW w:type="dxa" w:w="3408"/>
            <w:vAlign w:val="center"/>
          </w:tcPr>
          <w:p>
            <w:r>
              <w:t>Orta</w:t>
            </w:r>
          </w:p>
        </w:tc>
        <w:tc>
          <w:tcPr>
            <w:tcW w:type="dxa" w:w="3408"/>
            <w:vAlign w:val="center"/>
          </w:tcPr>
          <w:p>
            <w:r>
              <w:t>Upload → normalize → validate → review → transfer akışı var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Information</w:t>
            </w:r>
          </w:p>
        </w:tc>
        <w:tc>
          <w:tcPr>
            <w:tcW w:type="dxa" w:w="3408"/>
            <w:vAlign w:val="center"/>
          </w:tcPr>
          <w:p>
            <w:r>
              <w:t>Orta+</w:t>
            </w:r>
          </w:p>
        </w:tc>
        <w:tc>
          <w:tcPr>
            <w:tcW w:type="dxa" w:w="3408"/>
            <w:vAlign w:val="center"/>
          </w:tcPr>
          <w:p>
            <w:r>
              <w:t>Source cell, raw/normalized değer, audit izi tutuluyor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Governance</w:t>
            </w:r>
          </w:p>
        </w:tc>
        <w:tc>
          <w:tcPr>
            <w:tcW w:type="dxa" w:w="3408"/>
            <w:vAlign w:val="center"/>
          </w:tcPr>
          <w:p>
            <w:r>
              <w:t>Orta-</w:t>
            </w:r>
          </w:p>
        </w:tc>
        <w:tc>
          <w:tcPr>
            <w:tcW w:type="dxa" w:w="3408"/>
            <w:vAlign w:val="center"/>
          </w:tcPr>
          <w:p>
            <w:r>
              <w:t>Kural metadata var; canlı reviewer cockpit yok</w:t>
            </w:r>
          </w:p>
        </w:tc>
      </w:tr>
      <w:tr>
        <w:tc>
          <w:tcPr>
            <w:tcW w:type="dxa" w:w="3408"/>
            <w:vAlign w:val="center"/>
          </w:tcPr>
          <w:p>
            <w:r>
              <w:t>Technology</w:t>
            </w:r>
          </w:p>
        </w:tc>
        <w:tc>
          <w:tcPr>
            <w:tcW w:type="dxa" w:w="3408"/>
            <w:vAlign w:val="center"/>
          </w:tcPr>
          <w:p>
            <w:r>
              <w:t>Orta+</w:t>
            </w:r>
          </w:p>
        </w:tc>
        <w:tc>
          <w:tcPr>
            <w:tcW w:type="dxa" w:w="3408"/>
            <w:vAlign w:val="center"/>
          </w:tcPr>
          <w:p>
            <w:r>
              <w:t>Express/Vite/Drizzle/PostgreSQL/Worker ve storage adapter mevcut</w:t>
            </w:r>
          </w:p>
        </w:tc>
      </w:tr>
      <w:tr>
        <w:tc>
          <w:tcPr>
            <w:tcW w:type="dxa" w:w="3408"/>
            <w:vAlign w:val="center"/>
          </w:tcPr>
          <w:p>
            <w:r>
              <w:t>Evidence</w:t>
            </w:r>
          </w:p>
        </w:tc>
        <w:tc>
          <w:tcPr>
            <w:tcW w:type="dxa" w:w="3408"/>
            <w:vAlign w:val="center"/>
          </w:tcPr>
          <w:p>
            <w:r>
              <w:t>Orta</w:t>
            </w:r>
          </w:p>
        </w:tc>
        <w:tc>
          <w:tcPr>
            <w:tcW w:type="dxa" w:w="3408"/>
            <w:vAlign w:val="center"/>
          </w:tcPr>
          <w:p>
            <w:r>
              <w:t>Browser smoke ve HTTP harness var; müşteri dosyası yok</w:t>
            </w:r>
          </w:p>
        </w:tc>
      </w:tr>
    </w:tbl>
    <w:p>
      <w:r>
        <w:rPr>
          <w:b w:val="0"/>
        </w:rPr>
        <w:t>Bu değerlendirme ISO 19650 uyumluluğu veya sertifikasyonu iddiası değildir. EIR, BEP, CDE ve sözleşme bilgi gereksinimleri doğrulanmadan böyle bir sonuç verilemez.</w:t>
      </w:r>
    </w:p>
    <w:p>
      <w:pPr>
        <w:pStyle w:val="Heading1"/>
      </w:pPr>
      <w:r>
        <w:rPr>
          <w:b w:val="0"/>
        </w:rPr>
        <w:t>4. Information Requirements and Governance</w:t>
      </w:r>
    </w:p>
    <w:p>
      <w:r>
        <w:rPr>
          <w:b w:val="0"/>
        </w:rPr>
        <w:t>Her pilot dosyası müşteri/proje kimliği, izin ve retention, checksum, sheet/header mapping, source row/cell, raw/normalized değer, rule version, reviewer kararı ve aktarım idempotency sonucunu taşımalıdır.</w:t>
      </w:r>
    </w:p>
    <w:p>
      <w:r>
        <w:rPr>
          <w:b w:val="0"/>
        </w:rPr>
        <w:t>Önerilen kontrollü akış: Customer consent → upload quarantine → checksum/signature → parse → normalize → validate → human review → technical exception/rejection → approved transfer → quotation revision/PDF.</w:t>
      </w:r>
    </w:p>
    <w:p>
      <w:pPr>
        <w:pStyle w:val="Heading1"/>
      </w:pPr>
      <w:r>
        <w:rPr>
          <w:b w:val="0"/>
        </w:rPr>
        <w:t>5. Live UI / High-End Visual Review</w:t>
      </w:r>
    </w:p>
    <w:p>
      <w:r>
        <w:rPr>
          <w:b w:val="0"/>
        </w:rPr>
        <w:t>Seçilen arketip: Ethereal Glass + Asymmetrical Bento. SmartCheck alanının evidence-first konumlandırması güçlü; ancak demo denetimi ile gerçek import aynı sayfada daha sert ayrıştırılmalı, bekleyen feature gate ve reviewer/permission provenance paneli görünür olmalıdır.</w:t>
      </w:r>
    </w:p>
    <w:p>
      <w:r>
        <w:rPr>
          <w:b w:val="0"/>
        </w:rPr>
        <w:t>Canlı console’da favicon 404 gözlendi. Development HMR websocket uyarıları production smoke sinyalinden ayrıştırılmalı.</w:t>
      </w:r>
    </w:p>
    <w:p>
      <w:pPr>
        <w:pStyle w:val="Heading1"/>
      </w:pPr>
      <w:r>
        <w:rPr>
          <w:b w:val="0"/>
        </w:rPr>
        <w:t>6. Öncelikli GAP’ler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Öncelik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GAP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Çıkış kriteri</w:t>
            </w:r>
          </w:p>
        </w:tc>
      </w:tr>
      <w:tr>
        <w:tc>
          <w:tcPr>
            <w:tcW w:type="dxa" w:w="3408"/>
            <w:vAlign w:val="center"/>
          </w:tcPr>
          <w:p>
            <w:r>
              <w:t>P0</w:t>
            </w:r>
          </w:p>
        </w:tc>
        <w:tc>
          <w:tcPr>
            <w:tcW w:type="dxa" w:w="3408"/>
            <w:vAlign w:val="center"/>
          </w:tcPr>
          <w:p>
            <w:r>
              <w:t>Gerçek MEP browser upload → transfer kanıtı</w:t>
            </w:r>
          </w:p>
        </w:tc>
        <w:tc>
          <w:tcPr>
            <w:tcW w:type="dxa" w:w="3408"/>
            <w:vAlign w:val="center"/>
          </w:tcPr>
          <w:p>
            <w:r>
              <w:t>İzinli dosyada tam zincir ve PDF/regression kanıtı</w:t>
            </w:r>
          </w:p>
        </w:tc>
      </w:tr>
      <w:tr>
        <w:tc>
          <w:tcPr>
            <w:tcW w:type="dxa" w:w="3408"/>
            <w:vAlign w:val="center"/>
          </w:tcPr>
          <w:p>
            <w:r>
              <w:t>P0</w:t>
            </w:r>
          </w:p>
        </w:tc>
        <w:tc>
          <w:tcPr>
            <w:tcW w:type="dxa" w:w="3408"/>
            <w:vAlign w:val="center"/>
          </w:tcPr>
          <w:p>
            <w:r>
              <w:t>Reviewer ve provenance görünürlüğü</w:t>
            </w:r>
          </w:p>
        </w:tc>
        <w:tc>
          <w:tcPr>
            <w:tcW w:type="dxa" w:w="3408"/>
            <w:vAlign w:val="center"/>
          </w:tcPr>
          <w:p>
            <w:r>
              <w:t>İsim, scope, karar zamanı ve rule version görünür</w:t>
            </w:r>
          </w:p>
        </w:tc>
      </w:tr>
      <w:tr>
        <w:tc>
          <w:tcPr>
            <w:tcW w:type="dxa" w:w="3408"/>
            <w:vAlign w:val="center"/>
          </w:tcPr>
          <w:p>
            <w:r>
              <w:t>P0</w:t>
            </w:r>
          </w:p>
        </w:tc>
        <w:tc>
          <w:tcPr>
            <w:tcW w:type="dxa" w:w="3408"/>
            <w:vAlign w:val="center"/>
          </w:tcPr>
          <w:p>
            <w:r>
              <w:t>Feature flag + allowlist canlı doğrulaması</w:t>
            </w:r>
          </w:p>
        </w:tc>
        <w:tc>
          <w:tcPr>
            <w:tcW w:type="dxa" w:w="3408"/>
            <w:vAlign w:val="center"/>
          </w:tcPr>
          <w:p>
            <w:r>
              <w:t>Pilot şirketi dışında 404; pilot şirketinde akış açık</w:t>
            </w:r>
          </w:p>
        </w:tc>
      </w:tr>
      <w:tr>
        <w:tc>
          <w:tcPr>
            <w:tcW w:type="dxa" w:w="3408"/>
            <w:vAlign w:val="center"/>
          </w:tcPr>
          <w:p>
            <w:r>
              <w:t>P1</w:t>
            </w:r>
          </w:p>
        </w:tc>
        <w:tc>
          <w:tcPr>
            <w:tcW w:type="dxa" w:w="3408"/>
            <w:vAlign w:val="center"/>
          </w:tcPr>
          <w:p>
            <w:r>
              <w:t>Sheet/header preview ve MEP sözlüğü</w:t>
            </w:r>
          </w:p>
        </w:tc>
        <w:tc>
          <w:tcPr>
            <w:tcW w:type="dxa" w:w="3408"/>
            <w:vAlign w:val="center"/>
          </w:tcPr>
          <w:p>
            <w:r>
              <w:t>Beş dosyada mapping ve ≥%90 manuel yeniden girişsiz parse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P1</w:t>
            </w:r>
          </w:p>
        </w:tc>
        <w:tc>
          <w:tcPr>
            <w:tcW w:type="dxa" w:w="3408"/>
            <w:vAlign w:val="center"/>
          </w:tcPr>
          <w:p>
            <w:r>
              <w:t>Queue/operator/KPI görünürlüğü</w:t>
            </w:r>
          </w:p>
        </w:tc>
        <w:tc>
          <w:tcPr>
            <w:tcW w:type="dxa" w:w="3408"/>
            <w:vAlign w:val="center"/>
          </w:tcPr>
          <w:p>
            <w:r>
              <w:t>Retry, bulgu, süre ve aktarım metrikleri kayıtlı</w:t>
            </w:r>
          </w:p>
        </w:tc>
      </w:tr>
      <w:tr>
        <w:tc>
          <w:tcPr>
            <w:tcW w:type="dxa" w:w="3408"/>
            <w:vAlign w:val="center"/>
          </w:tcPr>
          <w:p>
            <w:r>
              <w:t>P2</w:t>
            </w:r>
          </w:p>
        </w:tc>
        <w:tc>
          <w:tcPr>
            <w:tcW w:type="dxa" w:w="3408"/>
            <w:vAlign w:val="center"/>
          </w:tcPr>
          <w:p>
            <w:r>
              <w:t>CDE/BEP/EIR şablon entegrasyonu</w:t>
            </w:r>
          </w:p>
        </w:tc>
        <w:tc>
          <w:tcPr>
            <w:tcW w:type="dxa" w:w="3408"/>
            <w:vAlign w:val="center"/>
          </w:tcPr>
          <w:p>
            <w:r>
              <w:t>Proje sözleşmesiyle doğrulanmış bilgi gereksinimleri</w:t>
            </w:r>
          </w:p>
        </w:tc>
      </w:tr>
    </w:tbl>
    <w:p>
      <w:pPr>
        <w:pStyle w:val="Heading1"/>
      </w:pPr>
      <w:r>
        <w:rPr>
          <w:b w:val="0"/>
        </w:rPr>
        <w:t>7. Roadmap and Decisions</w:t>
      </w:r>
    </w:p>
    <w:p>
      <w:r>
        <w:rPr>
          <w:b w:val="0"/>
        </w:rPr>
        <w:t>Sıradaki adım: gerçek müşteri dosyası gelmeden önce P0 browser smoke ve provenance panelini tamamlamak; ardından beş dosyalı pilot admission başlatmak. Karar sahipleri: product owner, teknik reviewer, müşteri veri sahibi ve storage/DevOps sahibi.</w:t>
      </w:r>
    </w:p>
    <w:p>
      <w:r>
        <w:rPr>
          <w:b w:val="0"/>
        </w:rPr>
        <w:t>Confidence: Teknik route/harness bulguları yüksek; BIM saha genellenebilirliği orta-düşük, çünkü gerçek müşteri MEP örneklemi henüz yok.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t>TeklifPro · Live BIM Readiness · Internal pilot evidence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ascii="Aptos Display" w:hAnsi="Aptos Display"/>
      <w:b w:val="1"/>
      <w:bCs w:val="1"/>
      <w:color w:val="123047"/>
      <w:sz w:val="32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 Display" w:cs="Calibri" w:eastAsia="Calibri" w:hAnsi="Aptos Display"/>
      <w:b w:val="1"/>
      <w:bCs w:val="1"/>
      <w:smallCaps w:val="1"/>
      <w:color w:val="00A6A6"/>
      <w:sz w:val="24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ascii="Aptos Display" w:hAnsi="Aptos Display"/>
      <w:b w:val="1"/>
      <w:bCs w:val="1"/>
      <w:color w:val="123047"/>
      <w:sz w:val="50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