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5324B"/>
          <w:sz w:val="54"/>
        </w:rPr>
        <w:t>PRODUCT REQUIREMENTS</w:t>
        <w:br/>
        <w:t>DOCUMENT</w:t>
      </w:r>
    </w:p>
    <w:p>
      <w:pPr>
        <w:jc w:val="center"/>
      </w:pPr>
      <w:r>
        <w:rPr>
          <w:b/>
          <w:color w:val="176B87"/>
          <w:sz w:val="34"/>
        </w:rPr>
        <w:t>WEB INVENTORY — OMAH VISUAL LED</w:t>
      </w:r>
    </w:p>
    <w:p>
      <w:pPr>
        <w:spacing w:before="280"/>
        <w:jc w:val="center"/>
      </w:pPr>
      <w:r>
        <w:rPr>
          <w:sz w:val="24"/>
        </w:rPr>
        <w:t>Business Discovery &amp; MVP Scope | Draft 0.2</w:t>
      </w:r>
    </w:p>
    <w:p>
      <w:pPr>
        <w:spacing w:before="2000"/>
        <w:jc w:val="center"/>
      </w:pPr>
      <w:r>
        <w:rPr>
          <w:sz w:val="22"/>
        </w:rPr>
        <w:t>Teknologi: PostgreSQL • Laravel • Blade</w:t>
        <w:br/>
        <w:t>Lokasi awal: Gedung utama Omah Visual LED</w:t>
      </w:r>
    </w:p>
    <w:p>
      <w:r>
        <w:br w:type="page"/>
      </w:r>
    </w:p>
    <w:p>
      <w:pPr>
        <w:pStyle w:val="Heading1"/>
      </w:pPr>
      <w:r>
        <w:t>Informasi Dokumen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5324B"/>
          </w:tcPr>
          <w:p>
            <w:pPr>
              <w:spacing w:after="20"/>
            </w:pPr>
            <w:r/>
            <w:r>
              <w:rPr>
                <w:rFonts w:ascii="Aptos" w:hAnsi="Aptos"/>
                <w:b/>
                <w:color w:val="FFFFFF"/>
                <w:sz w:val="17"/>
              </w:rPr>
              <w:t>Atribut</w:t>
            </w:r>
          </w:p>
        </w:tc>
        <w:tc>
          <w:tcPr>
            <w:tcW w:type="dxa" w:w="4968"/>
            <w:vAlign w:val="center"/>
            <w:shd w:fill="15324B"/>
          </w:tcPr>
          <w:p>
            <w:pPr>
              <w:spacing w:after="20"/>
            </w:pPr>
            <w:r/>
            <w:r>
              <w:rPr>
                <w:rFonts w:ascii="Aptos" w:hAnsi="Aptos"/>
                <w:b/>
                <w:color w:val="FFFFFF"/>
                <w:sz w:val="17"/>
              </w:rPr>
              <w:t>Keterangan</w:t>
            </w:r>
          </w:p>
        </w:tc>
      </w:tr>
      <w:tr>
        <w:tc>
          <w:tcPr>
            <w:tcW w:type="dxa" w:w="4968"/>
            <w:vAlign w:val="center"/>
          </w:tcPr>
          <w:p>
            <w:pPr>
              <w:spacing w:after="20"/>
            </w:pPr>
            <w:r/>
            <w:r>
              <w:rPr>
                <w:rFonts w:ascii="Aptos" w:hAnsi="Aptos"/>
                <w:b w:val="0"/>
                <w:sz w:val="16"/>
              </w:rPr>
              <w:t>Nama dokumen</w:t>
            </w:r>
          </w:p>
        </w:tc>
        <w:tc>
          <w:tcPr>
            <w:tcW w:type="dxa" w:w="4968"/>
            <w:vAlign w:val="center"/>
          </w:tcPr>
          <w:p>
            <w:pPr>
              <w:spacing w:after="20"/>
            </w:pPr>
            <w:r/>
            <w:r>
              <w:rPr>
                <w:rFonts w:ascii="Aptos" w:hAnsi="Aptos"/>
                <w:b w:val="0"/>
                <w:sz w:val="16"/>
              </w:rPr>
              <w:t>PRD Web Inventory Omah Visual LED</w:t>
            </w:r>
          </w:p>
        </w:tc>
      </w:tr>
      <w:tr>
        <w:tc>
          <w:tcPr>
            <w:tcW w:type="dxa" w:w="4968"/>
            <w:vAlign w:val="center"/>
            <w:shd w:fill="F2F6F8"/>
          </w:tcPr>
          <w:p>
            <w:pPr>
              <w:spacing w:after="20"/>
            </w:pPr>
            <w:r/>
            <w:r>
              <w:rPr>
                <w:rFonts w:ascii="Aptos" w:hAnsi="Aptos"/>
                <w:b w:val="0"/>
                <w:sz w:val="16"/>
              </w:rPr>
              <w:t>Versi</w:t>
            </w:r>
          </w:p>
        </w:tc>
        <w:tc>
          <w:tcPr>
            <w:tcW w:type="dxa" w:w="4968"/>
            <w:vAlign w:val="center"/>
            <w:shd w:fill="F2F6F8"/>
          </w:tcPr>
          <w:p>
            <w:pPr>
              <w:spacing w:after="20"/>
            </w:pPr>
            <w:r/>
            <w:r>
              <w:rPr>
                <w:rFonts w:ascii="Aptos" w:hAnsi="Aptos"/>
                <w:b w:val="0"/>
                <w:sz w:val="16"/>
              </w:rPr>
              <w:t>Draft 0.2 — bahan diskusi, belum final</w:t>
            </w:r>
          </w:p>
        </w:tc>
      </w:tr>
      <w:tr>
        <w:tc>
          <w:tcPr>
            <w:tcW w:type="dxa" w:w="4968"/>
            <w:vAlign w:val="center"/>
          </w:tcPr>
          <w:p>
            <w:pPr>
              <w:spacing w:after="20"/>
            </w:pPr>
            <w:r/>
            <w:r>
              <w:rPr>
                <w:rFonts w:ascii="Aptos" w:hAnsi="Aptos"/>
                <w:b w:val="0"/>
                <w:sz w:val="16"/>
              </w:rPr>
              <w:t>Tujuan</w:t>
            </w:r>
          </w:p>
        </w:tc>
        <w:tc>
          <w:tcPr>
            <w:tcW w:type="dxa" w:w="4968"/>
            <w:vAlign w:val="center"/>
          </w:tcPr>
          <w:p>
            <w:pPr>
              <w:spacing w:after="20"/>
            </w:pPr>
            <w:r/>
            <w:r>
              <w:rPr>
                <w:rFonts w:ascii="Aptos" w:hAnsi="Aptos"/>
                <w:b w:val="0"/>
                <w:sz w:val="16"/>
              </w:rPr>
              <w:t>Menyatukan Business Discovery, scope MVP, rancangan fungsional, RBAC awal, model data konseptual, dan acceptance criteria.</w:t>
            </w:r>
          </w:p>
        </w:tc>
      </w:tr>
      <w:tr>
        <w:tc>
          <w:tcPr>
            <w:tcW w:type="dxa" w:w="4968"/>
            <w:vAlign w:val="center"/>
            <w:shd w:fill="F2F6F8"/>
          </w:tcPr>
          <w:p>
            <w:pPr>
              <w:spacing w:after="20"/>
            </w:pPr>
            <w:r/>
            <w:r>
              <w:rPr>
                <w:rFonts w:ascii="Aptos" w:hAnsi="Aptos"/>
                <w:b w:val="0"/>
                <w:sz w:val="16"/>
              </w:rPr>
              <w:t>Status</w:t>
            </w:r>
          </w:p>
        </w:tc>
        <w:tc>
          <w:tcPr>
            <w:tcW w:type="dxa" w:w="4968"/>
            <w:vAlign w:val="center"/>
            <w:shd w:fill="F2F6F8"/>
          </w:tcPr>
          <w:p>
            <w:pPr>
              <w:spacing w:after="20"/>
            </w:pPr>
            <w:r/>
            <w:r>
              <w:rPr>
                <w:rFonts w:ascii="Aptos" w:hAnsi="Aptos"/>
                <w:b w:val="0"/>
                <w:sz w:val="16"/>
              </w:rPr>
              <w:t>Dokumen kerja untuk dibahas bersama agent pengembangan. Keputusan, usulan, dan pertanyaan terbuka dipisahkan.</w:t>
            </w:r>
          </w:p>
        </w:tc>
      </w:tr>
      <w:tr>
        <w:tc>
          <w:tcPr>
            <w:tcW w:type="dxa" w:w="4968"/>
            <w:vAlign w:val="center"/>
          </w:tcPr>
          <w:p>
            <w:pPr>
              <w:spacing w:after="20"/>
            </w:pPr>
            <w:r/>
            <w:r>
              <w:rPr>
                <w:rFonts w:ascii="Aptos" w:hAnsi="Aptos"/>
                <w:b w:val="0"/>
                <w:sz w:val="16"/>
              </w:rPr>
              <w:t>Stack teknologi</w:t>
            </w:r>
          </w:p>
        </w:tc>
        <w:tc>
          <w:tcPr>
            <w:tcW w:type="dxa" w:w="4968"/>
            <w:vAlign w:val="center"/>
          </w:tcPr>
          <w:p>
            <w:pPr>
              <w:spacing w:after="20"/>
            </w:pPr>
            <w:r/>
            <w:r>
              <w:rPr>
                <w:rFonts w:ascii="Aptos" w:hAnsi="Aptos"/>
                <w:b w:val="0"/>
                <w:sz w:val="16"/>
              </w:rPr>
              <w:t>PostgreSQL (database), Laravel (backend), Blade (frontend)</w:t>
            </w:r>
          </w:p>
        </w:tc>
      </w:tr>
      <w:tr>
        <w:tc>
          <w:tcPr>
            <w:tcW w:type="dxa" w:w="4968"/>
            <w:vAlign w:val="center"/>
            <w:shd w:fill="F2F6F8"/>
          </w:tcPr>
          <w:p>
            <w:pPr>
              <w:spacing w:after="20"/>
            </w:pPr>
            <w:r/>
            <w:r>
              <w:rPr>
                <w:rFonts w:ascii="Aptos" w:hAnsi="Aptos"/>
                <w:b w:val="0"/>
                <w:sz w:val="16"/>
              </w:rPr>
              <w:t>Lokasi operasional awal</w:t>
            </w:r>
          </w:p>
        </w:tc>
        <w:tc>
          <w:tcPr>
            <w:tcW w:type="dxa" w:w="4968"/>
            <w:vAlign w:val="center"/>
            <w:shd w:fill="F2F6F8"/>
          </w:tcPr>
          <w:p>
            <w:pPr>
              <w:spacing w:after="20"/>
            </w:pPr>
            <w:r/>
            <w:r>
              <w:rPr>
                <w:rFonts w:ascii="Aptos" w:hAnsi="Aptos"/>
                <w:b w:val="0"/>
                <w:sz w:val="16"/>
              </w:rPr>
              <w:t>Satu gedung utama; dukungan multi-cabang kompleks bukan fokus MVP.</w:t>
            </w:r>
          </w:p>
        </w:tc>
      </w:tr>
    </w:tbl>
    <w:p/>
    <w:p>
      <w:pPr>
        <w:pStyle w:val="Heading2"/>
      </w:pPr>
      <w:r>
        <w:t>Cara Membaca Dokumen</w:t>
      </w:r>
    </w:p>
    <w:p>
      <w:pPr>
        <w:pStyle w:val="ListBullet"/>
        <w:spacing w:after="40"/>
      </w:pPr>
      <w:r>
        <w:t>TERKONFIRMASI: keputusan yang sudah dinyatakan oleh pemilik kebutuhan.</w:t>
      </w:r>
    </w:p>
    <w:p>
      <w:pPr>
        <w:pStyle w:val="ListBullet"/>
        <w:spacing w:after="40"/>
      </w:pPr>
      <w:r>
        <w:t>USULAN: rekomendasi desain yang masih dapat diubah.</w:t>
      </w:r>
    </w:p>
    <w:p>
      <w:pPr>
        <w:pStyle w:val="ListBullet"/>
        <w:spacing w:after="40"/>
      </w:pPr>
      <w:r>
        <w:t>PERTANYAAN TERBUKA: hal yang belum diputuskan dan tidak boleh dianggap sebagai aturan final.</w:t>
      </w:r>
    </w:p>
    <w:p>
      <w:pPr>
        <w:pStyle w:val="ListBullet"/>
        <w:spacing w:after="40"/>
      </w:pPr>
      <w:r>
        <w:t>Agent pengembangan tidak boleh mengubah pertanyaan terbuka menjadi aturan final tanpa konfirmasi pengguna.</w:t>
      </w:r>
    </w:p>
    <w:p>
      <w:pPr>
        <w:pStyle w:val="Heading1"/>
      </w:pPr>
      <w:r>
        <w:t>1. Ringkasan Proyek</w:t>
      </w:r>
    </w:p>
    <w:p>
      <w:r>
        <w:t>Web Inventory Omah Visual LED adalah aplikasi internal untuk mengelola master barang, lokasi penyimpanan, kepemilikan, kondisi, kuantitas stok, identitas individual untuk barang tertentu, serta riwayat pergerakan inventaris. Implementasi tahap pertama berfokus pada inventaris di satu gedung utama.</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5324B"/>
          </w:tcPr>
          <w:p>
            <w:pPr>
              <w:spacing w:after="20"/>
            </w:pPr>
            <w:r/>
            <w:r>
              <w:rPr>
                <w:rFonts w:ascii="Aptos" w:hAnsi="Aptos"/>
                <w:b/>
                <w:color w:val="FFFFFF"/>
                <w:sz w:val="17"/>
              </w:rPr>
              <w:t>Komponen</w:t>
            </w:r>
          </w:p>
        </w:tc>
        <w:tc>
          <w:tcPr>
            <w:tcW w:type="dxa" w:w="4968"/>
            <w:vAlign w:val="center"/>
            <w:shd w:fill="15324B"/>
          </w:tcPr>
          <w:p>
            <w:pPr>
              <w:spacing w:after="20"/>
            </w:pPr>
            <w:r/>
            <w:r>
              <w:rPr>
                <w:rFonts w:ascii="Aptos" w:hAnsi="Aptos"/>
                <w:b/>
                <w:color w:val="FFFFFF"/>
                <w:sz w:val="17"/>
              </w:rPr>
              <w:t>Keputusan</w:t>
            </w:r>
          </w:p>
        </w:tc>
      </w:tr>
      <w:tr>
        <w:tc>
          <w:tcPr>
            <w:tcW w:type="dxa" w:w="4968"/>
            <w:vAlign w:val="center"/>
          </w:tcPr>
          <w:p>
            <w:pPr>
              <w:spacing w:after="20"/>
            </w:pPr>
            <w:r/>
            <w:r>
              <w:rPr>
                <w:rFonts w:ascii="Aptos" w:hAnsi="Aptos"/>
                <w:b w:val="0"/>
                <w:sz w:val="16"/>
              </w:rPr>
              <w:t>Database</w:t>
            </w:r>
          </w:p>
        </w:tc>
        <w:tc>
          <w:tcPr>
            <w:tcW w:type="dxa" w:w="4968"/>
            <w:vAlign w:val="center"/>
          </w:tcPr>
          <w:p>
            <w:pPr>
              <w:spacing w:after="20"/>
            </w:pPr>
            <w:r/>
            <w:r>
              <w:rPr>
                <w:rFonts w:ascii="Aptos" w:hAnsi="Aptos"/>
                <w:b w:val="0"/>
                <w:sz w:val="16"/>
              </w:rPr>
              <w:t>PostgreSQL — terkonfirmasi</w:t>
            </w:r>
          </w:p>
        </w:tc>
      </w:tr>
      <w:tr>
        <w:tc>
          <w:tcPr>
            <w:tcW w:type="dxa" w:w="4968"/>
            <w:vAlign w:val="center"/>
            <w:shd w:fill="F2F6F8"/>
          </w:tcPr>
          <w:p>
            <w:pPr>
              <w:spacing w:after="20"/>
            </w:pPr>
            <w:r/>
            <w:r>
              <w:rPr>
                <w:rFonts w:ascii="Aptos" w:hAnsi="Aptos"/>
                <w:b w:val="0"/>
                <w:sz w:val="16"/>
              </w:rPr>
              <w:t>Backend</w:t>
            </w:r>
          </w:p>
        </w:tc>
        <w:tc>
          <w:tcPr>
            <w:tcW w:type="dxa" w:w="4968"/>
            <w:vAlign w:val="center"/>
            <w:shd w:fill="F2F6F8"/>
          </w:tcPr>
          <w:p>
            <w:pPr>
              <w:spacing w:after="20"/>
            </w:pPr>
            <w:r/>
            <w:r>
              <w:rPr>
                <w:rFonts w:ascii="Aptos" w:hAnsi="Aptos"/>
                <w:b w:val="0"/>
                <w:sz w:val="16"/>
              </w:rPr>
              <w:t>Laravel — terkonfirmasi</w:t>
            </w:r>
          </w:p>
        </w:tc>
      </w:tr>
      <w:tr>
        <w:tc>
          <w:tcPr>
            <w:tcW w:type="dxa" w:w="4968"/>
            <w:vAlign w:val="center"/>
          </w:tcPr>
          <w:p>
            <w:pPr>
              <w:spacing w:after="20"/>
            </w:pPr>
            <w:r/>
            <w:r>
              <w:rPr>
                <w:rFonts w:ascii="Aptos" w:hAnsi="Aptos"/>
                <w:b w:val="0"/>
                <w:sz w:val="16"/>
              </w:rPr>
              <w:t>Frontend</w:t>
            </w:r>
          </w:p>
        </w:tc>
        <w:tc>
          <w:tcPr>
            <w:tcW w:type="dxa" w:w="4968"/>
            <w:vAlign w:val="center"/>
          </w:tcPr>
          <w:p>
            <w:pPr>
              <w:spacing w:after="20"/>
            </w:pPr>
            <w:r/>
            <w:r>
              <w:rPr>
                <w:rFonts w:ascii="Aptos" w:hAnsi="Aptos"/>
                <w:b w:val="0"/>
                <w:sz w:val="16"/>
              </w:rPr>
              <w:t>Laravel Blade — terkonfirmasi</w:t>
            </w:r>
          </w:p>
        </w:tc>
      </w:tr>
      <w:tr>
        <w:tc>
          <w:tcPr>
            <w:tcW w:type="dxa" w:w="4968"/>
            <w:vAlign w:val="center"/>
            <w:shd w:fill="F2F6F8"/>
          </w:tcPr>
          <w:p>
            <w:pPr>
              <w:spacing w:after="20"/>
            </w:pPr>
            <w:r/>
            <w:r>
              <w:rPr>
                <w:rFonts w:ascii="Aptos" w:hAnsi="Aptos"/>
                <w:b w:val="0"/>
                <w:sz w:val="16"/>
              </w:rPr>
              <w:t>Lokasi awal</w:t>
            </w:r>
          </w:p>
        </w:tc>
        <w:tc>
          <w:tcPr>
            <w:tcW w:type="dxa" w:w="4968"/>
            <w:vAlign w:val="center"/>
            <w:shd w:fill="F2F6F8"/>
          </w:tcPr>
          <w:p>
            <w:pPr>
              <w:spacing w:after="20"/>
            </w:pPr>
            <w:r/>
            <w:r>
              <w:rPr>
                <w:rFonts w:ascii="Aptos" w:hAnsi="Aptos"/>
                <w:b w:val="0"/>
                <w:sz w:val="16"/>
              </w:rPr>
              <w:t>Satu gedung utama — terkonfirmasi</w:t>
            </w:r>
          </w:p>
        </w:tc>
      </w:tr>
      <w:tr>
        <w:tc>
          <w:tcPr>
            <w:tcW w:type="dxa" w:w="4968"/>
            <w:vAlign w:val="center"/>
          </w:tcPr>
          <w:p>
            <w:pPr>
              <w:spacing w:after="20"/>
            </w:pPr>
            <w:r/>
            <w:r>
              <w:rPr>
                <w:rFonts w:ascii="Aptos" w:hAnsi="Aptos"/>
                <w:b w:val="0"/>
                <w:sz w:val="16"/>
              </w:rPr>
              <w:t>Kondisi data awal</w:t>
            </w:r>
          </w:p>
        </w:tc>
        <w:tc>
          <w:tcPr>
            <w:tcW w:type="dxa" w:w="4968"/>
            <w:vAlign w:val="center"/>
          </w:tcPr>
          <w:p>
            <w:pPr>
              <w:spacing w:after="20"/>
            </w:pPr>
            <w:r/>
            <w:r>
              <w:rPr>
                <w:rFonts w:ascii="Aptos" w:hAnsi="Aptos"/>
                <w:b w:val="0"/>
                <w:sz w:val="16"/>
              </w:rPr>
              <w:t>Data inventaris tersedia sebagian dan perlu didata ulang — terkonfirmasi</w:t>
            </w:r>
          </w:p>
        </w:tc>
      </w:tr>
      <w:tr>
        <w:tc>
          <w:tcPr>
            <w:tcW w:type="dxa" w:w="4968"/>
            <w:vAlign w:val="center"/>
            <w:shd w:fill="F2F6F8"/>
          </w:tcPr>
          <w:p>
            <w:pPr>
              <w:spacing w:after="20"/>
            </w:pPr>
            <w:r/>
            <w:r>
              <w:rPr>
                <w:rFonts w:ascii="Aptos" w:hAnsi="Aptos"/>
                <w:b w:val="0"/>
                <w:sz w:val="16"/>
              </w:rPr>
              <w:t>Fokus tahap pertama</w:t>
            </w:r>
          </w:p>
        </w:tc>
        <w:tc>
          <w:tcPr>
            <w:tcW w:type="dxa" w:w="4968"/>
            <w:vAlign w:val="center"/>
            <w:shd w:fill="F2F6F8"/>
          </w:tcPr>
          <w:p>
            <w:pPr>
              <w:spacing w:after="20"/>
            </w:pPr>
            <w:r/>
            <w:r>
              <w:rPr>
                <w:rFonts w:ascii="Aptos" w:hAnsi="Aptos"/>
                <w:b w:val="0"/>
                <w:sz w:val="16"/>
              </w:rPr>
              <w:t>Web Inventory; modul operasional lain menjadi tahap lanjutan — terkonfirmasi</w:t>
            </w:r>
          </w:p>
        </w:tc>
      </w:tr>
    </w:tbl>
    <w:p/>
    <w:p>
      <w:pPr>
        <w:pStyle w:val="Heading1"/>
      </w:pPr>
      <w:r>
        <w:t>2. Tujuan dan Prinsip Produk</w:t>
      </w:r>
    </w:p>
    <w:p>
      <w:pPr>
        <w:pStyle w:val="ListBullet"/>
        <w:spacing w:after="40"/>
      </w:pPr>
      <w:r>
        <w:t>Menyediakan sumber data inventaris yang konsisten dan dapat ditelusuri.</w:t>
      </w:r>
    </w:p>
    <w:p>
      <w:pPr>
        <w:pStyle w:val="ListBullet"/>
        <w:spacing w:after="40"/>
      </w:pPr>
      <w:r>
        <w:t>Membedakan stok fisik dari stok tersedia.</w:t>
      </w:r>
    </w:p>
    <w:p>
      <w:pPr>
        <w:pStyle w:val="ListBullet"/>
        <w:spacing w:after="40"/>
      </w:pPr>
      <w:r>
        <w:t>Membedakan barang milik perusahaan dari barang eksternal.</w:t>
      </w:r>
    </w:p>
    <w:p>
      <w:pPr>
        <w:pStyle w:val="ListBullet"/>
        <w:spacing w:after="40"/>
      </w:pPr>
      <w:r>
        <w:t>Mendukung pelacakan individual untuk barang tertentu dan pelacakan kuantitas untuk barang lainnya.</w:t>
      </w:r>
    </w:p>
    <w:p>
      <w:pPr>
        <w:pStyle w:val="ListBullet"/>
        <w:spacing w:after="40"/>
      </w:pPr>
      <w:r>
        <w:t>Mencatat mutasi dan tindakan penting melalui audit trail.</w:t>
      </w:r>
    </w:p>
    <w:p>
      <w:pPr>
        <w:pStyle w:val="ListBullet"/>
        <w:spacing w:after="40"/>
      </w:pPr>
      <w:r>
        <w:t>Mencegah penyesuaian stok resmi tanpa persetujuan Owner.</w:t>
      </w:r>
    </w:p>
    <w:p>
      <w:pPr>
        <w:pStyle w:val="ListBullet"/>
        <w:spacing w:after="40"/>
      </w:pPr>
      <w:r>
        <w:t>Menyiapkan fondasi agar modul rental, servis, pembelian, penjualan, dan keuangan dapat ditambahkan tanpa membangun ulang fondasi inventori.</w:t>
      </w:r>
    </w:p>
    <w:p>
      <w:pPr>
        <w:pStyle w:val="Heading1"/>
      </w:pPr>
      <w:r>
        <w:t>3. Keputusan Business Discovery Terkonfirmasi</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5324B"/>
          </w:tcPr>
          <w:p>
            <w:pPr>
              <w:spacing w:after="20"/>
            </w:pPr>
            <w:r/>
            <w:r>
              <w:rPr>
                <w:rFonts w:ascii="Aptos" w:hAnsi="Aptos"/>
                <w:b/>
                <w:color w:val="FFFFFF"/>
                <w:sz w:val="17"/>
              </w:rPr>
              <w:t>ID</w:t>
            </w:r>
          </w:p>
        </w:tc>
        <w:tc>
          <w:tcPr>
            <w:tcW w:type="dxa" w:w="3312"/>
            <w:vAlign w:val="center"/>
            <w:shd w:fill="15324B"/>
          </w:tcPr>
          <w:p>
            <w:pPr>
              <w:spacing w:after="20"/>
            </w:pPr>
            <w:r/>
            <w:r>
              <w:rPr>
                <w:rFonts w:ascii="Aptos" w:hAnsi="Aptos"/>
                <w:b/>
                <w:color w:val="FFFFFF"/>
                <w:sz w:val="17"/>
              </w:rPr>
              <w:t>Area</w:t>
            </w:r>
          </w:p>
        </w:tc>
        <w:tc>
          <w:tcPr>
            <w:tcW w:type="dxa" w:w="3312"/>
            <w:vAlign w:val="center"/>
            <w:shd w:fill="15324B"/>
          </w:tcPr>
          <w:p>
            <w:pPr>
              <w:spacing w:after="20"/>
            </w:pPr>
            <w:r/>
            <w:r>
              <w:rPr>
                <w:rFonts w:ascii="Aptos" w:hAnsi="Aptos"/>
                <w:b/>
                <w:color w:val="FFFFFF"/>
                <w:sz w:val="17"/>
              </w:rPr>
              <w:t>Keputusan terkonfirmasi</w:t>
            </w:r>
          </w:p>
        </w:tc>
      </w:tr>
      <w:tr>
        <w:tc>
          <w:tcPr>
            <w:tcW w:type="dxa" w:w="3312"/>
            <w:vAlign w:val="center"/>
          </w:tcPr>
          <w:p>
            <w:pPr>
              <w:spacing w:after="20"/>
            </w:pPr>
            <w:r/>
            <w:r>
              <w:rPr>
                <w:rFonts w:ascii="Aptos" w:hAnsi="Aptos"/>
                <w:b w:val="0"/>
                <w:sz w:val="16"/>
              </w:rPr>
              <w:t>KD-01</w:t>
            </w:r>
          </w:p>
        </w:tc>
        <w:tc>
          <w:tcPr>
            <w:tcW w:type="dxa" w:w="3312"/>
            <w:vAlign w:val="center"/>
          </w:tcPr>
          <w:p>
            <w:pPr>
              <w:spacing w:after="20"/>
            </w:pPr>
            <w:r/>
            <w:r>
              <w:rPr>
                <w:rFonts w:ascii="Aptos" w:hAnsi="Aptos"/>
                <w:b w:val="0"/>
                <w:sz w:val="16"/>
              </w:rPr>
              <w:t>Database</w:t>
            </w:r>
          </w:p>
        </w:tc>
        <w:tc>
          <w:tcPr>
            <w:tcW w:type="dxa" w:w="3312"/>
            <w:vAlign w:val="center"/>
          </w:tcPr>
          <w:p>
            <w:pPr>
              <w:spacing w:after="20"/>
            </w:pPr>
            <w:r/>
            <w:r>
              <w:rPr>
                <w:rFonts w:ascii="Aptos" w:hAnsi="Aptos"/>
                <w:b w:val="0"/>
                <w:sz w:val="16"/>
              </w:rPr>
              <w:t>PostgreSQL.</w:t>
            </w:r>
          </w:p>
        </w:tc>
      </w:tr>
      <w:tr>
        <w:tc>
          <w:tcPr>
            <w:tcW w:type="dxa" w:w="3312"/>
            <w:vAlign w:val="center"/>
            <w:shd w:fill="F2F6F8"/>
          </w:tcPr>
          <w:p>
            <w:pPr>
              <w:spacing w:after="20"/>
            </w:pPr>
            <w:r/>
            <w:r>
              <w:rPr>
                <w:rFonts w:ascii="Aptos" w:hAnsi="Aptos"/>
                <w:b w:val="0"/>
                <w:sz w:val="16"/>
              </w:rPr>
              <w:t>KD-02</w:t>
            </w:r>
          </w:p>
        </w:tc>
        <w:tc>
          <w:tcPr>
            <w:tcW w:type="dxa" w:w="3312"/>
            <w:vAlign w:val="center"/>
            <w:shd w:fill="F2F6F8"/>
          </w:tcPr>
          <w:p>
            <w:pPr>
              <w:spacing w:after="20"/>
            </w:pPr>
            <w:r/>
            <w:r>
              <w:rPr>
                <w:rFonts w:ascii="Aptos" w:hAnsi="Aptos"/>
                <w:b w:val="0"/>
                <w:sz w:val="16"/>
              </w:rPr>
              <w:t>Arsitektur aplikasi</w:t>
            </w:r>
          </w:p>
        </w:tc>
        <w:tc>
          <w:tcPr>
            <w:tcW w:type="dxa" w:w="3312"/>
            <w:vAlign w:val="center"/>
            <w:shd w:fill="F2F6F8"/>
          </w:tcPr>
          <w:p>
            <w:pPr>
              <w:spacing w:after="20"/>
            </w:pPr>
            <w:r/>
            <w:r>
              <w:rPr>
                <w:rFonts w:ascii="Aptos" w:hAnsi="Aptos"/>
                <w:b w:val="0"/>
                <w:sz w:val="16"/>
              </w:rPr>
              <w:t>Backend Laravel dan frontend Blade.</w:t>
            </w:r>
          </w:p>
        </w:tc>
      </w:tr>
      <w:tr>
        <w:tc>
          <w:tcPr>
            <w:tcW w:type="dxa" w:w="3312"/>
            <w:vAlign w:val="center"/>
          </w:tcPr>
          <w:p>
            <w:pPr>
              <w:spacing w:after="20"/>
            </w:pPr>
            <w:r/>
            <w:r>
              <w:rPr>
                <w:rFonts w:ascii="Aptos" w:hAnsi="Aptos"/>
                <w:b w:val="0"/>
                <w:sz w:val="16"/>
              </w:rPr>
              <w:t>KD-03</w:t>
            </w:r>
          </w:p>
        </w:tc>
        <w:tc>
          <w:tcPr>
            <w:tcW w:type="dxa" w:w="3312"/>
            <w:vAlign w:val="center"/>
          </w:tcPr>
          <w:p>
            <w:pPr>
              <w:spacing w:after="20"/>
            </w:pPr>
            <w:r/>
            <w:r>
              <w:rPr>
                <w:rFonts w:ascii="Aptos" w:hAnsi="Aptos"/>
                <w:b w:val="0"/>
                <w:sz w:val="16"/>
              </w:rPr>
              <w:t>Fokus implementasi</w:t>
            </w:r>
          </w:p>
        </w:tc>
        <w:tc>
          <w:tcPr>
            <w:tcW w:type="dxa" w:w="3312"/>
            <w:vAlign w:val="center"/>
          </w:tcPr>
          <w:p>
            <w:pPr>
              <w:spacing w:after="20"/>
            </w:pPr>
            <w:r/>
            <w:r>
              <w:rPr>
                <w:rFonts w:ascii="Aptos" w:hAnsi="Aptos"/>
                <w:b w:val="0"/>
                <w:sz w:val="16"/>
              </w:rPr>
              <w:t>Web Inventory menjadi tahap pertama.</w:t>
            </w:r>
          </w:p>
        </w:tc>
      </w:tr>
      <w:tr>
        <w:tc>
          <w:tcPr>
            <w:tcW w:type="dxa" w:w="3312"/>
            <w:vAlign w:val="center"/>
            <w:shd w:fill="F2F6F8"/>
          </w:tcPr>
          <w:p>
            <w:pPr>
              <w:spacing w:after="20"/>
            </w:pPr>
            <w:r/>
            <w:r>
              <w:rPr>
                <w:rFonts w:ascii="Aptos" w:hAnsi="Aptos"/>
                <w:b w:val="0"/>
                <w:sz w:val="16"/>
              </w:rPr>
              <w:t>KD-04</w:t>
            </w:r>
          </w:p>
        </w:tc>
        <w:tc>
          <w:tcPr>
            <w:tcW w:type="dxa" w:w="3312"/>
            <w:vAlign w:val="center"/>
            <w:shd w:fill="F2F6F8"/>
          </w:tcPr>
          <w:p>
            <w:pPr>
              <w:spacing w:after="20"/>
            </w:pPr>
            <w:r/>
            <w:r>
              <w:rPr>
                <w:rFonts w:ascii="Aptos" w:hAnsi="Aptos"/>
                <w:b w:val="0"/>
                <w:sz w:val="16"/>
              </w:rPr>
              <w:t>Lokasi operasional</w:t>
            </w:r>
          </w:p>
        </w:tc>
        <w:tc>
          <w:tcPr>
            <w:tcW w:type="dxa" w:w="3312"/>
            <w:vAlign w:val="center"/>
            <w:shd w:fill="F2F6F8"/>
          </w:tcPr>
          <w:p>
            <w:pPr>
              <w:spacing w:after="20"/>
            </w:pPr>
            <w:r/>
            <w:r>
              <w:rPr>
                <w:rFonts w:ascii="Aptos" w:hAnsi="Aptos"/>
                <w:b w:val="0"/>
                <w:sz w:val="16"/>
              </w:rPr>
              <w:t>Saat ini hanya satu cabang LED di gedung utama; multi-cabang kompleks bukan fokus MVP.</w:t>
            </w:r>
          </w:p>
        </w:tc>
      </w:tr>
      <w:tr>
        <w:tc>
          <w:tcPr>
            <w:tcW w:type="dxa" w:w="3312"/>
            <w:vAlign w:val="center"/>
          </w:tcPr>
          <w:p>
            <w:pPr>
              <w:spacing w:after="20"/>
            </w:pPr>
            <w:r/>
            <w:r>
              <w:rPr>
                <w:rFonts w:ascii="Aptos" w:hAnsi="Aptos"/>
                <w:b w:val="0"/>
                <w:sz w:val="16"/>
              </w:rPr>
              <w:t>KD-05</w:t>
            </w:r>
          </w:p>
        </w:tc>
        <w:tc>
          <w:tcPr>
            <w:tcW w:type="dxa" w:w="3312"/>
            <w:vAlign w:val="center"/>
          </w:tcPr>
          <w:p>
            <w:pPr>
              <w:spacing w:after="20"/>
            </w:pPr>
            <w:r/>
            <w:r>
              <w:rPr>
                <w:rFonts w:ascii="Aptos" w:hAnsi="Aptos"/>
                <w:b w:val="0"/>
                <w:sz w:val="16"/>
              </w:rPr>
              <w:t>Data inventaris</w:t>
            </w:r>
          </w:p>
        </w:tc>
        <w:tc>
          <w:tcPr>
            <w:tcW w:type="dxa" w:w="3312"/>
            <w:vAlign w:val="center"/>
          </w:tcPr>
          <w:p>
            <w:pPr>
              <w:spacing w:after="20"/>
            </w:pPr>
            <w:r/>
            <w:r>
              <w:rPr>
                <w:rFonts w:ascii="Aptos" w:hAnsi="Aptos"/>
                <w:b w:val="0"/>
                <w:sz w:val="16"/>
              </w:rPr>
              <w:t>Data lama tersedia sebagian dan perlu pendataan ulang.</w:t>
            </w:r>
          </w:p>
        </w:tc>
      </w:tr>
      <w:tr>
        <w:tc>
          <w:tcPr>
            <w:tcW w:type="dxa" w:w="3312"/>
            <w:vAlign w:val="center"/>
            <w:shd w:fill="F2F6F8"/>
          </w:tcPr>
          <w:p>
            <w:pPr>
              <w:spacing w:after="20"/>
            </w:pPr>
            <w:r/>
            <w:r>
              <w:rPr>
                <w:rFonts w:ascii="Aptos" w:hAnsi="Aptos"/>
                <w:b w:val="0"/>
                <w:sz w:val="16"/>
              </w:rPr>
              <w:t>KD-06</w:t>
            </w:r>
          </w:p>
        </w:tc>
        <w:tc>
          <w:tcPr>
            <w:tcW w:type="dxa" w:w="3312"/>
            <w:vAlign w:val="center"/>
            <w:shd w:fill="F2F6F8"/>
          </w:tcPr>
          <w:p>
            <w:pPr>
              <w:spacing w:after="20"/>
            </w:pPr>
            <w:r/>
            <w:r>
              <w:rPr>
                <w:rFonts w:ascii="Aptos" w:hAnsi="Aptos"/>
                <w:b w:val="0"/>
                <w:sz w:val="16"/>
              </w:rPr>
              <w:t>Pelacakan barang</w:t>
            </w:r>
          </w:p>
        </w:tc>
        <w:tc>
          <w:tcPr>
            <w:tcW w:type="dxa" w:w="3312"/>
            <w:vAlign w:val="center"/>
            <w:shd w:fill="F2F6F8"/>
          </w:tcPr>
          <w:p>
            <w:pPr>
              <w:spacing w:after="20"/>
            </w:pPr>
            <w:r/>
            <w:r>
              <w:rPr>
                <w:rFonts w:ascii="Aptos" w:hAnsi="Aptos"/>
                <w:b w:val="0"/>
                <w:sz w:val="16"/>
              </w:rPr>
              <w:t>Barang tertentu dilacak individual dengan identitas/nomor seri; barang lain berdasarkan kuantitas.</w:t>
            </w:r>
          </w:p>
        </w:tc>
      </w:tr>
      <w:tr>
        <w:tc>
          <w:tcPr>
            <w:tcW w:type="dxa" w:w="3312"/>
            <w:vAlign w:val="center"/>
          </w:tcPr>
          <w:p>
            <w:pPr>
              <w:spacing w:after="20"/>
            </w:pPr>
            <w:r/>
            <w:r>
              <w:rPr>
                <w:rFonts w:ascii="Aptos" w:hAnsi="Aptos"/>
                <w:b w:val="0"/>
                <w:sz w:val="16"/>
              </w:rPr>
              <w:t>KD-07</w:t>
            </w:r>
          </w:p>
        </w:tc>
        <w:tc>
          <w:tcPr>
            <w:tcW w:type="dxa" w:w="3312"/>
            <w:vAlign w:val="center"/>
          </w:tcPr>
          <w:p>
            <w:pPr>
              <w:spacing w:after="20"/>
            </w:pPr>
            <w:r/>
            <w:r>
              <w:rPr>
                <w:rFonts w:ascii="Aptos" w:hAnsi="Aptos"/>
                <w:b w:val="0"/>
                <w:sz w:val="16"/>
              </w:rPr>
              <w:t>Stok awal</w:t>
            </w:r>
          </w:p>
        </w:tc>
        <w:tc>
          <w:tcPr>
            <w:tcW w:type="dxa" w:w="3312"/>
            <w:vAlign w:val="center"/>
          </w:tcPr>
          <w:p>
            <w:pPr>
              <w:spacing w:after="20"/>
            </w:pPr>
            <w:r/>
            <w:r>
              <w:rPr>
                <w:rFonts w:ascii="Aptos" w:hAnsi="Aptos"/>
                <w:b w:val="0"/>
                <w:sz w:val="16"/>
              </w:rPr>
              <w:t>Warehouse memverifikasi dan mengesahkan stok awal.</w:t>
            </w:r>
          </w:p>
        </w:tc>
      </w:tr>
      <w:tr>
        <w:tc>
          <w:tcPr>
            <w:tcW w:type="dxa" w:w="3312"/>
            <w:vAlign w:val="center"/>
            <w:shd w:fill="F2F6F8"/>
          </w:tcPr>
          <w:p>
            <w:pPr>
              <w:spacing w:after="20"/>
            </w:pPr>
            <w:r/>
            <w:r>
              <w:rPr>
                <w:rFonts w:ascii="Aptos" w:hAnsi="Aptos"/>
                <w:b w:val="0"/>
                <w:sz w:val="16"/>
              </w:rPr>
              <w:t>KD-08</w:t>
            </w:r>
          </w:p>
        </w:tc>
        <w:tc>
          <w:tcPr>
            <w:tcW w:type="dxa" w:w="3312"/>
            <w:vAlign w:val="center"/>
            <w:shd w:fill="F2F6F8"/>
          </w:tcPr>
          <w:p>
            <w:pPr>
              <w:spacing w:after="20"/>
            </w:pPr>
            <w:r/>
            <w:r>
              <w:rPr>
                <w:rFonts w:ascii="Aptos" w:hAnsi="Aptos"/>
                <w:b w:val="0"/>
                <w:sz w:val="16"/>
              </w:rPr>
              <w:t>Penyesuaian stok</w:t>
            </w:r>
          </w:p>
        </w:tc>
        <w:tc>
          <w:tcPr>
            <w:tcW w:type="dxa" w:w="3312"/>
            <w:vAlign w:val="center"/>
            <w:shd w:fill="F2F6F8"/>
          </w:tcPr>
          <w:p>
            <w:pPr>
              <w:spacing w:after="20"/>
            </w:pPr>
            <w:r/>
            <w:r>
              <w:rPr>
                <w:rFonts w:ascii="Aptos" w:hAnsi="Aptos"/>
                <w:b w:val="0"/>
                <w:sz w:val="16"/>
              </w:rPr>
              <w:t>Warehouse mengajukan; Owner menyetujui sebelum perubahan saldo resmi diposting.</w:t>
            </w:r>
          </w:p>
        </w:tc>
      </w:tr>
      <w:tr>
        <w:tc>
          <w:tcPr>
            <w:tcW w:type="dxa" w:w="3312"/>
            <w:vAlign w:val="center"/>
          </w:tcPr>
          <w:p>
            <w:pPr>
              <w:spacing w:after="20"/>
            </w:pPr>
            <w:r/>
            <w:r>
              <w:rPr>
                <w:rFonts w:ascii="Aptos" w:hAnsi="Aptos"/>
                <w:b w:val="0"/>
                <w:sz w:val="16"/>
              </w:rPr>
              <w:t>KD-09</w:t>
            </w:r>
          </w:p>
        </w:tc>
        <w:tc>
          <w:tcPr>
            <w:tcW w:type="dxa" w:w="3312"/>
            <w:vAlign w:val="center"/>
          </w:tcPr>
          <w:p>
            <w:pPr>
              <w:spacing w:after="20"/>
            </w:pPr>
            <w:r/>
            <w:r>
              <w:rPr>
                <w:rFonts w:ascii="Aptos" w:hAnsi="Aptos"/>
                <w:b w:val="0"/>
                <w:sz w:val="16"/>
              </w:rPr>
              <w:t>Perangkapan role</w:t>
            </w:r>
          </w:p>
        </w:tc>
        <w:tc>
          <w:tcPr>
            <w:tcW w:type="dxa" w:w="3312"/>
            <w:vAlign w:val="center"/>
          </w:tcPr>
          <w:p>
            <w:pPr>
              <w:spacing w:after="20"/>
            </w:pPr>
            <w:r/>
            <w:r>
              <w:rPr>
                <w:rFonts w:ascii="Aptos" w:hAnsi="Aptos"/>
                <w:b w:val="0"/>
                <w:sz w:val="16"/>
              </w:rPr>
              <w:t>Owner dan Branch Manager saat ini adalah orang yang sama.</w:t>
            </w:r>
          </w:p>
        </w:tc>
      </w:tr>
      <w:tr>
        <w:tc>
          <w:tcPr>
            <w:tcW w:type="dxa" w:w="3312"/>
            <w:vAlign w:val="center"/>
            <w:shd w:fill="F2F6F8"/>
          </w:tcPr>
          <w:p>
            <w:pPr>
              <w:spacing w:after="20"/>
            </w:pPr>
            <w:r/>
            <w:r>
              <w:rPr>
                <w:rFonts w:ascii="Aptos" w:hAnsi="Aptos"/>
                <w:b w:val="0"/>
                <w:sz w:val="16"/>
              </w:rPr>
              <w:t>KD-10</w:t>
            </w:r>
          </w:p>
        </w:tc>
        <w:tc>
          <w:tcPr>
            <w:tcW w:type="dxa" w:w="3312"/>
            <w:vAlign w:val="center"/>
            <w:shd w:fill="F2F6F8"/>
          </w:tcPr>
          <w:p>
            <w:pPr>
              <w:spacing w:after="20"/>
            </w:pPr>
            <w:r/>
            <w:r>
              <w:rPr>
                <w:rFonts w:ascii="Aptos" w:hAnsi="Aptos"/>
                <w:b w:val="0"/>
                <w:sz w:val="16"/>
              </w:rPr>
              <w:t>Perangkapan role</w:t>
            </w:r>
          </w:p>
        </w:tc>
        <w:tc>
          <w:tcPr>
            <w:tcW w:type="dxa" w:w="3312"/>
            <w:vAlign w:val="center"/>
            <w:shd w:fill="F2F6F8"/>
          </w:tcPr>
          <w:p>
            <w:pPr>
              <w:spacing w:after="20"/>
            </w:pPr>
            <w:r/>
            <w:r>
              <w:rPr>
                <w:rFonts w:ascii="Aptos" w:hAnsi="Aptos"/>
                <w:b w:val="0"/>
                <w:sz w:val="16"/>
              </w:rPr>
              <w:t>Admin LED dan Finance mungkin orang yang sama; status ini belum dipastikan sebagai kondisi permanen.</w:t>
            </w:r>
          </w:p>
        </w:tc>
      </w:tr>
      <w:tr>
        <w:tc>
          <w:tcPr>
            <w:tcW w:type="dxa" w:w="3312"/>
            <w:vAlign w:val="center"/>
          </w:tcPr>
          <w:p>
            <w:pPr>
              <w:spacing w:after="20"/>
            </w:pPr>
            <w:r/>
            <w:r>
              <w:rPr>
                <w:rFonts w:ascii="Aptos" w:hAnsi="Aptos"/>
                <w:b w:val="0"/>
                <w:sz w:val="16"/>
              </w:rPr>
              <w:t>KD-11</w:t>
            </w:r>
          </w:p>
        </w:tc>
        <w:tc>
          <w:tcPr>
            <w:tcW w:type="dxa" w:w="3312"/>
            <w:vAlign w:val="center"/>
          </w:tcPr>
          <w:p>
            <w:pPr>
              <w:spacing w:after="20"/>
            </w:pPr>
            <w:r/>
            <w:r>
              <w:rPr>
                <w:rFonts w:ascii="Aptos" w:hAnsi="Aptos"/>
                <w:b w:val="0"/>
                <w:sz w:val="16"/>
              </w:rPr>
              <w:t>Pembayaran (konteks sistem jangka panjang)</w:t>
            </w:r>
          </w:p>
        </w:tc>
        <w:tc>
          <w:tcPr>
            <w:tcW w:type="dxa" w:w="3312"/>
            <w:vAlign w:val="center"/>
          </w:tcPr>
          <w:p>
            <w:pPr>
              <w:spacing w:after="20"/>
            </w:pPr>
            <w:r/>
            <w:r>
              <w:rPr>
                <w:rFonts w:ascii="Aptos" w:hAnsi="Aptos"/>
                <w:b w:val="0"/>
                <w:sz w:val="16"/>
              </w:rPr>
              <w:t>Admin LED boleh mencatat dan Finance memverifikasi melalui proses terpisah dengan audit trail; tidak wajib pemeriksa kedua.</w:t>
            </w:r>
          </w:p>
        </w:tc>
      </w:tr>
      <w:tr>
        <w:tc>
          <w:tcPr>
            <w:tcW w:type="dxa" w:w="3312"/>
            <w:vAlign w:val="center"/>
            <w:shd w:fill="F2F6F8"/>
          </w:tcPr>
          <w:p>
            <w:pPr>
              <w:spacing w:after="20"/>
            </w:pPr>
            <w:r/>
            <w:r>
              <w:rPr>
                <w:rFonts w:ascii="Aptos" w:hAnsi="Aptos"/>
                <w:b w:val="0"/>
                <w:sz w:val="16"/>
              </w:rPr>
              <w:t>KD-12</w:t>
            </w:r>
          </w:p>
        </w:tc>
        <w:tc>
          <w:tcPr>
            <w:tcW w:type="dxa" w:w="3312"/>
            <w:vAlign w:val="center"/>
            <w:shd w:fill="F2F6F8"/>
          </w:tcPr>
          <w:p>
            <w:pPr>
              <w:spacing w:after="20"/>
            </w:pPr>
            <w:r/>
            <w:r>
              <w:rPr>
                <w:rFonts w:ascii="Aptos" w:hAnsi="Aptos"/>
                <w:b w:val="0"/>
                <w:sz w:val="16"/>
              </w:rPr>
              <w:t>Bukti pembayaran (konteks sistem jangka panjang)</w:t>
            </w:r>
          </w:p>
        </w:tc>
        <w:tc>
          <w:tcPr>
            <w:tcW w:type="dxa" w:w="3312"/>
            <w:vAlign w:val="center"/>
            <w:shd w:fill="F2F6F8"/>
          </w:tcPr>
          <w:p>
            <w:pPr>
              <w:spacing w:after="20"/>
            </w:pPr>
            <w:r/>
            <w:r>
              <w:rPr>
                <w:rFonts w:ascii="Aptos" w:hAnsi="Aptos"/>
                <w:b w:val="0"/>
                <w:sz w:val="16"/>
              </w:rPr>
              <w:t>Foto/screenshot transaksi cukup sebagai bukti awal; transfer bank juga dicek Finance melalui mutasi rekening.</w:t>
            </w:r>
          </w:p>
        </w:tc>
      </w:tr>
      <w:tr>
        <w:tc>
          <w:tcPr>
            <w:tcW w:type="dxa" w:w="3312"/>
            <w:vAlign w:val="center"/>
          </w:tcPr>
          <w:p>
            <w:pPr>
              <w:spacing w:after="20"/>
            </w:pPr>
            <w:r/>
            <w:r>
              <w:rPr>
                <w:rFonts w:ascii="Aptos" w:hAnsi="Aptos"/>
                <w:b w:val="0"/>
                <w:sz w:val="16"/>
              </w:rPr>
              <w:t>KD-13</w:t>
            </w:r>
          </w:p>
        </w:tc>
        <w:tc>
          <w:tcPr>
            <w:tcW w:type="dxa" w:w="3312"/>
            <w:vAlign w:val="center"/>
          </w:tcPr>
          <w:p>
            <w:pPr>
              <w:spacing w:after="20"/>
            </w:pPr>
            <w:r/>
            <w:r>
              <w:rPr>
                <w:rFonts w:ascii="Aptos" w:hAnsi="Aptos"/>
                <w:b w:val="0"/>
                <w:sz w:val="16"/>
              </w:rPr>
              <w:t>Koreksi pembayaran (konteks sistem jangka panjang)</w:t>
            </w:r>
          </w:p>
        </w:tc>
        <w:tc>
          <w:tcPr>
            <w:tcW w:type="dxa" w:w="3312"/>
            <w:vAlign w:val="center"/>
          </w:tcPr>
          <w:p>
            <w:pPr>
              <w:spacing w:after="20"/>
            </w:pPr>
            <w:r/>
            <w:r>
              <w:rPr>
                <w:rFonts w:ascii="Aptos" w:hAnsi="Aptos"/>
                <w:b w:val="0"/>
                <w:sz w:val="16"/>
              </w:rPr>
              <w:t>Pembayaran yang sudah terverifikasi hanya boleh dikoreksi/dibatalkan oleh Owner/Branch Manager.</w:t>
            </w:r>
          </w:p>
        </w:tc>
      </w:tr>
      <w:tr>
        <w:tc>
          <w:tcPr>
            <w:tcW w:type="dxa" w:w="3312"/>
            <w:vAlign w:val="center"/>
            <w:shd w:fill="F2F6F8"/>
          </w:tcPr>
          <w:p>
            <w:pPr>
              <w:spacing w:after="20"/>
            </w:pPr>
            <w:r/>
            <w:r>
              <w:rPr>
                <w:rFonts w:ascii="Aptos" w:hAnsi="Aptos"/>
                <w:b w:val="0"/>
                <w:sz w:val="16"/>
              </w:rPr>
              <w:t>KD-14</w:t>
            </w:r>
          </w:p>
        </w:tc>
        <w:tc>
          <w:tcPr>
            <w:tcW w:type="dxa" w:w="3312"/>
            <w:vAlign w:val="center"/>
            <w:shd w:fill="F2F6F8"/>
          </w:tcPr>
          <w:p>
            <w:pPr>
              <w:spacing w:after="20"/>
            </w:pPr>
            <w:r/>
            <w:r>
              <w:rPr>
                <w:rFonts w:ascii="Aptos" w:hAnsi="Aptos"/>
                <w:b w:val="0"/>
                <w:sz w:val="16"/>
              </w:rPr>
              <w:t>Notifikasi pembayaran</w:t>
            </w:r>
          </w:p>
        </w:tc>
        <w:tc>
          <w:tcPr>
            <w:tcW w:type="dxa" w:w="3312"/>
            <w:vAlign w:val="center"/>
            <w:shd w:fill="F2F6F8"/>
          </w:tcPr>
          <w:p>
            <w:pPr>
              <w:spacing w:after="20"/>
            </w:pPr>
            <w:r/>
            <w:r>
              <w:rPr>
                <w:rFonts w:ascii="Aptos" w:hAnsi="Aptos"/>
                <w:b w:val="0"/>
                <w:sz w:val="16"/>
              </w:rPr>
              <w:t>Owner perlu diberi notifikasi saat pembayaran ditolak atau membutuhkan peninjauan.</w:t>
            </w:r>
          </w:p>
        </w:tc>
      </w:tr>
      <w:tr>
        <w:tc>
          <w:tcPr>
            <w:tcW w:type="dxa" w:w="3312"/>
            <w:vAlign w:val="center"/>
          </w:tcPr>
          <w:p>
            <w:pPr>
              <w:spacing w:after="20"/>
            </w:pPr>
            <w:r/>
            <w:r>
              <w:rPr>
                <w:rFonts w:ascii="Aptos" w:hAnsi="Aptos"/>
                <w:b w:val="0"/>
                <w:sz w:val="16"/>
              </w:rPr>
              <w:t>KD-15</w:t>
            </w:r>
          </w:p>
        </w:tc>
        <w:tc>
          <w:tcPr>
            <w:tcW w:type="dxa" w:w="3312"/>
            <w:vAlign w:val="center"/>
          </w:tcPr>
          <w:p>
            <w:pPr>
              <w:spacing w:after="20"/>
            </w:pPr>
            <w:r/>
            <w:r>
              <w:rPr>
                <w:rFonts w:ascii="Aptos" w:hAnsi="Aptos"/>
                <w:b w:val="0"/>
                <w:sz w:val="16"/>
              </w:rPr>
              <w:t>Audit trail</w:t>
            </w:r>
          </w:p>
        </w:tc>
        <w:tc>
          <w:tcPr>
            <w:tcW w:type="dxa" w:w="3312"/>
            <w:vAlign w:val="center"/>
          </w:tcPr>
          <w:p>
            <w:pPr>
              <w:spacing w:after="20"/>
            </w:pPr>
            <w:r/>
            <w:r>
              <w:rPr>
                <w:rFonts w:ascii="Aptos" w:hAnsi="Aptos"/>
                <w:b w:val="0"/>
                <w:sz w:val="16"/>
              </w:rPr>
              <w:t>Audit trail dapat dilihat Owner dan Superuser.</w:t>
            </w:r>
          </w:p>
        </w:tc>
      </w:tr>
      <w:tr>
        <w:tc>
          <w:tcPr>
            <w:tcW w:type="dxa" w:w="3312"/>
            <w:vAlign w:val="center"/>
            <w:shd w:fill="F2F6F8"/>
          </w:tcPr>
          <w:p>
            <w:pPr>
              <w:spacing w:after="20"/>
            </w:pPr>
            <w:r/>
            <w:r>
              <w:rPr>
                <w:rFonts w:ascii="Aptos" w:hAnsi="Aptos"/>
                <w:b w:val="0"/>
                <w:sz w:val="16"/>
              </w:rPr>
              <w:t>KD-16</w:t>
            </w:r>
          </w:p>
        </w:tc>
        <w:tc>
          <w:tcPr>
            <w:tcW w:type="dxa" w:w="3312"/>
            <w:vAlign w:val="center"/>
            <w:shd w:fill="F2F6F8"/>
          </w:tcPr>
          <w:p>
            <w:pPr>
              <w:spacing w:after="20"/>
            </w:pPr>
            <w:r/>
            <w:r>
              <w:rPr>
                <w:rFonts w:ascii="Aptos" w:hAnsi="Aptos"/>
                <w:b w:val="0"/>
                <w:sz w:val="16"/>
              </w:rPr>
              <w:t>Superuser</w:t>
            </w:r>
          </w:p>
        </w:tc>
        <w:tc>
          <w:tcPr>
            <w:tcW w:type="dxa" w:w="3312"/>
            <w:vAlign w:val="center"/>
            <w:shd w:fill="F2F6F8"/>
          </w:tcPr>
          <w:p>
            <w:pPr>
              <w:spacing w:after="20"/>
            </w:pPr>
            <w:r/>
            <w:r>
              <w:rPr>
                <w:rFonts w:ascii="Aptos" w:hAnsi="Aptos"/>
                <w:b w:val="0"/>
                <w:sz w:val="16"/>
              </w:rPr>
              <w:t>Memiliki akses bisnis luas, dengan aktivitas yang tercatat di audit trail; akses luas tidak otomatis memberikan kewenangan approval bisnis.</w:t>
            </w:r>
          </w:p>
        </w:tc>
      </w:tr>
      <w:tr>
        <w:tc>
          <w:tcPr>
            <w:tcW w:type="dxa" w:w="3312"/>
            <w:vAlign w:val="center"/>
          </w:tcPr>
          <w:p>
            <w:pPr>
              <w:spacing w:after="20"/>
            </w:pPr>
            <w:r/>
            <w:r>
              <w:rPr>
                <w:rFonts w:ascii="Aptos" w:hAnsi="Aptos"/>
                <w:b w:val="0"/>
                <w:sz w:val="16"/>
              </w:rPr>
              <w:t>KD-17</w:t>
            </w:r>
          </w:p>
        </w:tc>
        <w:tc>
          <w:tcPr>
            <w:tcW w:type="dxa" w:w="3312"/>
            <w:vAlign w:val="center"/>
          </w:tcPr>
          <w:p>
            <w:pPr>
              <w:spacing w:after="20"/>
            </w:pPr>
            <w:r/>
            <w:r>
              <w:rPr>
                <w:rFonts w:ascii="Aptos" w:hAnsi="Aptos"/>
                <w:b w:val="0"/>
                <w:sz w:val="16"/>
              </w:rPr>
              <w:t>Invoice (konteks sistem jangka panjang)</w:t>
            </w:r>
          </w:p>
        </w:tc>
        <w:tc>
          <w:tcPr>
            <w:tcW w:type="dxa" w:w="3312"/>
            <w:vAlign w:val="center"/>
          </w:tcPr>
          <w:p>
            <w:pPr>
              <w:spacing w:after="20"/>
            </w:pPr>
            <w:r/>
            <w:r>
              <w:rPr>
                <w:rFonts w:ascii="Aptos" w:hAnsi="Aptos"/>
                <w:b w:val="0"/>
                <w:sz w:val="16"/>
              </w:rPr>
              <w:t>Admin membuat draft invoice; Finance memfinalisasi.</w:t>
            </w:r>
          </w:p>
        </w:tc>
      </w:tr>
      <w:tr>
        <w:tc>
          <w:tcPr>
            <w:tcW w:type="dxa" w:w="3312"/>
            <w:vAlign w:val="center"/>
            <w:shd w:fill="F2F6F8"/>
          </w:tcPr>
          <w:p>
            <w:pPr>
              <w:spacing w:after="20"/>
            </w:pPr>
            <w:r/>
            <w:r>
              <w:rPr>
                <w:rFonts w:ascii="Aptos" w:hAnsi="Aptos"/>
                <w:b w:val="0"/>
                <w:sz w:val="16"/>
              </w:rPr>
              <w:t>KD-18</w:t>
            </w:r>
          </w:p>
        </w:tc>
        <w:tc>
          <w:tcPr>
            <w:tcW w:type="dxa" w:w="3312"/>
            <w:vAlign w:val="center"/>
            <w:shd w:fill="F2F6F8"/>
          </w:tcPr>
          <w:p>
            <w:pPr>
              <w:spacing w:after="20"/>
            </w:pPr>
            <w:r/>
            <w:r>
              <w:rPr>
                <w:rFonts w:ascii="Aptos" w:hAnsi="Aptos"/>
                <w:b w:val="0"/>
                <w:sz w:val="16"/>
              </w:rPr>
              <w:t>Struktur role</w:t>
            </w:r>
          </w:p>
        </w:tc>
        <w:tc>
          <w:tcPr>
            <w:tcW w:type="dxa" w:w="3312"/>
            <w:vAlign w:val="center"/>
            <w:shd w:fill="F2F6F8"/>
          </w:tcPr>
          <w:p>
            <w:pPr>
              <w:spacing w:after="20"/>
            </w:pPr>
            <w:r/>
            <w:r>
              <w:rPr>
                <w:rFonts w:ascii="Aptos" w:hAnsi="Aptos"/>
                <w:b w:val="0"/>
                <w:sz w:val="16"/>
              </w:rPr>
              <w:t>Branch Manager dan Operations Manager terpisah; Technician dan Crew terpisah.</w:t>
            </w:r>
          </w:p>
        </w:tc>
      </w:tr>
      <w:tr>
        <w:tc>
          <w:tcPr>
            <w:tcW w:type="dxa" w:w="3312"/>
            <w:vAlign w:val="center"/>
          </w:tcPr>
          <w:p>
            <w:pPr>
              <w:spacing w:after="20"/>
            </w:pPr>
            <w:r/>
            <w:r>
              <w:rPr>
                <w:rFonts w:ascii="Aptos" w:hAnsi="Aptos"/>
                <w:b w:val="0"/>
                <w:sz w:val="16"/>
              </w:rPr>
              <w:t>KD-19</w:t>
            </w:r>
          </w:p>
        </w:tc>
        <w:tc>
          <w:tcPr>
            <w:tcW w:type="dxa" w:w="3312"/>
            <w:vAlign w:val="center"/>
          </w:tcPr>
          <w:p>
            <w:pPr>
              <w:spacing w:after="20"/>
            </w:pPr>
            <w:r/>
            <w:r>
              <w:rPr>
                <w:rFonts w:ascii="Aptos" w:hAnsi="Aptos"/>
                <w:b w:val="0"/>
                <w:sz w:val="16"/>
              </w:rPr>
              <w:t>Persetujuan penjualan (tahap lanjutan)</w:t>
            </w:r>
          </w:p>
        </w:tc>
        <w:tc>
          <w:tcPr>
            <w:tcW w:type="dxa" w:w="3312"/>
            <w:vAlign w:val="center"/>
          </w:tcPr>
          <w:p>
            <w:pPr>
              <w:spacing w:after="20"/>
            </w:pPr>
            <w:r/>
            <w:r>
              <w:rPr>
                <w:rFonts w:ascii="Aptos" w:hAnsi="Aptos"/>
                <w:b w:val="0"/>
                <w:sz w:val="16"/>
              </w:rPr>
              <w:t>Persetujuan penjualan oleh Operations Manager atau Branch Manager.</w:t>
            </w:r>
          </w:p>
        </w:tc>
      </w:tr>
      <w:tr>
        <w:tc>
          <w:tcPr>
            <w:tcW w:type="dxa" w:w="3312"/>
            <w:vAlign w:val="center"/>
            <w:shd w:fill="F2F6F8"/>
          </w:tcPr>
          <w:p>
            <w:pPr>
              <w:spacing w:after="20"/>
            </w:pPr>
            <w:r/>
            <w:r>
              <w:rPr>
                <w:rFonts w:ascii="Aptos" w:hAnsi="Aptos"/>
                <w:b w:val="0"/>
                <w:sz w:val="16"/>
              </w:rPr>
              <w:t>KD-20</w:t>
            </w:r>
          </w:p>
        </w:tc>
        <w:tc>
          <w:tcPr>
            <w:tcW w:type="dxa" w:w="3312"/>
            <w:vAlign w:val="center"/>
            <w:shd w:fill="F2F6F8"/>
          </w:tcPr>
          <w:p>
            <w:pPr>
              <w:spacing w:after="20"/>
            </w:pPr>
            <w:r/>
            <w:r>
              <w:rPr>
                <w:rFonts w:ascii="Aptos" w:hAnsi="Aptos"/>
                <w:b w:val="0"/>
                <w:sz w:val="16"/>
              </w:rPr>
              <w:t>Cakupan cabang</w:t>
            </w:r>
          </w:p>
        </w:tc>
        <w:tc>
          <w:tcPr>
            <w:tcW w:type="dxa" w:w="3312"/>
            <w:vAlign w:val="center"/>
            <w:shd w:fill="F2F6F8"/>
          </w:tcPr>
          <w:p>
            <w:pPr>
              <w:spacing w:after="20"/>
            </w:pPr>
            <w:r/>
            <w:r>
              <w:rPr>
                <w:rFonts w:ascii="Aptos" w:hAnsi="Aptos"/>
                <w:b w:val="0"/>
                <w:sz w:val="16"/>
              </w:rPr>
              <w:t>Lintas cabang sesuai role jika kelak diperlukan; bukan kompleksitas utama MVP.</w:t>
            </w:r>
          </w:p>
        </w:tc>
      </w:tr>
      <w:tr>
        <w:tc>
          <w:tcPr>
            <w:tcW w:type="dxa" w:w="3312"/>
            <w:vAlign w:val="center"/>
          </w:tcPr>
          <w:p>
            <w:pPr>
              <w:spacing w:after="20"/>
            </w:pPr>
            <w:r/>
            <w:r>
              <w:rPr>
                <w:rFonts w:ascii="Aptos" w:hAnsi="Aptos"/>
                <w:b w:val="0"/>
                <w:sz w:val="16"/>
              </w:rPr>
              <w:t>KD-21</w:t>
            </w:r>
          </w:p>
        </w:tc>
        <w:tc>
          <w:tcPr>
            <w:tcW w:type="dxa" w:w="3312"/>
            <w:vAlign w:val="center"/>
          </w:tcPr>
          <w:p>
            <w:pPr>
              <w:spacing w:after="20"/>
            </w:pPr>
            <w:r/>
            <w:r>
              <w:rPr>
                <w:rFonts w:ascii="Aptos" w:hAnsi="Aptos"/>
                <w:b w:val="0"/>
                <w:sz w:val="16"/>
              </w:rPr>
              <w:t>Penjualan barang</w:t>
            </w:r>
          </w:p>
        </w:tc>
        <w:tc>
          <w:tcPr>
            <w:tcW w:type="dxa" w:w="3312"/>
            <w:vAlign w:val="center"/>
          </w:tcPr>
          <w:p>
            <w:pPr>
              <w:spacing w:after="20"/>
            </w:pPr>
            <w:r/>
            <w:r>
              <w:rPr>
                <w:rFonts w:ascii="Aptos" w:hAnsi="Aptos"/>
                <w:b w:val="0"/>
                <w:sz w:val="16"/>
              </w:rPr>
              <w:t>Penjualan barang milik perusahaan memerlukan approval sesuai keputusan bisnis sebelumnya; detail alur berada di luar MVP.</w:t>
            </w:r>
          </w:p>
        </w:tc>
      </w:tr>
    </w:tbl>
    <w:p/>
    <w:p>
      <w:r>
        <w:t>Catatan: keputusan pembayaran, invoice, penjualan, dan role di atas merupakan konteks Business Discovery sistem yang lebih luas. Keputusan tersebut tidak berarti modul pembayaran, invoice, atau penjualan masuk ke MVP Web Inventory.</w:t>
      </w:r>
    </w:p>
    <w:p>
      <w:pPr>
        <w:pStyle w:val="Heading1"/>
      </w:pPr>
      <w:r>
        <w:t>4. Scope MVP</w:t>
      </w:r>
    </w:p>
    <w:p>
      <w:pPr>
        <w:pStyle w:val="Heading2"/>
      </w:pPr>
      <w:r>
        <w:t>4.1 Termasuk MVP</w:t>
      </w:r>
    </w:p>
    <w:p>
      <w:pPr>
        <w:pStyle w:val="ListBullet"/>
        <w:spacing w:after="40"/>
      </w:pPr>
      <w:r>
        <w:t>Autentikasi, sesi pengguna, dan kontrol akses berbasis role/permission.</w:t>
      </w:r>
    </w:p>
    <w:p>
      <w:pPr>
        <w:pStyle w:val="ListBullet"/>
        <w:spacing w:after="40"/>
      </w:pPr>
      <w:r>
        <w:t>Dashboard ringkasan inventaris.</w:t>
      </w:r>
    </w:p>
    <w:p>
      <w:pPr>
        <w:pStyle w:val="ListBullet"/>
        <w:spacing w:after="40"/>
      </w:pPr>
      <w:r>
        <w:t>Master barang, kategori, subkategori, dan satuan.</w:t>
      </w:r>
    </w:p>
    <w:p>
      <w:pPr>
        <w:pStyle w:val="ListBullet"/>
        <w:spacing w:after="40"/>
      </w:pPr>
      <w:r>
        <w:t>Lokasi penyimpanan di gedung utama.</w:t>
      </w:r>
    </w:p>
    <w:p>
      <w:pPr>
        <w:pStyle w:val="ListBullet"/>
        <w:spacing w:after="40"/>
      </w:pPr>
      <w:r>
        <w:t>Pelacakan individual untuk barang yang dipilih dan pelacakan kuantitas untuk barang lainnya.</w:t>
      </w:r>
    </w:p>
    <w:p>
      <w:pPr>
        <w:pStyle w:val="ListBullet"/>
        <w:spacing w:after="40"/>
      </w:pPr>
      <w:r>
        <w:t>Pendataan fisik, validasi data lama, rekonsiliasi, dan pencatatan stok awal.</w:t>
      </w:r>
    </w:p>
    <w:p>
      <w:pPr>
        <w:pStyle w:val="ListBullet"/>
        <w:spacing w:after="40"/>
      </w:pPr>
      <w:r>
        <w:t>Mutasi stok masuk, keluar, transfer lokasi, dan penyesuaian.</w:t>
      </w:r>
    </w:p>
    <w:p>
      <w:pPr>
        <w:pStyle w:val="ListBullet"/>
        <w:spacing w:after="40"/>
      </w:pPr>
      <w:r>
        <w:t>Pembedaan kondisi tersedia, rusak, dan dalam servis.</w:t>
      </w:r>
    </w:p>
    <w:p>
      <w:pPr>
        <w:pStyle w:val="ListBullet"/>
        <w:spacing w:after="40"/>
      </w:pPr>
      <w:r>
        <w:t>Pembedaan kepemilikan perusahaan dan eksternal pada struktur data.</w:t>
      </w:r>
    </w:p>
    <w:p>
      <w:pPr>
        <w:pStyle w:val="ListBullet"/>
        <w:spacing w:after="40"/>
      </w:pPr>
      <w:r>
        <w:t>Workflow persetujuan penyesuaian stok oleh Owner.</w:t>
      </w:r>
    </w:p>
    <w:p>
      <w:pPr>
        <w:pStyle w:val="ListBullet"/>
        <w:spacing w:after="40"/>
      </w:pPr>
      <w:r>
        <w:t>Riwayat mutasi, audit trail, pencarian, filter, dan laporan dasar.</w:t>
      </w:r>
    </w:p>
    <w:p>
      <w:pPr>
        <w:pStyle w:val="ListBullet"/>
        <w:spacing w:after="40"/>
      </w:pPr>
      <w:r>
        <w:t>Fasilitas impor data lama setelah validasi; detail format dan fitur final perlu dikonfirmasi.</w:t>
      </w:r>
    </w:p>
    <w:p>
      <w:pPr>
        <w:pStyle w:val="Heading2"/>
      </w:pPr>
      <w:r>
        <w:t>4.2 Tahap lanjutan</w:t>
      </w:r>
    </w:p>
    <w:p>
      <w:pPr>
        <w:pStyle w:val="ListBullet"/>
        <w:spacing w:after="40"/>
      </w:pPr>
      <w:r>
        <w:t>Alokasi dan reservasi barang untuk order rental lengkap serta pencegahan double-booking.</w:t>
      </w:r>
    </w:p>
    <w:p>
      <w:pPr>
        <w:pStyle w:val="ListBullet"/>
        <w:spacing w:after="40"/>
      </w:pPr>
      <w:r>
        <w:t>Workflow peminjaman/sewa peralatan eksternal secara lengkap.</w:t>
      </w:r>
    </w:p>
    <w:p>
      <w:pPr>
        <w:pStyle w:val="ListBullet"/>
        <w:spacing w:after="40"/>
      </w:pPr>
      <w:r>
        <w:t>Work order servis dan pencatatan suku cadang.</w:t>
      </w:r>
    </w:p>
    <w:p>
      <w:pPr>
        <w:pStyle w:val="ListBullet"/>
        <w:spacing w:after="40"/>
      </w:pPr>
      <w:r>
        <w:t>Pengadaan dan penjualan barang.</w:t>
      </w:r>
    </w:p>
    <w:p>
      <w:pPr>
        <w:pStyle w:val="ListBullet"/>
        <w:spacing w:after="40"/>
      </w:pPr>
      <w:r>
        <w:t>Invoice, pembayaran, dan integrasi keuangan.</w:t>
      </w:r>
    </w:p>
    <w:p>
      <w:pPr>
        <w:pStyle w:val="ListBullet"/>
        <w:spacing w:after="40"/>
      </w:pPr>
      <w:r>
        <w:t>Payroll, payment gateway, portal booking pelanggan, dan integrasi perangkat eksternal.</w:t>
      </w:r>
    </w:p>
    <w:p>
      <w:pPr>
        <w:pStyle w:val="Heading2"/>
      </w:pPr>
      <w:r>
        <w:t>4.3 Di luar MVP</w:t>
      </w:r>
    </w:p>
    <w:p>
      <w:pPr>
        <w:pStyle w:val="ListBullet"/>
        <w:spacing w:after="40"/>
      </w:pPr>
      <w:r>
        <w:t>Booking mandiri pelanggan melalui website.</w:t>
      </w:r>
    </w:p>
    <w:p>
      <w:pPr>
        <w:pStyle w:val="ListBullet"/>
        <w:spacing w:after="40"/>
      </w:pPr>
      <w:r>
        <w:t>Portal tracking pelanggan sebagai bagian dari Web Inventory.</w:t>
      </w:r>
    </w:p>
    <w:p>
      <w:pPr>
        <w:pStyle w:val="ListBullet"/>
        <w:spacing w:after="40"/>
      </w:pPr>
      <w:r>
        <w:t>Sistem multi-cabang kompleks.</w:t>
      </w:r>
    </w:p>
    <w:p>
      <w:pPr>
        <w:pStyle w:val="ListBullet"/>
        <w:spacing w:after="40"/>
      </w:pPr>
      <w:r>
        <w:t>Payroll dan payment gateway.</w:t>
      </w:r>
    </w:p>
    <w:p>
      <w:pPr>
        <w:pStyle w:val="ListBullet"/>
        <w:spacing w:after="40"/>
      </w:pPr>
      <w:r>
        <w:t>Integrasi face recognition atau integrasi perangkat lain yang belum menjadi prioritas.</w:t>
      </w:r>
    </w:p>
    <w:p>
      <w:pPr>
        <w:pStyle w:val="Heading1"/>
      </w:pPr>
      <w:r>
        <w:t>5. Kebutuhan Fungsional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5324B"/>
          </w:tcPr>
          <w:p>
            <w:pPr>
              <w:spacing w:after="20"/>
            </w:pPr>
            <w:r/>
            <w:r>
              <w:rPr>
                <w:rFonts w:ascii="Aptos" w:hAnsi="Aptos"/>
                <w:b/>
                <w:color w:val="FFFFFF"/>
                <w:sz w:val="17"/>
              </w:rPr>
              <w:t>ID</w:t>
            </w:r>
          </w:p>
        </w:tc>
        <w:tc>
          <w:tcPr>
            <w:tcW w:type="dxa" w:w="2484"/>
            <w:vAlign w:val="center"/>
            <w:shd w:fill="15324B"/>
          </w:tcPr>
          <w:p>
            <w:pPr>
              <w:spacing w:after="20"/>
            </w:pPr>
            <w:r/>
            <w:r>
              <w:rPr>
                <w:rFonts w:ascii="Aptos" w:hAnsi="Aptos"/>
                <w:b/>
                <w:color w:val="FFFFFF"/>
                <w:sz w:val="17"/>
              </w:rPr>
              <w:t>Modul</w:t>
            </w:r>
          </w:p>
        </w:tc>
        <w:tc>
          <w:tcPr>
            <w:tcW w:type="dxa" w:w="2484"/>
            <w:vAlign w:val="center"/>
            <w:shd w:fill="15324B"/>
          </w:tcPr>
          <w:p>
            <w:pPr>
              <w:spacing w:after="20"/>
            </w:pPr>
            <w:r/>
            <w:r>
              <w:rPr>
                <w:rFonts w:ascii="Aptos" w:hAnsi="Aptos"/>
                <w:b/>
                <w:color w:val="FFFFFF"/>
                <w:sz w:val="17"/>
              </w:rPr>
              <w:t>Perilaku yang diharapkan</w:t>
            </w:r>
          </w:p>
        </w:tc>
        <w:tc>
          <w:tcPr>
            <w:tcW w:type="dxa" w:w="2484"/>
            <w:vAlign w:val="center"/>
            <w:shd w:fill="15324B"/>
          </w:tcPr>
          <w:p>
            <w:pPr>
              <w:spacing w:after="20"/>
            </w:pPr>
            <w:r/>
            <w:r>
              <w:rPr>
                <w:rFonts w:ascii="Aptos" w:hAnsi="Aptos"/>
                <w:b/>
                <w:color w:val="FFFFFF"/>
                <w:sz w:val="17"/>
              </w:rPr>
              <w:t>Prioritas</w:t>
            </w:r>
          </w:p>
        </w:tc>
      </w:tr>
      <w:tr>
        <w:tc>
          <w:tcPr>
            <w:tcW w:type="dxa" w:w="2484"/>
            <w:vAlign w:val="center"/>
          </w:tcPr>
          <w:p>
            <w:pPr>
              <w:spacing w:after="20"/>
            </w:pPr>
            <w:r/>
            <w:r>
              <w:rPr>
                <w:rFonts w:ascii="Aptos" w:hAnsi="Aptos"/>
                <w:b w:val="0"/>
                <w:sz w:val="16"/>
              </w:rPr>
              <w:t>FR-01</w:t>
            </w:r>
          </w:p>
        </w:tc>
        <w:tc>
          <w:tcPr>
            <w:tcW w:type="dxa" w:w="2484"/>
            <w:vAlign w:val="center"/>
          </w:tcPr>
          <w:p>
            <w:pPr>
              <w:spacing w:after="20"/>
            </w:pPr>
            <w:r/>
            <w:r>
              <w:rPr>
                <w:rFonts w:ascii="Aptos" w:hAnsi="Aptos"/>
                <w:b w:val="0"/>
                <w:sz w:val="16"/>
              </w:rPr>
              <w:t>Autentikasi</w:t>
            </w:r>
          </w:p>
        </w:tc>
        <w:tc>
          <w:tcPr>
            <w:tcW w:type="dxa" w:w="2484"/>
            <w:vAlign w:val="center"/>
          </w:tcPr>
          <w:p>
            <w:pPr>
              <w:spacing w:after="20"/>
            </w:pPr>
            <w:r/>
            <w:r>
              <w:rPr>
                <w:rFonts w:ascii="Aptos" w:hAnsi="Aptos"/>
                <w:b w:val="0"/>
                <w:sz w:val="16"/>
              </w:rPr>
              <w:t>Login/logout dan pengelolaan sesi yang aman.</w:t>
            </w:r>
          </w:p>
        </w:tc>
        <w:tc>
          <w:tcPr>
            <w:tcW w:type="dxa" w:w="2484"/>
            <w:vAlign w:val="center"/>
          </w:tcPr>
          <w:p>
            <w:pPr>
              <w:spacing w:after="20"/>
            </w:pPr>
            <w:r/>
            <w:r>
              <w:rPr>
                <w:rFonts w:ascii="Aptos" w:hAnsi="Aptos"/>
                <w:b w:val="0"/>
                <w:sz w:val="16"/>
              </w:rPr>
              <w:t>Wajib</w:t>
            </w:r>
          </w:p>
        </w:tc>
      </w:tr>
      <w:tr>
        <w:tc>
          <w:tcPr>
            <w:tcW w:type="dxa" w:w="2484"/>
            <w:vAlign w:val="center"/>
            <w:shd w:fill="F2F6F8"/>
          </w:tcPr>
          <w:p>
            <w:pPr>
              <w:spacing w:after="20"/>
            </w:pPr>
            <w:r/>
            <w:r>
              <w:rPr>
                <w:rFonts w:ascii="Aptos" w:hAnsi="Aptos"/>
                <w:b w:val="0"/>
                <w:sz w:val="16"/>
              </w:rPr>
              <w:t>FR-02</w:t>
            </w:r>
          </w:p>
        </w:tc>
        <w:tc>
          <w:tcPr>
            <w:tcW w:type="dxa" w:w="2484"/>
            <w:vAlign w:val="center"/>
            <w:shd w:fill="F2F6F8"/>
          </w:tcPr>
          <w:p>
            <w:pPr>
              <w:spacing w:after="20"/>
            </w:pPr>
            <w:r/>
            <w:r>
              <w:rPr>
                <w:rFonts w:ascii="Aptos" w:hAnsi="Aptos"/>
                <w:b w:val="0"/>
                <w:sz w:val="16"/>
              </w:rPr>
              <w:t>RBAC</w:t>
            </w:r>
          </w:p>
        </w:tc>
        <w:tc>
          <w:tcPr>
            <w:tcW w:type="dxa" w:w="2484"/>
            <w:vAlign w:val="center"/>
            <w:shd w:fill="F2F6F8"/>
          </w:tcPr>
          <w:p>
            <w:pPr>
              <w:spacing w:after="20"/>
            </w:pPr>
            <w:r/>
            <w:r>
              <w:rPr>
                <w:rFonts w:ascii="Aptos" w:hAnsi="Aptos"/>
                <w:b w:val="0"/>
                <w:sz w:val="16"/>
              </w:rPr>
              <w:t>Kontrol akses menu, halaman, dan tindakan melalui permission.</w:t>
            </w:r>
          </w:p>
        </w:tc>
        <w:tc>
          <w:tcPr>
            <w:tcW w:type="dxa" w:w="2484"/>
            <w:vAlign w:val="center"/>
            <w:shd w:fill="F2F6F8"/>
          </w:tcPr>
          <w:p>
            <w:pPr>
              <w:spacing w:after="20"/>
            </w:pPr>
            <w:r/>
            <w:r>
              <w:rPr>
                <w:rFonts w:ascii="Aptos" w:hAnsi="Aptos"/>
                <w:b w:val="0"/>
                <w:sz w:val="16"/>
              </w:rPr>
              <w:t>Wajib</w:t>
            </w:r>
          </w:p>
        </w:tc>
      </w:tr>
      <w:tr>
        <w:tc>
          <w:tcPr>
            <w:tcW w:type="dxa" w:w="2484"/>
            <w:vAlign w:val="center"/>
          </w:tcPr>
          <w:p>
            <w:pPr>
              <w:spacing w:after="20"/>
            </w:pPr>
            <w:r/>
            <w:r>
              <w:rPr>
                <w:rFonts w:ascii="Aptos" w:hAnsi="Aptos"/>
                <w:b w:val="0"/>
                <w:sz w:val="16"/>
              </w:rPr>
              <w:t>FR-03</w:t>
            </w:r>
          </w:p>
        </w:tc>
        <w:tc>
          <w:tcPr>
            <w:tcW w:type="dxa" w:w="2484"/>
            <w:vAlign w:val="center"/>
          </w:tcPr>
          <w:p>
            <w:pPr>
              <w:spacing w:after="20"/>
            </w:pPr>
            <w:r/>
            <w:r>
              <w:rPr>
                <w:rFonts w:ascii="Aptos" w:hAnsi="Aptos"/>
                <w:b w:val="0"/>
                <w:sz w:val="16"/>
              </w:rPr>
              <w:t>Master barang</w:t>
            </w:r>
          </w:p>
        </w:tc>
        <w:tc>
          <w:tcPr>
            <w:tcW w:type="dxa" w:w="2484"/>
            <w:vAlign w:val="center"/>
          </w:tcPr>
          <w:p>
            <w:pPr>
              <w:spacing w:after="20"/>
            </w:pPr>
            <w:r/>
            <w:r>
              <w:rPr>
                <w:rFonts w:ascii="Aptos" w:hAnsi="Aptos"/>
                <w:b w:val="0"/>
                <w:sz w:val="16"/>
              </w:rPr>
              <w:t>CRUD barang; kode unik; nama; spesifikasi; status aktif/nonaktif.</w:t>
            </w:r>
          </w:p>
        </w:tc>
        <w:tc>
          <w:tcPr>
            <w:tcW w:type="dxa" w:w="2484"/>
            <w:vAlign w:val="center"/>
          </w:tcPr>
          <w:p>
            <w:pPr>
              <w:spacing w:after="20"/>
            </w:pPr>
            <w:r/>
            <w:r>
              <w:rPr>
                <w:rFonts w:ascii="Aptos" w:hAnsi="Aptos"/>
                <w:b w:val="0"/>
                <w:sz w:val="16"/>
              </w:rPr>
              <w:t>Wajib</w:t>
            </w:r>
          </w:p>
        </w:tc>
      </w:tr>
      <w:tr>
        <w:tc>
          <w:tcPr>
            <w:tcW w:type="dxa" w:w="2484"/>
            <w:vAlign w:val="center"/>
            <w:shd w:fill="F2F6F8"/>
          </w:tcPr>
          <w:p>
            <w:pPr>
              <w:spacing w:after="20"/>
            </w:pPr>
            <w:r/>
            <w:r>
              <w:rPr>
                <w:rFonts w:ascii="Aptos" w:hAnsi="Aptos"/>
                <w:b w:val="0"/>
                <w:sz w:val="16"/>
              </w:rPr>
              <w:t>FR-04</w:t>
            </w:r>
          </w:p>
        </w:tc>
        <w:tc>
          <w:tcPr>
            <w:tcW w:type="dxa" w:w="2484"/>
            <w:vAlign w:val="center"/>
            <w:shd w:fill="F2F6F8"/>
          </w:tcPr>
          <w:p>
            <w:pPr>
              <w:spacing w:after="20"/>
            </w:pPr>
            <w:r/>
            <w:r>
              <w:rPr>
                <w:rFonts w:ascii="Aptos" w:hAnsi="Aptos"/>
                <w:b w:val="0"/>
                <w:sz w:val="16"/>
              </w:rPr>
              <w:t>Kategori &amp; satuan</w:t>
            </w:r>
          </w:p>
        </w:tc>
        <w:tc>
          <w:tcPr>
            <w:tcW w:type="dxa" w:w="2484"/>
            <w:vAlign w:val="center"/>
            <w:shd w:fill="F2F6F8"/>
          </w:tcPr>
          <w:p>
            <w:pPr>
              <w:spacing w:after="20"/>
            </w:pPr>
            <w:r/>
            <w:r>
              <w:rPr>
                <w:rFonts w:ascii="Aptos" w:hAnsi="Aptos"/>
                <w:b w:val="0"/>
                <w:sz w:val="16"/>
              </w:rPr>
              <w:t>Pengelolaan kategori, subkategori, dan satuan.</w:t>
            </w:r>
          </w:p>
        </w:tc>
        <w:tc>
          <w:tcPr>
            <w:tcW w:type="dxa" w:w="2484"/>
            <w:vAlign w:val="center"/>
            <w:shd w:fill="F2F6F8"/>
          </w:tcPr>
          <w:p>
            <w:pPr>
              <w:spacing w:after="20"/>
            </w:pPr>
            <w:r/>
            <w:r>
              <w:rPr>
                <w:rFonts w:ascii="Aptos" w:hAnsi="Aptos"/>
                <w:b w:val="0"/>
                <w:sz w:val="16"/>
              </w:rPr>
              <w:t>Wajib</w:t>
            </w:r>
          </w:p>
        </w:tc>
      </w:tr>
      <w:tr>
        <w:tc>
          <w:tcPr>
            <w:tcW w:type="dxa" w:w="2484"/>
            <w:vAlign w:val="center"/>
          </w:tcPr>
          <w:p>
            <w:pPr>
              <w:spacing w:after="20"/>
            </w:pPr>
            <w:r/>
            <w:r>
              <w:rPr>
                <w:rFonts w:ascii="Aptos" w:hAnsi="Aptos"/>
                <w:b w:val="0"/>
                <w:sz w:val="16"/>
              </w:rPr>
              <w:t>FR-05</w:t>
            </w:r>
          </w:p>
        </w:tc>
        <w:tc>
          <w:tcPr>
            <w:tcW w:type="dxa" w:w="2484"/>
            <w:vAlign w:val="center"/>
          </w:tcPr>
          <w:p>
            <w:pPr>
              <w:spacing w:after="20"/>
            </w:pPr>
            <w:r/>
            <w:r>
              <w:rPr>
                <w:rFonts w:ascii="Aptos" w:hAnsi="Aptos"/>
                <w:b w:val="0"/>
                <w:sz w:val="16"/>
              </w:rPr>
              <w:t>Lokasi</w:t>
            </w:r>
          </w:p>
        </w:tc>
        <w:tc>
          <w:tcPr>
            <w:tcW w:type="dxa" w:w="2484"/>
            <w:vAlign w:val="center"/>
          </w:tcPr>
          <w:p>
            <w:pPr>
              <w:spacing w:after="20"/>
            </w:pPr>
            <w:r/>
            <w:r>
              <w:rPr>
                <w:rFonts w:ascii="Aptos" w:hAnsi="Aptos"/>
                <w:b w:val="0"/>
                <w:sz w:val="16"/>
              </w:rPr>
              <w:t>Mengelola gudang dan titik penyimpanan dalam gedung utama.</w:t>
            </w:r>
          </w:p>
        </w:tc>
        <w:tc>
          <w:tcPr>
            <w:tcW w:type="dxa" w:w="2484"/>
            <w:vAlign w:val="center"/>
          </w:tcPr>
          <w:p>
            <w:pPr>
              <w:spacing w:after="20"/>
            </w:pPr>
            <w:r/>
            <w:r>
              <w:rPr>
                <w:rFonts w:ascii="Aptos" w:hAnsi="Aptos"/>
                <w:b w:val="0"/>
                <w:sz w:val="16"/>
              </w:rPr>
              <w:t>Wajib</w:t>
            </w:r>
          </w:p>
        </w:tc>
      </w:tr>
      <w:tr>
        <w:tc>
          <w:tcPr>
            <w:tcW w:type="dxa" w:w="2484"/>
            <w:vAlign w:val="center"/>
            <w:shd w:fill="F2F6F8"/>
          </w:tcPr>
          <w:p>
            <w:pPr>
              <w:spacing w:after="20"/>
            </w:pPr>
            <w:r/>
            <w:r>
              <w:rPr>
                <w:rFonts w:ascii="Aptos" w:hAnsi="Aptos"/>
                <w:b w:val="0"/>
                <w:sz w:val="16"/>
              </w:rPr>
              <w:t>FR-06</w:t>
            </w:r>
          </w:p>
        </w:tc>
        <w:tc>
          <w:tcPr>
            <w:tcW w:type="dxa" w:w="2484"/>
            <w:vAlign w:val="center"/>
            <w:shd w:fill="F2F6F8"/>
          </w:tcPr>
          <w:p>
            <w:pPr>
              <w:spacing w:after="20"/>
            </w:pPr>
            <w:r/>
            <w:r>
              <w:rPr>
                <w:rFonts w:ascii="Aptos" w:hAnsi="Aptos"/>
                <w:b w:val="0"/>
                <w:sz w:val="16"/>
              </w:rPr>
              <w:t>Mode pelacakan</w:t>
            </w:r>
          </w:p>
        </w:tc>
        <w:tc>
          <w:tcPr>
            <w:tcW w:type="dxa" w:w="2484"/>
            <w:vAlign w:val="center"/>
            <w:shd w:fill="F2F6F8"/>
          </w:tcPr>
          <w:p>
            <w:pPr>
              <w:spacing w:after="20"/>
            </w:pPr>
            <w:r/>
            <w:r>
              <w:rPr>
                <w:rFonts w:ascii="Aptos" w:hAnsi="Aptos"/>
                <w:b w:val="0"/>
                <w:sz w:val="16"/>
              </w:rPr>
              <w:t>Memilih mode individual atau kuantitas untuk jenis barang.</w:t>
            </w:r>
          </w:p>
        </w:tc>
        <w:tc>
          <w:tcPr>
            <w:tcW w:type="dxa" w:w="2484"/>
            <w:vAlign w:val="center"/>
            <w:shd w:fill="F2F6F8"/>
          </w:tcPr>
          <w:p>
            <w:pPr>
              <w:spacing w:after="20"/>
            </w:pPr>
            <w:r/>
            <w:r>
              <w:rPr>
                <w:rFonts w:ascii="Aptos" w:hAnsi="Aptos"/>
                <w:b w:val="0"/>
                <w:sz w:val="16"/>
              </w:rPr>
              <w:t>Wajib</w:t>
            </w:r>
          </w:p>
        </w:tc>
      </w:tr>
      <w:tr>
        <w:tc>
          <w:tcPr>
            <w:tcW w:type="dxa" w:w="2484"/>
            <w:vAlign w:val="center"/>
          </w:tcPr>
          <w:p>
            <w:pPr>
              <w:spacing w:after="20"/>
            </w:pPr>
            <w:r/>
            <w:r>
              <w:rPr>
                <w:rFonts w:ascii="Aptos" w:hAnsi="Aptos"/>
                <w:b w:val="0"/>
                <w:sz w:val="16"/>
              </w:rPr>
              <w:t>FR-07</w:t>
            </w:r>
          </w:p>
        </w:tc>
        <w:tc>
          <w:tcPr>
            <w:tcW w:type="dxa" w:w="2484"/>
            <w:vAlign w:val="center"/>
          </w:tcPr>
          <w:p>
            <w:pPr>
              <w:spacing w:after="20"/>
            </w:pPr>
            <w:r/>
            <w:r>
              <w:rPr>
                <w:rFonts w:ascii="Aptos" w:hAnsi="Aptos"/>
                <w:b w:val="0"/>
                <w:sz w:val="16"/>
              </w:rPr>
              <w:t>Pendataan fisik</w:t>
            </w:r>
          </w:p>
        </w:tc>
        <w:tc>
          <w:tcPr>
            <w:tcW w:type="dxa" w:w="2484"/>
            <w:vAlign w:val="center"/>
          </w:tcPr>
          <w:p>
            <w:pPr>
              <w:spacing w:after="20"/>
            </w:pPr>
            <w:r/>
            <w:r>
              <w:rPr>
                <w:rFonts w:ascii="Aptos" w:hAnsi="Aptos"/>
                <w:b w:val="0"/>
                <w:sz w:val="16"/>
              </w:rPr>
              <w:t>Mencatat jumlah, lokasi, kondisi, identitas individual, dan selisih.</w:t>
            </w:r>
          </w:p>
        </w:tc>
        <w:tc>
          <w:tcPr>
            <w:tcW w:type="dxa" w:w="2484"/>
            <w:vAlign w:val="center"/>
          </w:tcPr>
          <w:p>
            <w:pPr>
              <w:spacing w:after="20"/>
            </w:pPr>
            <w:r/>
            <w:r>
              <w:rPr>
                <w:rFonts w:ascii="Aptos" w:hAnsi="Aptos"/>
                <w:b w:val="0"/>
                <w:sz w:val="16"/>
              </w:rPr>
              <w:t>Wajib</w:t>
            </w:r>
          </w:p>
        </w:tc>
      </w:tr>
      <w:tr>
        <w:tc>
          <w:tcPr>
            <w:tcW w:type="dxa" w:w="2484"/>
            <w:vAlign w:val="center"/>
            <w:shd w:fill="F2F6F8"/>
          </w:tcPr>
          <w:p>
            <w:pPr>
              <w:spacing w:after="20"/>
            </w:pPr>
            <w:r/>
            <w:r>
              <w:rPr>
                <w:rFonts w:ascii="Aptos" w:hAnsi="Aptos"/>
                <w:b w:val="0"/>
                <w:sz w:val="16"/>
              </w:rPr>
              <w:t>FR-08</w:t>
            </w:r>
          </w:p>
        </w:tc>
        <w:tc>
          <w:tcPr>
            <w:tcW w:type="dxa" w:w="2484"/>
            <w:vAlign w:val="center"/>
            <w:shd w:fill="F2F6F8"/>
          </w:tcPr>
          <w:p>
            <w:pPr>
              <w:spacing w:after="20"/>
            </w:pPr>
            <w:r/>
            <w:r>
              <w:rPr>
                <w:rFonts w:ascii="Aptos" w:hAnsi="Aptos"/>
                <w:b w:val="0"/>
                <w:sz w:val="16"/>
              </w:rPr>
              <w:t>Stok awal</w:t>
            </w:r>
          </w:p>
        </w:tc>
        <w:tc>
          <w:tcPr>
            <w:tcW w:type="dxa" w:w="2484"/>
            <w:vAlign w:val="center"/>
            <w:shd w:fill="F2F6F8"/>
          </w:tcPr>
          <w:p>
            <w:pPr>
              <w:spacing w:after="20"/>
            </w:pPr>
            <w:r/>
            <w:r>
              <w:rPr>
                <w:rFonts w:ascii="Aptos" w:hAnsi="Aptos"/>
                <w:b w:val="0"/>
                <w:sz w:val="16"/>
              </w:rPr>
              <w:t>Warehouse memverifikasi dan mengesahkan saldo awal.</w:t>
            </w:r>
          </w:p>
        </w:tc>
        <w:tc>
          <w:tcPr>
            <w:tcW w:type="dxa" w:w="2484"/>
            <w:vAlign w:val="center"/>
            <w:shd w:fill="F2F6F8"/>
          </w:tcPr>
          <w:p>
            <w:pPr>
              <w:spacing w:after="20"/>
            </w:pPr>
            <w:r/>
            <w:r>
              <w:rPr>
                <w:rFonts w:ascii="Aptos" w:hAnsi="Aptos"/>
                <w:b w:val="0"/>
                <w:sz w:val="16"/>
              </w:rPr>
              <w:t>Wajib</w:t>
            </w:r>
          </w:p>
        </w:tc>
      </w:tr>
      <w:tr>
        <w:tc>
          <w:tcPr>
            <w:tcW w:type="dxa" w:w="2484"/>
            <w:vAlign w:val="center"/>
          </w:tcPr>
          <w:p>
            <w:pPr>
              <w:spacing w:after="20"/>
            </w:pPr>
            <w:r/>
            <w:r>
              <w:rPr>
                <w:rFonts w:ascii="Aptos" w:hAnsi="Aptos"/>
                <w:b w:val="0"/>
                <w:sz w:val="16"/>
              </w:rPr>
              <w:t>FR-09</w:t>
            </w:r>
          </w:p>
        </w:tc>
        <w:tc>
          <w:tcPr>
            <w:tcW w:type="dxa" w:w="2484"/>
            <w:vAlign w:val="center"/>
          </w:tcPr>
          <w:p>
            <w:pPr>
              <w:spacing w:after="20"/>
            </w:pPr>
            <w:r/>
            <w:r>
              <w:rPr>
                <w:rFonts w:ascii="Aptos" w:hAnsi="Aptos"/>
                <w:b w:val="0"/>
                <w:sz w:val="16"/>
              </w:rPr>
              <w:t>Mutasi stok</w:t>
            </w:r>
          </w:p>
        </w:tc>
        <w:tc>
          <w:tcPr>
            <w:tcW w:type="dxa" w:w="2484"/>
            <w:vAlign w:val="center"/>
          </w:tcPr>
          <w:p>
            <w:pPr>
              <w:spacing w:after="20"/>
            </w:pPr>
            <w:r/>
            <w:r>
              <w:rPr>
                <w:rFonts w:ascii="Aptos" w:hAnsi="Aptos"/>
                <w:b w:val="0"/>
                <w:sz w:val="16"/>
              </w:rPr>
              <w:t>Mencatat penerimaan, pengeluaran, transfer, dan penyesuaian yang disetujui.</w:t>
            </w:r>
          </w:p>
        </w:tc>
        <w:tc>
          <w:tcPr>
            <w:tcW w:type="dxa" w:w="2484"/>
            <w:vAlign w:val="center"/>
          </w:tcPr>
          <w:p>
            <w:pPr>
              <w:spacing w:after="20"/>
            </w:pPr>
            <w:r/>
            <w:r>
              <w:rPr>
                <w:rFonts w:ascii="Aptos" w:hAnsi="Aptos"/>
                <w:b w:val="0"/>
                <w:sz w:val="16"/>
              </w:rPr>
              <w:t>Wajib</w:t>
            </w:r>
          </w:p>
        </w:tc>
      </w:tr>
      <w:tr>
        <w:tc>
          <w:tcPr>
            <w:tcW w:type="dxa" w:w="2484"/>
            <w:vAlign w:val="center"/>
            <w:shd w:fill="F2F6F8"/>
          </w:tcPr>
          <w:p>
            <w:pPr>
              <w:spacing w:after="20"/>
            </w:pPr>
            <w:r/>
            <w:r>
              <w:rPr>
                <w:rFonts w:ascii="Aptos" w:hAnsi="Aptos"/>
                <w:b w:val="0"/>
                <w:sz w:val="16"/>
              </w:rPr>
              <w:t>FR-10</w:t>
            </w:r>
          </w:p>
        </w:tc>
        <w:tc>
          <w:tcPr>
            <w:tcW w:type="dxa" w:w="2484"/>
            <w:vAlign w:val="center"/>
            <w:shd w:fill="F2F6F8"/>
          </w:tcPr>
          <w:p>
            <w:pPr>
              <w:spacing w:after="20"/>
            </w:pPr>
            <w:r/>
            <w:r>
              <w:rPr>
                <w:rFonts w:ascii="Aptos" w:hAnsi="Aptos"/>
                <w:b w:val="0"/>
                <w:sz w:val="16"/>
              </w:rPr>
              <w:t>Approval penyesuaian</w:t>
            </w:r>
          </w:p>
        </w:tc>
        <w:tc>
          <w:tcPr>
            <w:tcW w:type="dxa" w:w="2484"/>
            <w:vAlign w:val="center"/>
            <w:shd w:fill="F2F6F8"/>
          </w:tcPr>
          <w:p>
            <w:pPr>
              <w:spacing w:after="20"/>
            </w:pPr>
            <w:r/>
            <w:r>
              <w:rPr>
                <w:rFonts w:ascii="Aptos" w:hAnsi="Aptos"/>
                <w:b w:val="0"/>
                <w:sz w:val="16"/>
              </w:rPr>
              <w:t>Owner menyetujui/menolak; saldo tidak berubah sebelum persetujuan.</w:t>
            </w:r>
          </w:p>
        </w:tc>
        <w:tc>
          <w:tcPr>
            <w:tcW w:type="dxa" w:w="2484"/>
            <w:vAlign w:val="center"/>
            <w:shd w:fill="F2F6F8"/>
          </w:tcPr>
          <w:p>
            <w:pPr>
              <w:spacing w:after="20"/>
            </w:pPr>
            <w:r/>
            <w:r>
              <w:rPr>
                <w:rFonts w:ascii="Aptos" w:hAnsi="Aptos"/>
                <w:b w:val="0"/>
                <w:sz w:val="16"/>
              </w:rPr>
              <w:t>Wajib</w:t>
            </w:r>
          </w:p>
        </w:tc>
      </w:tr>
      <w:tr>
        <w:tc>
          <w:tcPr>
            <w:tcW w:type="dxa" w:w="2484"/>
            <w:vAlign w:val="center"/>
          </w:tcPr>
          <w:p>
            <w:pPr>
              <w:spacing w:after="20"/>
            </w:pPr>
            <w:r/>
            <w:r>
              <w:rPr>
                <w:rFonts w:ascii="Aptos" w:hAnsi="Aptos"/>
                <w:b w:val="0"/>
                <w:sz w:val="16"/>
              </w:rPr>
              <w:t>FR-11</w:t>
            </w:r>
          </w:p>
        </w:tc>
        <w:tc>
          <w:tcPr>
            <w:tcW w:type="dxa" w:w="2484"/>
            <w:vAlign w:val="center"/>
          </w:tcPr>
          <w:p>
            <w:pPr>
              <w:spacing w:after="20"/>
            </w:pPr>
            <w:r/>
            <w:r>
              <w:rPr>
                <w:rFonts w:ascii="Aptos" w:hAnsi="Aptos"/>
                <w:b w:val="0"/>
                <w:sz w:val="16"/>
              </w:rPr>
              <w:t>Kondisi barang</w:t>
            </w:r>
          </w:p>
        </w:tc>
        <w:tc>
          <w:tcPr>
            <w:tcW w:type="dxa" w:w="2484"/>
            <w:vAlign w:val="center"/>
          </w:tcPr>
          <w:p>
            <w:pPr>
              <w:spacing w:after="20"/>
            </w:pPr>
            <w:r/>
            <w:r>
              <w:rPr>
                <w:rFonts w:ascii="Aptos" w:hAnsi="Aptos"/>
                <w:b w:val="0"/>
                <w:sz w:val="16"/>
              </w:rPr>
              <w:t>Memisahkan tersedia, rusak, dan dalam servis.</w:t>
            </w:r>
          </w:p>
        </w:tc>
        <w:tc>
          <w:tcPr>
            <w:tcW w:type="dxa" w:w="2484"/>
            <w:vAlign w:val="center"/>
          </w:tcPr>
          <w:p>
            <w:pPr>
              <w:spacing w:after="20"/>
            </w:pPr>
            <w:r/>
            <w:r>
              <w:rPr>
                <w:rFonts w:ascii="Aptos" w:hAnsi="Aptos"/>
                <w:b w:val="0"/>
                <w:sz w:val="16"/>
              </w:rPr>
              <w:t>Wajib</w:t>
            </w:r>
          </w:p>
        </w:tc>
      </w:tr>
      <w:tr>
        <w:tc>
          <w:tcPr>
            <w:tcW w:type="dxa" w:w="2484"/>
            <w:vAlign w:val="center"/>
            <w:shd w:fill="F2F6F8"/>
          </w:tcPr>
          <w:p>
            <w:pPr>
              <w:spacing w:after="20"/>
            </w:pPr>
            <w:r/>
            <w:r>
              <w:rPr>
                <w:rFonts w:ascii="Aptos" w:hAnsi="Aptos"/>
                <w:b w:val="0"/>
                <w:sz w:val="16"/>
              </w:rPr>
              <w:t>FR-12</w:t>
            </w:r>
          </w:p>
        </w:tc>
        <w:tc>
          <w:tcPr>
            <w:tcW w:type="dxa" w:w="2484"/>
            <w:vAlign w:val="center"/>
            <w:shd w:fill="F2F6F8"/>
          </w:tcPr>
          <w:p>
            <w:pPr>
              <w:spacing w:after="20"/>
            </w:pPr>
            <w:r/>
            <w:r>
              <w:rPr>
                <w:rFonts w:ascii="Aptos" w:hAnsi="Aptos"/>
                <w:b w:val="0"/>
                <w:sz w:val="16"/>
              </w:rPr>
              <w:t>Kepemilikan</w:t>
            </w:r>
          </w:p>
        </w:tc>
        <w:tc>
          <w:tcPr>
            <w:tcW w:type="dxa" w:w="2484"/>
            <w:vAlign w:val="center"/>
            <w:shd w:fill="F2F6F8"/>
          </w:tcPr>
          <w:p>
            <w:pPr>
              <w:spacing w:after="20"/>
            </w:pPr>
            <w:r/>
            <w:r>
              <w:rPr>
                <w:rFonts w:ascii="Aptos" w:hAnsi="Aptos"/>
                <w:b w:val="0"/>
                <w:sz w:val="16"/>
              </w:rPr>
              <w:t>Membedakan barang perusahaan dan barang eksternal.</w:t>
            </w:r>
          </w:p>
        </w:tc>
        <w:tc>
          <w:tcPr>
            <w:tcW w:type="dxa" w:w="2484"/>
            <w:vAlign w:val="center"/>
            <w:shd w:fill="F2F6F8"/>
          </w:tcPr>
          <w:p>
            <w:pPr>
              <w:spacing w:after="20"/>
            </w:pPr>
            <w:r/>
            <w:r>
              <w:rPr>
                <w:rFonts w:ascii="Aptos" w:hAnsi="Aptos"/>
                <w:b w:val="0"/>
                <w:sz w:val="16"/>
              </w:rPr>
              <w:t>Wajib untuk fondasi data</w:t>
            </w:r>
          </w:p>
        </w:tc>
      </w:tr>
      <w:tr>
        <w:tc>
          <w:tcPr>
            <w:tcW w:type="dxa" w:w="2484"/>
            <w:vAlign w:val="center"/>
          </w:tcPr>
          <w:p>
            <w:pPr>
              <w:spacing w:after="20"/>
            </w:pPr>
            <w:r/>
            <w:r>
              <w:rPr>
                <w:rFonts w:ascii="Aptos" w:hAnsi="Aptos"/>
                <w:b w:val="0"/>
                <w:sz w:val="16"/>
              </w:rPr>
              <w:t>FR-13</w:t>
            </w:r>
          </w:p>
        </w:tc>
        <w:tc>
          <w:tcPr>
            <w:tcW w:type="dxa" w:w="2484"/>
            <w:vAlign w:val="center"/>
          </w:tcPr>
          <w:p>
            <w:pPr>
              <w:spacing w:after="20"/>
            </w:pPr>
            <w:r/>
            <w:r>
              <w:rPr>
                <w:rFonts w:ascii="Aptos" w:hAnsi="Aptos"/>
                <w:b w:val="0"/>
                <w:sz w:val="16"/>
              </w:rPr>
              <w:t>Riwayat stok</w:t>
            </w:r>
          </w:p>
        </w:tc>
        <w:tc>
          <w:tcPr>
            <w:tcW w:type="dxa" w:w="2484"/>
            <w:vAlign w:val="center"/>
          </w:tcPr>
          <w:p>
            <w:pPr>
              <w:spacing w:after="20"/>
            </w:pPr>
            <w:r/>
            <w:r>
              <w:rPr>
                <w:rFonts w:ascii="Aptos" w:hAnsi="Aptos"/>
                <w:b w:val="0"/>
                <w:sz w:val="16"/>
              </w:rPr>
              <w:t>Menelusuri asal/tujuan, jumlah, pelaku, waktu, dan referensi mutasi.</w:t>
            </w:r>
          </w:p>
        </w:tc>
        <w:tc>
          <w:tcPr>
            <w:tcW w:type="dxa" w:w="2484"/>
            <w:vAlign w:val="center"/>
          </w:tcPr>
          <w:p>
            <w:pPr>
              <w:spacing w:after="20"/>
            </w:pPr>
            <w:r/>
            <w:r>
              <w:rPr>
                <w:rFonts w:ascii="Aptos" w:hAnsi="Aptos"/>
                <w:b w:val="0"/>
                <w:sz w:val="16"/>
              </w:rPr>
              <w:t>Wajib</w:t>
            </w:r>
          </w:p>
        </w:tc>
      </w:tr>
      <w:tr>
        <w:tc>
          <w:tcPr>
            <w:tcW w:type="dxa" w:w="2484"/>
            <w:vAlign w:val="center"/>
            <w:shd w:fill="F2F6F8"/>
          </w:tcPr>
          <w:p>
            <w:pPr>
              <w:spacing w:after="20"/>
            </w:pPr>
            <w:r/>
            <w:r>
              <w:rPr>
                <w:rFonts w:ascii="Aptos" w:hAnsi="Aptos"/>
                <w:b w:val="0"/>
                <w:sz w:val="16"/>
              </w:rPr>
              <w:t>FR-14</w:t>
            </w:r>
          </w:p>
        </w:tc>
        <w:tc>
          <w:tcPr>
            <w:tcW w:type="dxa" w:w="2484"/>
            <w:vAlign w:val="center"/>
            <w:shd w:fill="F2F6F8"/>
          </w:tcPr>
          <w:p>
            <w:pPr>
              <w:spacing w:after="20"/>
            </w:pPr>
            <w:r/>
            <w:r>
              <w:rPr>
                <w:rFonts w:ascii="Aptos" w:hAnsi="Aptos"/>
                <w:b w:val="0"/>
                <w:sz w:val="16"/>
              </w:rPr>
              <w:t>Audit trail</w:t>
            </w:r>
          </w:p>
        </w:tc>
        <w:tc>
          <w:tcPr>
            <w:tcW w:type="dxa" w:w="2484"/>
            <w:vAlign w:val="center"/>
            <w:shd w:fill="F2F6F8"/>
          </w:tcPr>
          <w:p>
            <w:pPr>
              <w:spacing w:after="20"/>
            </w:pPr>
            <w:r/>
            <w:r>
              <w:rPr>
                <w:rFonts w:ascii="Aptos" w:hAnsi="Aptos"/>
                <w:b w:val="0"/>
                <w:sz w:val="16"/>
              </w:rPr>
              <w:t>Mencatat tindakan penting dan hasil persetujuan.</w:t>
            </w:r>
          </w:p>
        </w:tc>
        <w:tc>
          <w:tcPr>
            <w:tcW w:type="dxa" w:w="2484"/>
            <w:vAlign w:val="center"/>
            <w:shd w:fill="F2F6F8"/>
          </w:tcPr>
          <w:p>
            <w:pPr>
              <w:spacing w:after="20"/>
            </w:pPr>
            <w:r/>
            <w:r>
              <w:rPr>
                <w:rFonts w:ascii="Aptos" w:hAnsi="Aptos"/>
                <w:b w:val="0"/>
                <w:sz w:val="16"/>
              </w:rPr>
              <w:t>Wajib</w:t>
            </w:r>
          </w:p>
        </w:tc>
      </w:tr>
      <w:tr>
        <w:tc>
          <w:tcPr>
            <w:tcW w:type="dxa" w:w="2484"/>
            <w:vAlign w:val="center"/>
          </w:tcPr>
          <w:p>
            <w:pPr>
              <w:spacing w:after="20"/>
            </w:pPr>
            <w:r/>
            <w:r>
              <w:rPr>
                <w:rFonts w:ascii="Aptos" w:hAnsi="Aptos"/>
                <w:b w:val="0"/>
                <w:sz w:val="16"/>
              </w:rPr>
              <w:t>FR-15</w:t>
            </w:r>
          </w:p>
        </w:tc>
        <w:tc>
          <w:tcPr>
            <w:tcW w:type="dxa" w:w="2484"/>
            <w:vAlign w:val="center"/>
          </w:tcPr>
          <w:p>
            <w:pPr>
              <w:spacing w:after="20"/>
            </w:pPr>
            <w:r/>
            <w:r>
              <w:rPr>
                <w:rFonts w:ascii="Aptos" w:hAnsi="Aptos"/>
                <w:b w:val="0"/>
                <w:sz w:val="16"/>
              </w:rPr>
              <w:t>Pencarian/filter</w:t>
            </w:r>
          </w:p>
        </w:tc>
        <w:tc>
          <w:tcPr>
            <w:tcW w:type="dxa" w:w="2484"/>
            <w:vAlign w:val="center"/>
          </w:tcPr>
          <w:p>
            <w:pPr>
              <w:spacing w:after="20"/>
            </w:pPr>
            <w:r/>
            <w:r>
              <w:rPr>
                <w:rFonts w:ascii="Aptos" w:hAnsi="Aptos"/>
                <w:b w:val="0"/>
                <w:sz w:val="16"/>
              </w:rPr>
              <w:t>Filter kode, nama, kategori, lokasi, kondisi, dan mode pelacakan.</w:t>
            </w:r>
          </w:p>
        </w:tc>
        <w:tc>
          <w:tcPr>
            <w:tcW w:type="dxa" w:w="2484"/>
            <w:vAlign w:val="center"/>
          </w:tcPr>
          <w:p>
            <w:pPr>
              <w:spacing w:after="20"/>
            </w:pPr>
            <w:r/>
            <w:r>
              <w:rPr>
                <w:rFonts w:ascii="Aptos" w:hAnsi="Aptos"/>
                <w:b w:val="0"/>
                <w:sz w:val="16"/>
              </w:rPr>
              <w:t>Wajib</w:t>
            </w:r>
          </w:p>
        </w:tc>
      </w:tr>
      <w:tr>
        <w:tc>
          <w:tcPr>
            <w:tcW w:type="dxa" w:w="2484"/>
            <w:vAlign w:val="center"/>
            <w:shd w:fill="F2F6F8"/>
          </w:tcPr>
          <w:p>
            <w:pPr>
              <w:spacing w:after="20"/>
            </w:pPr>
            <w:r/>
            <w:r>
              <w:rPr>
                <w:rFonts w:ascii="Aptos" w:hAnsi="Aptos"/>
                <w:b w:val="0"/>
                <w:sz w:val="16"/>
              </w:rPr>
              <w:t>FR-16</w:t>
            </w:r>
          </w:p>
        </w:tc>
        <w:tc>
          <w:tcPr>
            <w:tcW w:type="dxa" w:w="2484"/>
            <w:vAlign w:val="center"/>
            <w:shd w:fill="F2F6F8"/>
          </w:tcPr>
          <w:p>
            <w:pPr>
              <w:spacing w:after="20"/>
            </w:pPr>
            <w:r/>
            <w:r>
              <w:rPr>
                <w:rFonts w:ascii="Aptos" w:hAnsi="Aptos"/>
                <w:b w:val="0"/>
                <w:sz w:val="16"/>
              </w:rPr>
              <w:t>Impor data</w:t>
            </w:r>
          </w:p>
        </w:tc>
        <w:tc>
          <w:tcPr>
            <w:tcW w:type="dxa" w:w="2484"/>
            <w:vAlign w:val="center"/>
            <w:shd w:fill="F2F6F8"/>
          </w:tcPr>
          <w:p>
            <w:pPr>
              <w:spacing w:after="20"/>
            </w:pPr>
            <w:r/>
            <w:r>
              <w:rPr>
                <w:rFonts w:ascii="Aptos" w:hAnsi="Aptos"/>
                <w:b w:val="0"/>
                <w:sz w:val="16"/>
              </w:rPr>
              <w:t>Validasi format, duplikasi, dan baris tidak lengkap sebelum impor resmi.</w:t>
            </w:r>
          </w:p>
        </w:tc>
        <w:tc>
          <w:tcPr>
            <w:tcW w:type="dxa" w:w="2484"/>
            <w:vAlign w:val="center"/>
            <w:shd w:fill="F2F6F8"/>
          </w:tcPr>
          <w:p>
            <w:pPr>
              <w:spacing w:after="20"/>
            </w:pPr>
            <w:r/>
            <w:r>
              <w:rPr>
                <w:rFonts w:ascii="Aptos" w:hAnsi="Aptos"/>
                <w:b w:val="0"/>
                <w:sz w:val="16"/>
              </w:rPr>
              <w:t>Usulan prioritas tinggi</w:t>
            </w:r>
          </w:p>
        </w:tc>
      </w:tr>
      <w:tr>
        <w:tc>
          <w:tcPr>
            <w:tcW w:type="dxa" w:w="2484"/>
            <w:vAlign w:val="center"/>
          </w:tcPr>
          <w:p>
            <w:pPr>
              <w:spacing w:after="20"/>
            </w:pPr>
            <w:r/>
            <w:r>
              <w:rPr>
                <w:rFonts w:ascii="Aptos" w:hAnsi="Aptos"/>
                <w:b w:val="0"/>
                <w:sz w:val="16"/>
              </w:rPr>
              <w:t>FR-17</w:t>
            </w:r>
          </w:p>
        </w:tc>
        <w:tc>
          <w:tcPr>
            <w:tcW w:type="dxa" w:w="2484"/>
            <w:vAlign w:val="center"/>
          </w:tcPr>
          <w:p>
            <w:pPr>
              <w:spacing w:after="20"/>
            </w:pPr>
            <w:r/>
            <w:r>
              <w:rPr>
                <w:rFonts w:ascii="Aptos" w:hAnsi="Aptos"/>
                <w:b w:val="0"/>
                <w:sz w:val="16"/>
              </w:rPr>
              <w:t>Ekspor laporan</w:t>
            </w:r>
          </w:p>
        </w:tc>
        <w:tc>
          <w:tcPr>
            <w:tcW w:type="dxa" w:w="2484"/>
            <w:vAlign w:val="center"/>
          </w:tcPr>
          <w:p>
            <w:pPr>
              <w:spacing w:after="20"/>
            </w:pPr>
            <w:r/>
            <w:r>
              <w:rPr>
                <w:rFonts w:ascii="Aptos" w:hAnsi="Aptos"/>
                <w:b w:val="0"/>
                <w:sz w:val="16"/>
              </w:rPr>
              <w:t>Ekspor laporan inventaris ke Excel/PDF.</w:t>
            </w:r>
          </w:p>
        </w:tc>
        <w:tc>
          <w:tcPr>
            <w:tcW w:type="dxa" w:w="2484"/>
            <w:vAlign w:val="center"/>
          </w:tcPr>
          <w:p>
            <w:pPr>
              <w:spacing w:after="20"/>
            </w:pPr>
            <w:r/>
            <w:r>
              <w:rPr>
                <w:rFonts w:ascii="Aptos" w:hAnsi="Aptos"/>
                <w:b w:val="0"/>
                <w:sz w:val="16"/>
              </w:rPr>
              <w:t>Belum dikonfirmasi</w:t>
            </w:r>
          </w:p>
        </w:tc>
      </w:tr>
    </w:tbl>
    <w:p/>
    <w:p>
      <w:pPr>
        <w:pStyle w:val="Heading1"/>
      </w:pPr>
      <w:r>
        <w:t>6. Aturan Bisnis Inventaris</w:t>
      </w:r>
    </w:p>
    <w:p>
      <w:pPr>
        <w:pStyle w:val="Heading2"/>
      </w:pPr>
      <w:r>
        <w:t>6.1 Master barang</w:t>
      </w:r>
    </w:p>
    <w:p>
      <w:pPr>
        <w:pStyle w:val="ListBullet"/>
        <w:spacing w:after="40"/>
      </w:pPr>
      <w:r>
        <w:t>Kode barang harus unik dan tidak boleh digunakan ulang untuk barang berbeda.</w:t>
      </w:r>
    </w:p>
    <w:p>
      <w:pPr>
        <w:pStyle w:val="ListBullet"/>
        <w:spacing w:after="40"/>
      </w:pPr>
      <w:r>
        <w:t>Barang yang sudah memiliki riwayat transaksi sebaiknya dinonaktifkan, bukan dihapus permanen.</w:t>
      </w:r>
    </w:p>
    <w:p>
      <w:pPr>
        <w:pStyle w:val="ListBullet"/>
        <w:spacing w:after="40"/>
      </w:pPr>
      <w:r>
        <w:t>Kategori, satuan, dan atribut wajib mengikuti jenis barang yang sebenarnya.</w:t>
      </w:r>
    </w:p>
    <w:p>
      <w:pPr>
        <w:pStyle w:val="ListBullet"/>
        <w:spacing w:after="40"/>
      </w:pPr>
      <w:r>
        <w:t>Mode pelacakan tidak boleh diubah sembarangan setelah transaksi dibuat; perubahan memerlukan prosedur migrasi yang menjaga histori.</w:t>
      </w:r>
    </w:p>
    <w:p>
      <w:pPr>
        <w:pStyle w:val="Heading2"/>
      </w:pPr>
      <w:r>
        <w:t>6.2 Pelacakan individual vs kuantitas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5324B"/>
          </w:tcPr>
          <w:p>
            <w:pPr>
              <w:spacing w:after="20"/>
            </w:pPr>
            <w:r/>
            <w:r>
              <w:rPr>
                <w:rFonts w:ascii="Aptos" w:hAnsi="Aptos"/>
                <w:b/>
                <w:color w:val="FFFFFF"/>
                <w:sz w:val="17"/>
              </w:rPr>
              <w:t>Mode</w:t>
            </w:r>
          </w:p>
        </w:tc>
        <w:tc>
          <w:tcPr>
            <w:tcW w:type="dxa" w:w="3312"/>
            <w:vAlign w:val="center"/>
            <w:shd w:fill="15324B"/>
          </w:tcPr>
          <w:p>
            <w:pPr>
              <w:spacing w:after="20"/>
            </w:pPr>
            <w:r/>
            <w:r>
              <w:rPr>
                <w:rFonts w:ascii="Aptos" w:hAnsi="Aptos"/>
                <w:b/>
                <w:color w:val="FFFFFF"/>
                <w:sz w:val="17"/>
              </w:rPr>
              <w:t>Aturan</w:t>
            </w:r>
          </w:p>
        </w:tc>
        <w:tc>
          <w:tcPr>
            <w:tcW w:type="dxa" w:w="3312"/>
            <w:vAlign w:val="center"/>
            <w:shd w:fill="15324B"/>
          </w:tcPr>
          <w:p>
            <w:pPr>
              <w:spacing w:after="20"/>
            </w:pPr>
            <w:r/>
            <w:r>
              <w:rPr>
                <w:rFonts w:ascii="Aptos" w:hAnsi="Aptos"/>
                <w:b/>
                <w:color w:val="FFFFFF"/>
                <w:sz w:val="17"/>
              </w:rPr>
              <w:t>Contoh kandidat (belum final)</w:t>
            </w:r>
          </w:p>
        </w:tc>
      </w:tr>
      <w:tr>
        <w:tc>
          <w:tcPr>
            <w:tcW w:type="dxa" w:w="3312"/>
            <w:vAlign w:val="center"/>
          </w:tcPr>
          <w:p>
            <w:pPr>
              <w:spacing w:after="20"/>
            </w:pPr>
            <w:r/>
            <w:r>
              <w:rPr>
                <w:rFonts w:ascii="Aptos" w:hAnsi="Aptos"/>
                <w:b w:val="0"/>
                <w:sz w:val="16"/>
              </w:rPr>
              <w:t>Individual/serial</w:t>
            </w:r>
          </w:p>
        </w:tc>
        <w:tc>
          <w:tcPr>
            <w:tcW w:type="dxa" w:w="3312"/>
            <w:vAlign w:val="center"/>
          </w:tcPr>
          <w:p>
            <w:pPr>
              <w:spacing w:after="20"/>
            </w:pPr>
            <w:r/>
            <w:r>
              <w:rPr>
                <w:rFonts w:ascii="Aptos" w:hAnsi="Aptos"/>
                <w:b w:val="0"/>
                <w:sz w:val="16"/>
              </w:rPr>
              <w:t>Setiap unit memiliki identitas unik; lokasi, kondisi, dan histori dapat ditelusuri per unit.</w:t>
            </w:r>
          </w:p>
        </w:tc>
        <w:tc>
          <w:tcPr>
            <w:tcW w:type="dxa" w:w="3312"/>
            <w:vAlign w:val="center"/>
          </w:tcPr>
          <w:p>
            <w:pPr>
              <w:spacing w:after="20"/>
            </w:pPr>
            <w:r/>
            <w:r>
              <w:rPr>
                <w:rFonts w:ascii="Aptos" w:hAnsi="Aptos"/>
                <w:b w:val="0"/>
                <w:sz w:val="16"/>
              </w:rPr>
              <w:t>Controller LED atau perangkat bernilai tinggi.</w:t>
            </w:r>
          </w:p>
        </w:tc>
      </w:tr>
      <w:tr>
        <w:tc>
          <w:tcPr>
            <w:tcW w:type="dxa" w:w="3312"/>
            <w:vAlign w:val="center"/>
            <w:shd w:fill="F2F6F8"/>
          </w:tcPr>
          <w:p>
            <w:pPr>
              <w:spacing w:after="20"/>
            </w:pPr>
            <w:r/>
            <w:r>
              <w:rPr>
                <w:rFonts w:ascii="Aptos" w:hAnsi="Aptos"/>
                <w:b w:val="0"/>
                <w:sz w:val="16"/>
              </w:rPr>
              <w:t>Kuantitas</w:t>
            </w:r>
          </w:p>
        </w:tc>
        <w:tc>
          <w:tcPr>
            <w:tcW w:type="dxa" w:w="3312"/>
            <w:vAlign w:val="center"/>
            <w:shd w:fill="F2F6F8"/>
          </w:tcPr>
          <w:p>
            <w:pPr>
              <w:spacing w:after="20"/>
            </w:pPr>
            <w:r/>
            <w:r>
              <w:rPr>
                <w:rFonts w:ascii="Aptos" w:hAnsi="Aptos"/>
                <w:b w:val="0"/>
                <w:sz w:val="16"/>
              </w:rPr>
              <w:t>Jumlah disimpan berdasarkan barang, lokasi, kondisi, dan kepemilikan; unit tidak harus memiliki identitas satu per satu.</w:t>
            </w:r>
          </w:p>
        </w:tc>
        <w:tc>
          <w:tcPr>
            <w:tcW w:type="dxa" w:w="3312"/>
            <w:vAlign w:val="center"/>
            <w:shd w:fill="F2F6F8"/>
          </w:tcPr>
          <w:p>
            <w:pPr>
              <w:spacing w:after="20"/>
            </w:pPr>
            <w:r/>
            <w:r>
              <w:rPr>
                <w:rFonts w:ascii="Aptos" w:hAnsi="Aptos"/>
                <w:b w:val="0"/>
                <w:sz w:val="16"/>
              </w:rPr>
              <w:t>Kabel per meter, aksesori, material instalasi.</w:t>
            </w:r>
          </w:p>
        </w:tc>
      </w:tr>
    </w:tbl>
    <w:p/>
    <w:p>
      <w:r>
        <w:t>Daftar barang yang wajib memakai nomor seri belum ditentukan. Kode internal untuk barang tanpa serial pabrik juga masih pertanyaan terbuka.</w:t>
      </w:r>
    </w:p>
    <w:p>
      <w:pPr>
        <w:pStyle w:val="Heading2"/>
      </w:pPr>
      <w:r>
        <w:t>6.3 Stok fisik dan ketersediaan</w:t>
      </w:r>
    </w:p>
    <w:p>
      <w:r>
        <w:t>Stok fisik tidak sama dengan stok tersedia. Rumus konseptual awal:</w:t>
      </w:r>
    </w:p>
    <w:p>
      <w:pPr>
        <w:jc w:val="center"/>
      </w:pPr>
      <w:r>
        <w:rPr>
          <w:b/>
        </w:rPr>
        <w:t>Stok tersedia = stok fisik − stok rusak − stok dalam servis − stok dialokasikan</w:t>
      </w:r>
    </w:p>
    <w:p>
      <w:r>
        <w:t>Rumus perlu disesuaikan ketika definisi reservasi/alokasi ditentukan. Hindari pengurangan ganda atas unit yang sama. Karena alokasi rental lengkap di luar MVP, stok dialokasikan dapat menjadi nol/tidak aktif pada tahap pertama jika belum ada alur alokasi.</w:t>
      </w:r>
    </w:p>
    <w:p>
      <w:pPr>
        <w:pStyle w:val="Heading2"/>
      </w:pPr>
      <w:r>
        <w:t>6.4 Mutasi stok</w:t>
      </w:r>
    </w:p>
    <w:p>
      <w:pPr>
        <w:pStyle w:val="ListBullet"/>
        <w:spacing w:after="40"/>
      </w:pPr>
      <w:r>
        <w:t>Setiap mutasi memiliki nomor transaksi, jenis, rincian barang, jumlah, lokasi asal/tujuan jika relevan, kepemilikan, waktu, pelaku, alasan, dan referensi.</w:t>
      </w:r>
    </w:p>
    <w:p>
      <w:pPr>
        <w:pStyle w:val="ListBullet"/>
        <w:spacing w:after="40"/>
      </w:pPr>
      <w:r>
        <w:t>Mutasi yang sudah diposting tidak dihapus diam-diam; koreksi dilakukan melalui prosedur pembalikan atau penyesuaian yang diaudit.</w:t>
      </w:r>
    </w:p>
    <w:p>
      <w:pPr>
        <w:pStyle w:val="ListBullet"/>
        <w:spacing w:after="40"/>
      </w:pPr>
      <w:r>
        <w:t>Mutasi yang memengaruhi beberapa saldo harus dijalankan dalam transaksi database agar atomik.</w:t>
      </w:r>
    </w:p>
    <w:p>
      <w:pPr>
        <w:pStyle w:val="ListBullet"/>
        <w:spacing w:after="40"/>
      </w:pPr>
      <w:r>
        <w:t>Sistem harus mencegah satu permintaan persetujuan diposting lebih dari satu kali.</w:t>
      </w:r>
    </w:p>
    <w:p>
      <w:pPr>
        <w:pStyle w:val="Heading2"/>
      </w:pPr>
      <w:r>
        <w:t>6.5 Kondisi dan kepemilikan</w:t>
      </w:r>
    </w:p>
    <w:p>
      <w:pPr>
        <w:pStyle w:val="ListBullet"/>
        <w:spacing w:after="40"/>
      </w:pPr>
      <w:r>
        <w:t>Barang rusak dan barang dalam servis tetap tercatat secara fisik, tetapi tidak tersedia untuk digunakan.</w:t>
      </w:r>
    </w:p>
    <w:p>
      <w:pPr>
        <w:pStyle w:val="ListBullet"/>
        <w:spacing w:after="40"/>
      </w:pPr>
      <w:r>
        <w:t>Barang eksternal tidak boleh dianggap sebagai aset milik perusahaan.</w:t>
      </w:r>
    </w:p>
    <w:p>
      <w:pPr>
        <w:pStyle w:val="ListBullet"/>
        <w:spacing w:after="40"/>
      </w:pPr>
      <w:r>
        <w:t>Saldo harus dapat dibedakan berdasarkan kepemilikan jika hal itu relevan bagi barang terkait.</w:t>
      </w:r>
    </w:p>
    <w:p>
      <w:pPr>
        <w:pStyle w:val="ListBullet"/>
        <w:spacing w:after="40"/>
      </w:pPr>
      <w:r>
        <w:t>Detail workflow barang eksternal lengkap ditunda ke tahap berikutnya.</w:t>
      </w:r>
    </w:p>
    <w:p>
      <w:pPr>
        <w:pStyle w:val="Heading1"/>
      </w:pPr>
      <w:r>
        <w:t>7. Alur Pendataan dan Pengesahan Stok Awal</w:t>
      </w:r>
    </w:p>
    <w:p>
      <w:pPr>
        <w:pStyle w:val="ListNumber"/>
        <w:spacing w:after="40"/>
      </w:pPr>
      <w:r>
        <w:t>Kumpulkan sumber data lama dari spreadsheet, dokumen, dan catatan gudang.</w:t>
      </w:r>
    </w:p>
    <w:p>
      <w:pPr>
        <w:pStyle w:val="ListNumber"/>
        <w:spacing w:after="40"/>
      </w:pPr>
      <w:r>
        <w:t>Bersihkan data: identifikasi duplikasi, variasi nama, satuan yang tidak konsisten, dan kode yang belum tersedia.</w:t>
      </w:r>
    </w:p>
    <w:p>
      <w:pPr>
        <w:pStyle w:val="ListNumber"/>
        <w:spacing w:after="40"/>
      </w:pPr>
      <w:r>
        <w:t>Lakukan pemeriksaan fisik per barang/lokasi; catat kondisi, kepemilikan, dan nomor seri jika relevan.</w:t>
      </w:r>
    </w:p>
    <w:p>
      <w:pPr>
        <w:pStyle w:val="ListNumber"/>
        <w:spacing w:after="40"/>
      </w:pPr>
      <w:r>
        <w:t>Bandingkan data lama dengan hasil fisik; tandai selisih dan data yang belum jelas.</w:t>
      </w:r>
    </w:p>
    <w:p>
      <w:pPr>
        <w:pStyle w:val="ListNumber"/>
        <w:spacing w:after="40"/>
      </w:pPr>
      <w:r>
        <w:t>Warehouse memverifikasi dan mengesahkan hasil stok awal.</w:t>
      </w:r>
    </w:p>
    <w:p>
      <w:pPr>
        <w:pStyle w:val="ListNumber"/>
        <w:spacing w:after="40"/>
      </w:pPr>
      <w:r>
        <w:t>Sistem membuat saldo awal resmi dengan referensi pendataan, waktu, dan pengguna yang mengesahkan.</w:t>
      </w:r>
    </w:p>
    <w:p>
      <w:pPr>
        <w:pStyle w:val="ListNumber"/>
        <w:spacing w:after="40"/>
      </w:pPr>
      <w:r>
        <w:t>Kesalahan setelah pengesahan ditangani melalui proses penyesuaian stok, bukan pengubahan saldo tanpa histori.</w:t>
      </w:r>
    </w:p>
    <w:p>
      <w:r>
        <w:t>Usulan: data yang belum tervalidasi ditandai sebagai belum diverifikasi atau disimpan sebagai data impor sementara; jangan langsung menjadi saldo resmi.</w:t>
      </w:r>
    </w:p>
    <w:p>
      <w:pPr>
        <w:pStyle w:val="Heading1"/>
      </w:pPr>
      <w:r>
        <w:t>8. Workflow Penyesuaian Stok</w:t>
      </w:r>
    </w:p>
    <w:p>
      <w:pPr>
        <w:pStyle w:val="ListNumber"/>
        <w:spacing w:after="40"/>
      </w:pPr>
      <w:r>
        <w:t>Warehouse membuat permintaan penyesuaian berisi barang, lokasi, jumlah/saldo saat ini, jumlah yang diusulkan, alasan, dan bukti jika diwajibkan.</w:t>
      </w:r>
    </w:p>
    <w:p>
      <w:pPr>
        <w:pStyle w:val="ListNumber"/>
        <w:spacing w:after="40"/>
      </w:pPr>
      <w:r>
        <w:t>Status permintaan menjadi Menunggu Persetujuan; saldo resmi belum berubah.</w:t>
      </w:r>
    </w:p>
    <w:p>
      <w:pPr>
        <w:pStyle w:val="ListNumber"/>
        <w:spacing w:after="40"/>
      </w:pPr>
      <w:r>
        <w:t>Owner menyetujui atau menolak permintaan.</w:t>
      </w:r>
    </w:p>
    <w:p>
      <w:pPr>
        <w:pStyle w:val="ListNumber"/>
        <w:spacing w:after="40"/>
      </w:pPr>
      <w:r>
        <w:t>Jika disetujui, sistem mem-posting mutasi penyesuaian tepat satu kali dan memperbarui saldo.</w:t>
      </w:r>
    </w:p>
    <w:p>
      <w:pPr>
        <w:pStyle w:val="ListNumber"/>
        <w:spacing w:after="40"/>
      </w:pPr>
      <w:r>
        <w:t>Jika ditolak, saldo tidak berubah dan alasan penolakan dicatat.</w:t>
      </w:r>
    </w:p>
    <w:p>
      <w:pPr>
        <w:pStyle w:val="ListNumber"/>
        <w:spacing w:after="40"/>
      </w:pPr>
      <w:r>
        <w:t>Audit trail menyimpan pemohon, penyetuju, waktu, keputusan, alasan, dan referensi mutasi.</w:t>
      </w:r>
    </w:p>
    <w:p>
      <w:r>
        <w:t>Aturan Warehouse mengajukan dan Owner menyetujui adalah keputusan terkonfirmasi. Detail field wajib, bukti foto, dan prosedur pembalikan transaksi masih perlu dipastikan.</w:t>
      </w:r>
    </w:p>
    <w:p>
      <w:pPr>
        <w:pStyle w:val="Heading1"/>
      </w:pPr>
      <w:r>
        <w:t>9. Matriks RBAC Awal</w:t>
      </w:r>
    </w:p>
    <w:p>
      <w:r>
        <w:t>Matriks berikut adalah rancangan khusus MVP. Tanda 'Usulan' atau 'Terbatas' tidak boleh dianggap sebagai izin final.</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5324B"/>
          </w:tcPr>
          <w:p>
            <w:pPr>
              <w:spacing w:after="20"/>
            </w:pPr>
            <w:r/>
            <w:r>
              <w:rPr>
                <w:rFonts w:ascii="Aptos" w:hAnsi="Aptos"/>
                <w:b/>
                <w:color w:val="FFFFFF"/>
                <w:sz w:val="17"/>
              </w:rPr>
              <w:t>Role</w:t>
            </w:r>
          </w:p>
        </w:tc>
        <w:tc>
          <w:tcPr>
            <w:tcW w:type="dxa" w:w="3312"/>
            <w:vAlign w:val="center"/>
            <w:shd w:fill="15324B"/>
          </w:tcPr>
          <w:p>
            <w:pPr>
              <w:spacing w:after="20"/>
            </w:pPr>
            <w:r/>
            <w:r>
              <w:rPr>
                <w:rFonts w:ascii="Aptos" w:hAnsi="Aptos"/>
                <w:b/>
                <w:color w:val="FFFFFF"/>
                <w:sz w:val="17"/>
              </w:rPr>
              <w:t>Akses inventori awal</w:t>
            </w:r>
          </w:p>
        </w:tc>
        <w:tc>
          <w:tcPr>
            <w:tcW w:type="dxa" w:w="3312"/>
            <w:vAlign w:val="center"/>
            <w:shd w:fill="15324B"/>
          </w:tcPr>
          <w:p>
            <w:pPr>
              <w:spacing w:after="20"/>
            </w:pPr>
            <w:r/>
            <w:r>
              <w:rPr>
                <w:rFonts w:ascii="Aptos" w:hAnsi="Aptos"/>
                <w:b/>
                <w:color w:val="FFFFFF"/>
                <w:sz w:val="17"/>
              </w:rPr>
              <w:t>Status</w:t>
            </w:r>
          </w:p>
        </w:tc>
      </w:tr>
      <w:tr>
        <w:tc>
          <w:tcPr>
            <w:tcW w:type="dxa" w:w="3312"/>
            <w:vAlign w:val="center"/>
          </w:tcPr>
          <w:p>
            <w:pPr>
              <w:spacing w:after="20"/>
            </w:pPr>
            <w:r/>
            <w:r>
              <w:rPr>
                <w:rFonts w:ascii="Aptos" w:hAnsi="Aptos"/>
                <w:b w:val="0"/>
                <w:sz w:val="16"/>
              </w:rPr>
              <w:t>Owner</w:t>
            </w:r>
          </w:p>
        </w:tc>
        <w:tc>
          <w:tcPr>
            <w:tcW w:type="dxa" w:w="3312"/>
            <w:vAlign w:val="center"/>
          </w:tcPr>
          <w:p>
            <w:pPr>
              <w:spacing w:after="20"/>
            </w:pPr>
            <w:r/>
            <w:r>
              <w:rPr>
                <w:rFonts w:ascii="Aptos" w:hAnsi="Aptos"/>
                <w:b w:val="0"/>
                <w:sz w:val="16"/>
              </w:rPr>
              <w:t>Melihat seluruh inventaris; menyetujui penyesuaian stok; pengawasan.</w:t>
            </w:r>
          </w:p>
        </w:tc>
        <w:tc>
          <w:tcPr>
            <w:tcW w:type="dxa" w:w="3312"/>
            <w:vAlign w:val="center"/>
          </w:tcPr>
          <w:p>
            <w:pPr>
              <w:spacing w:after="20"/>
            </w:pPr>
            <w:r/>
            <w:r>
              <w:rPr>
                <w:rFonts w:ascii="Aptos" w:hAnsi="Aptos"/>
                <w:b w:val="0"/>
                <w:sz w:val="16"/>
              </w:rPr>
              <w:t>Persetujuan penyesuaian terkonfirmasi; detail lain perlu dirinci.</w:t>
            </w:r>
          </w:p>
        </w:tc>
      </w:tr>
      <w:tr>
        <w:tc>
          <w:tcPr>
            <w:tcW w:type="dxa" w:w="3312"/>
            <w:vAlign w:val="center"/>
            <w:shd w:fill="F2F6F8"/>
          </w:tcPr>
          <w:p>
            <w:pPr>
              <w:spacing w:after="20"/>
            </w:pPr>
            <w:r/>
            <w:r>
              <w:rPr>
                <w:rFonts w:ascii="Aptos" w:hAnsi="Aptos"/>
                <w:b w:val="0"/>
                <w:sz w:val="16"/>
              </w:rPr>
              <w:t>Branch Manager</w:t>
            </w:r>
          </w:p>
        </w:tc>
        <w:tc>
          <w:tcPr>
            <w:tcW w:type="dxa" w:w="3312"/>
            <w:vAlign w:val="center"/>
            <w:shd w:fill="F2F6F8"/>
          </w:tcPr>
          <w:p>
            <w:pPr>
              <w:spacing w:after="20"/>
            </w:pPr>
            <w:r/>
            <w:r>
              <w:rPr>
                <w:rFonts w:ascii="Aptos" w:hAnsi="Aptos"/>
                <w:b w:val="0"/>
                <w:sz w:val="16"/>
              </w:rPr>
              <w:t>Akses luas sesuai tanggung jawab operasional.</w:t>
            </w:r>
          </w:p>
        </w:tc>
        <w:tc>
          <w:tcPr>
            <w:tcW w:type="dxa" w:w="3312"/>
            <w:vAlign w:val="center"/>
            <w:shd w:fill="F2F6F8"/>
          </w:tcPr>
          <w:p>
            <w:pPr>
              <w:spacing w:after="20"/>
            </w:pPr>
            <w:r/>
            <w:r>
              <w:rPr>
                <w:rFonts w:ascii="Aptos" w:hAnsi="Aptos"/>
                <w:b w:val="0"/>
                <w:sz w:val="16"/>
              </w:rPr>
              <w:t>Usulan; detail permission terbuka.</w:t>
            </w:r>
          </w:p>
        </w:tc>
      </w:tr>
      <w:tr>
        <w:tc>
          <w:tcPr>
            <w:tcW w:type="dxa" w:w="3312"/>
            <w:vAlign w:val="center"/>
          </w:tcPr>
          <w:p>
            <w:pPr>
              <w:spacing w:after="20"/>
            </w:pPr>
            <w:r/>
            <w:r>
              <w:rPr>
                <w:rFonts w:ascii="Aptos" w:hAnsi="Aptos"/>
                <w:b w:val="0"/>
                <w:sz w:val="16"/>
              </w:rPr>
              <w:t>Operations Manager</w:t>
            </w:r>
          </w:p>
        </w:tc>
        <w:tc>
          <w:tcPr>
            <w:tcW w:type="dxa" w:w="3312"/>
            <w:vAlign w:val="center"/>
          </w:tcPr>
          <w:p>
            <w:pPr>
              <w:spacing w:after="20"/>
            </w:pPr>
            <w:r/>
            <w:r>
              <w:rPr>
                <w:rFonts w:ascii="Aptos" w:hAnsi="Aptos"/>
                <w:b w:val="0"/>
                <w:sz w:val="16"/>
              </w:rPr>
              <w:t>Melihat stok dan kebutuhan operasional.</w:t>
            </w:r>
          </w:p>
        </w:tc>
        <w:tc>
          <w:tcPr>
            <w:tcW w:type="dxa" w:w="3312"/>
            <w:vAlign w:val="center"/>
          </w:tcPr>
          <w:p>
            <w:pPr>
              <w:spacing w:after="20"/>
            </w:pPr>
            <w:r/>
            <w:r>
              <w:rPr>
                <w:rFonts w:ascii="Aptos" w:hAnsi="Aptos"/>
                <w:b w:val="0"/>
                <w:sz w:val="16"/>
              </w:rPr>
              <w:t>Usulan; detail permission terbuka.</w:t>
            </w:r>
          </w:p>
        </w:tc>
      </w:tr>
      <w:tr>
        <w:tc>
          <w:tcPr>
            <w:tcW w:type="dxa" w:w="3312"/>
            <w:vAlign w:val="center"/>
            <w:shd w:fill="F2F6F8"/>
          </w:tcPr>
          <w:p>
            <w:pPr>
              <w:spacing w:after="20"/>
            </w:pPr>
            <w:r/>
            <w:r>
              <w:rPr>
                <w:rFonts w:ascii="Aptos" w:hAnsi="Aptos"/>
                <w:b w:val="0"/>
                <w:sz w:val="16"/>
              </w:rPr>
              <w:t>Admin LED</w:t>
            </w:r>
          </w:p>
        </w:tc>
        <w:tc>
          <w:tcPr>
            <w:tcW w:type="dxa" w:w="3312"/>
            <w:vAlign w:val="center"/>
            <w:shd w:fill="F2F6F8"/>
          </w:tcPr>
          <w:p>
            <w:pPr>
              <w:spacing w:after="20"/>
            </w:pPr>
            <w:r/>
            <w:r>
              <w:rPr>
                <w:rFonts w:ascii="Aptos" w:hAnsi="Aptos"/>
                <w:b w:val="0"/>
                <w:sz w:val="16"/>
              </w:rPr>
              <w:t>Melihat ketersediaan barang untuk kebutuhan order.</w:t>
            </w:r>
          </w:p>
        </w:tc>
        <w:tc>
          <w:tcPr>
            <w:tcW w:type="dxa" w:w="3312"/>
            <w:vAlign w:val="center"/>
            <w:shd w:fill="F2F6F8"/>
          </w:tcPr>
          <w:p>
            <w:pPr>
              <w:spacing w:after="20"/>
            </w:pPr>
            <w:r/>
            <w:r>
              <w:rPr>
                <w:rFonts w:ascii="Aptos" w:hAnsi="Aptos"/>
                <w:b w:val="0"/>
                <w:sz w:val="16"/>
              </w:rPr>
              <w:t>Usulan; alur order lengkap di luar MVP.</w:t>
            </w:r>
          </w:p>
        </w:tc>
      </w:tr>
      <w:tr>
        <w:tc>
          <w:tcPr>
            <w:tcW w:type="dxa" w:w="3312"/>
            <w:vAlign w:val="center"/>
          </w:tcPr>
          <w:p>
            <w:pPr>
              <w:spacing w:after="20"/>
            </w:pPr>
            <w:r/>
            <w:r>
              <w:rPr>
                <w:rFonts w:ascii="Aptos" w:hAnsi="Aptos"/>
                <w:b w:val="0"/>
                <w:sz w:val="16"/>
              </w:rPr>
              <w:t>Warehouse Team</w:t>
            </w:r>
          </w:p>
        </w:tc>
        <w:tc>
          <w:tcPr>
            <w:tcW w:type="dxa" w:w="3312"/>
            <w:vAlign w:val="center"/>
          </w:tcPr>
          <w:p>
            <w:pPr>
              <w:spacing w:after="20"/>
            </w:pPr>
            <w:r/>
            <w:r>
              <w:rPr>
                <w:rFonts w:ascii="Aptos" w:hAnsi="Aptos"/>
                <w:b w:val="0"/>
                <w:sz w:val="16"/>
              </w:rPr>
              <w:t>Master barang, lokasi, pendataan fisik, mutasi, permintaan penyesuaian, pengesahan stok awal.</w:t>
            </w:r>
          </w:p>
        </w:tc>
        <w:tc>
          <w:tcPr>
            <w:tcW w:type="dxa" w:w="3312"/>
            <w:vAlign w:val="center"/>
          </w:tcPr>
          <w:p>
            <w:pPr>
              <w:spacing w:after="20"/>
            </w:pPr>
            <w:r/>
            <w:r>
              <w:rPr>
                <w:rFonts w:ascii="Aptos" w:hAnsi="Aptos"/>
                <w:b w:val="0"/>
                <w:sz w:val="16"/>
              </w:rPr>
              <w:t>Pengesahan stok awal dan pengajuan penyesuaian terkonfirmasi; detail master/mutasi perlu dirinci.</w:t>
            </w:r>
          </w:p>
        </w:tc>
      </w:tr>
      <w:tr>
        <w:tc>
          <w:tcPr>
            <w:tcW w:type="dxa" w:w="3312"/>
            <w:vAlign w:val="center"/>
            <w:shd w:fill="F2F6F8"/>
          </w:tcPr>
          <w:p>
            <w:pPr>
              <w:spacing w:after="20"/>
            </w:pPr>
            <w:r/>
            <w:r>
              <w:rPr>
                <w:rFonts w:ascii="Aptos" w:hAnsi="Aptos"/>
                <w:b w:val="0"/>
                <w:sz w:val="16"/>
              </w:rPr>
              <w:t>Finance</w:t>
            </w:r>
          </w:p>
        </w:tc>
        <w:tc>
          <w:tcPr>
            <w:tcW w:type="dxa" w:w="3312"/>
            <w:vAlign w:val="center"/>
            <w:shd w:fill="F2F6F8"/>
          </w:tcPr>
          <w:p>
            <w:pPr>
              <w:spacing w:after="20"/>
            </w:pPr>
            <w:r/>
            <w:r>
              <w:rPr>
                <w:rFonts w:ascii="Aptos" w:hAnsi="Aptos"/>
                <w:b w:val="0"/>
                <w:sz w:val="16"/>
              </w:rPr>
              <w:t>Melihat data inventaris yang dibutuhkan untuk laporan.</w:t>
            </w:r>
          </w:p>
        </w:tc>
        <w:tc>
          <w:tcPr>
            <w:tcW w:type="dxa" w:w="3312"/>
            <w:vAlign w:val="center"/>
            <w:shd w:fill="F2F6F8"/>
          </w:tcPr>
          <w:p>
            <w:pPr>
              <w:spacing w:after="20"/>
            </w:pPr>
            <w:r/>
            <w:r>
              <w:rPr>
                <w:rFonts w:ascii="Aptos" w:hAnsi="Aptos"/>
                <w:b w:val="0"/>
                <w:sz w:val="16"/>
              </w:rPr>
              <w:t>Usulan.</w:t>
            </w:r>
          </w:p>
        </w:tc>
      </w:tr>
      <w:tr>
        <w:tc>
          <w:tcPr>
            <w:tcW w:type="dxa" w:w="3312"/>
            <w:vAlign w:val="center"/>
          </w:tcPr>
          <w:p>
            <w:pPr>
              <w:spacing w:after="20"/>
            </w:pPr>
            <w:r/>
            <w:r>
              <w:rPr>
                <w:rFonts w:ascii="Aptos" w:hAnsi="Aptos"/>
                <w:b w:val="0"/>
                <w:sz w:val="16"/>
              </w:rPr>
              <w:t>Technician</w:t>
            </w:r>
          </w:p>
        </w:tc>
        <w:tc>
          <w:tcPr>
            <w:tcW w:type="dxa" w:w="3312"/>
            <w:vAlign w:val="center"/>
          </w:tcPr>
          <w:p>
            <w:pPr>
              <w:spacing w:after="20"/>
            </w:pPr>
            <w:r/>
            <w:r>
              <w:rPr>
                <w:rFonts w:ascii="Aptos" w:hAnsi="Aptos"/>
                <w:b w:val="0"/>
                <w:sz w:val="16"/>
              </w:rPr>
              <w:t>Melihat barang terkait servis.</w:t>
            </w:r>
          </w:p>
        </w:tc>
        <w:tc>
          <w:tcPr>
            <w:tcW w:type="dxa" w:w="3312"/>
            <w:vAlign w:val="center"/>
          </w:tcPr>
          <w:p>
            <w:pPr>
              <w:spacing w:after="20"/>
            </w:pPr>
            <w:r/>
            <w:r>
              <w:rPr>
                <w:rFonts w:ascii="Aptos" w:hAnsi="Aptos"/>
                <w:b w:val="0"/>
                <w:sz w:val="16"/>
              </w:rPr>
              <w:t>Usulan; modul servis tahap berikutnya.</w:t>
            </w:r>
          </w:p>
        </w:tc>
      </w:tr>
      <w:tr>
        <w:tc>
          <w:tcPr>
            <w:tcW w:type="dxa" w:w="3312"/>
            <w:vAlign w:val="center"/>
            <w:shd w:fill="F2F6F8"/>
          </w:tcPr>
          <w:p>
            <w:pPr>
              <w:spacing w:after="20"/>
            </w:pPr>
            <w:r/>
            <w:r>
              <w:rPr>
                <w:rFonts w:ascii="Aptos" w:hAnsi="Aptos"/>
                <w:b w:val="0"/>
                <w:sz w:val="16"/>
              </w:rPr>
              <w:t>Crew/Field Operator</w:t>
            </w:r>
          </w:p>
        </w:tc>
        <w:tc>
          <w:tcPr>
            <w:tcW w:type="dxa" w:w="3312"/>
            <w:vAlign w:val="center"/>
            <w:shd w:fill="F2F6F8"/>
          </w:tcPr>
          <w:p>
            <w:pPr>
              <w:spacing w:after="20"/>
            </w:pPr>
            <w:r/>
            <w:r>
              <w:rPr>
                <w:rFonts w:ascii="Aptos" w:hAnsi="Aptos"/>
                <w:b w:val="0"/>
                <w:sz w:val="16"/>
              </w:rPr>
              <w:t>Melihat barang/manifest terkait penugasan.</w:t>
            </w:r>
          </w:p>
        </w:tc>
        <w:tc>
          <w:tcPr>
            <w:tcW w:type="dxa" w:w="3312"/>
            <w:vAlign w:val="center"/>
            <w:shd w:fill="F2F6F8"/>
          </w:tcPr>
          <w:p>
            <w:pPr>
              <w:spacing w:after="20"/>
            </w:pPr>
            <w:r/>
            <w:r>
              <w:rPr>
                <w:rFonts w:ascii="Aptos" w:hAnsi="Aptos"/>
                <w:b w:val="0"/>
                <w:sz w:val="16"/>
              </w:rPr>
              <w:t>Usulan; modul event tahap berikutnya.</w:t>
            </w:r>
          </w:p>
        </w:tc>
      </w:tr>
      <w:tr>
        <w:tc>
          <w:tcPr>
            <w:tcW w:type="dxa" w:w="3312"/>
            <w:vAlign w:val="center"/>
          </w:tcPr>
          <w:p>
            <w:pPr>
              <w:spacing w:after="20"/>
            </w:pPr>
            <w:r/>
            <w:r>
              <w:rPr>
                <w:rFonts w:ascii="Aptos" w:hAnsi="Aptos"/>
                <w:b w:val="0"/>
                <w:sz w:val="16"/>
              </w:rPr>
              <w:t>Superuser/System Administrator</w:t>
            </w:r>
          </w:p>
        </w:tc>
        <w:tc>
          <w:tcPr>
            <w:tcW w:type="dxa" w:w="3312"/>
            <w:vAlign w:val="center"/>
          </w:tcPr>
          <w:p>
            <w:pPr>
              <w:spacing w:after="20"/>
            </w:pPr>
            <w:r/>
            <w:r>
              <w:rPr>
                <w:rFonts w:ascii="Aptos" w:hAnsi="Aptos"/>
                <w:b w:val="0"/>
                <w:sz w:val="16"/>
              </w:rPr>
              <w:t>Akses bisnis luas dengan audit trail; administrasi teknis.</w:t>
            </w:r>
          </w:p>
        </w:tc>
        <w:tc>
          <w:tcPr>
            <w:tcW w:type="dxa" w:w="3312"/>
            <w:vAlign w:val="center"/>
          </w:tcPr>
          <w:p>
            <w:pPr>
              <w:spacing w:after="20"/>
            </w:pPr>
            <w:r/>
            <w:r>
              <w:rPr>
                <w:rFonts w:ascii="Aptos" w:hAnsi="Aptos"/>
                <w:b w:val="0"/>
                <w:sz w:val="16"/>
              </w:rPr>
              <w:t>Akses luas dan audit trail terkonfirmasi; tidak otomatis mendapat kewenangan approval bisnis.</w:t>
            </w:r>
          </w:p>
        </w:tc>
      </w:tr>
    </w:tbl>
    <w:p/>
    <w:p>
      <w:r>
        <w:t>Satu orang dapat memiliki beberapa role. Sistem harus memisahkan identitas user, role, dan permission. Owner dan Branch Manager saat ini adalah satu orang; Admin LED dan Finance mungkin dirangkap.</w:t>
      </w:r>
    </w:p>
    <w:p>
      <w:pPr>
        <w:pStyle w:val="Heading1"/>
      </w:pPr>
      <w:r>
        <w:t>10. Rancangan Data Konseptual</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5324B"/>
          </w:tcPr>
          <w:p>
            <w:pPr>
              <w:spacing w:after="20"/>
            </w:pPr>
            <w:r/>
            <w:r>
              <w:rPr>
                <w:rFonts w:ascii="Aptos" w:hAnsi="Aptos"/>
                <w:b/>
                <w:color w:val="FFFFFF"/>
                <w:sz w:val="17"/>
              </w:rPr>
              <w:t>Tabel</w:t>
            </w:r>
          </w:p>
        </w:tc>
        <w:tc>
          <w:tcPr>
            <w:tcW w:type="dxa" w:w="3312"/>
            <w:vAlign w:val="center"/>
            <w:shd w:fill="15324B"/>
          </w:tcPr>
          <w:p>
            <w:pPr>
              <w:spacing w:after="20"/>
            </w:pPr>
            <w:r/>
            <w:r>
              <w:rPr>
                <w:rFonts w:ascii="Aptos" w:hAnsi="Aptos"/>
                <w:b/>
                <w:color w:val="FFFFFF"/>
                <w:sz w:val="17"/>
              </w:rPr>
              <w:t>Tujuan</w:t>
            </w:r>
          </w:p>
        </w:tc>
        <w:tc>
          <w:tcPr>
            <w:tcW w:type="dxa" w:w="3312"/>
            <w:vAlign w:val="center"/>
            <w:shd w:fill="15324B"/>
          </w:tcPr>
          <w:p>
            <w:pPr>
              <w:spacing w:after="20"/>
            </w:pPr>
            <w:r/>
            <w:r>
              <w:rPr>
                <w:rFonts w:ascii="Aptos" w:hAnsi="Aptos"/>
                <w:b/>
                <w:color w:val="FFFFFF"/>
                <w:sz w:val="17"/>
              </w:rPr>
              <w:t>Catatan</w:t>
            </w:r>
          </w:p>
        </w:tc>
      </w:tr>
      <w:tr>
        <w:tc>
          <w:tcPr>
            <w:tcW w:type="dxa" w:w="3312"/>
            <w:vAlign w:val="center"/>
          </w:tcPr>
          <w:p>
            <w:pPr>
              <w:spacing w:after="20"/>
            </w:pPr>
            <w:r/>
            <w:r>
              <w:rPr>
                <w:rFonts w:ascii="Aptos" w:hAnsi="Aptos"/>
                <w:b w:val="0"/>
                <w:sz w:val="16"/>
              </w:rPr>
              <w:t>users</w:t>
            </w:r>
          </w:p>
        </w:tc>
        <w:tc>
          <w:tcPr>
            <w:tcW w:type="dxa" w:w="3312"/>
            <w:vAlign w:val="center"/>
          </w:tcPr>
          <w:p>
            <w:pPr>
              <w:spacing w:after="20"/>
            </w:pPr>
            <w:r/>
            <w:r>
              <w:rPr>
                <w:rFonts w:ascii="Aptos" w:hAnsi="Aptos"/>
                <w:b w:val="0"/>
                <w:sz w:val="16"/>
              </w:rPr>
              <w:t>Akun pengguna.</w:t>
            </w:r>
          </w:p>
        </w:tc>
        <w:tc>
          <w:tcPr>
            <w:tcW w:type="dxa" w:w="3312"/>
            <w:vAlign w:val="center"/>
          </w:tcPr>
          <w:p>
            <w:pPr>
              <w:spacing w:after="20"/>
            </w:pPr>
            <w:r/>
            <w:r>
              <w:rPr>
                <w:rFonts w:ascii="Aptos" w:hAnsi="Aptos"/>
                <w:b w:val="0"/>
                <w:sz w:val="16"/>
              </w:rPr>
              <w:t>Gunakan mekanisme autentikasi Laravel.</w:t>
            </w:r>
          </w:p>
        </w:tc>
      </w:tr>
      <w:tr>
        <w:tc>
          <w:tcPr>
            <w:tcW w:type="dxa" w:w="3312"/>
            <w:vAlign w:val="center"/>
            <w:shd w:fill="F2F6F8"/>
          </w:tcPr>
          <w:p>
            <w:pPr>
              <w:spacing w:after="20"/>
            </w:pPr>
            <w:r/>
            <w:r>
              <w:rPr>
                <w:rFonts w:ascii="Aptos" w:hAnsi="Aptos"/>
                <w:b w:val="0"/>
                <w:sz w:val="16"/>
              </w:rPr>
              <w:t>roles, permissions, role_user, permission_role</w:t>
            </w:r>
          </w:p>
        </w:tc>
        <w:tc>
          <w:tcPr>
            <w:tcW w:type="dxa" w:w="3312"/>
            <w:vAlign w:val="center"/>
            <w:shd w:fill="F2F6F8"/>
          </w:tcPr>
          <w:p>
            <w:pPr>
              <w:spacing w:after="20"/>
            </w:pPr>
            <w:r/>
            <w:r>
              <w:rPr>
                <w:rFonts w:ascii="Aptos" w:hAnsi="Aptos"/>
                <w:b w:val="0"/>
                <w:sz w:val="16"/>
              </w:rPr>
              <w:t>Role dan permission.</w:t>
            </w:r>
          </w:p>
        </w:tc>
        <w:tc>
          <w:tcPr>
            <w:tcW w:type="dxa" w:w="3312"/>
            <w:vAlign w:val="center"/>
            <w:shd w:fill="F2F6F8"/>
          </w:tcPr>
          <w:p>
            <w:pPr>
              <w:spacing w:after="20"/>
            </w:pPr>
            <w:r/>
            <w:r>
              <w:rPr>
                <w:rFonts w:ascii="Aptos" w:hAnsi="Aptos"/>
                <w:b w:val="0"/>
                <w:sz w:val="16"/>
              </w:rPr>
              <w:t>Nama tabel/pivot dapat mengikuti paket RBAC yang dipilih.</w:t>
            </w:r>
          </w:p>
        </w:tc>
      </w:tr>
      <w:tr>
        <w:tc>
          <w:tcPr>
            <w:tcW w:type="dxa" w:w="3312"/>
            <w:vAlign w:val="center"/>
          </w:tcPr>
          <w:p>
            <w:pPr>
              <w:spacing w:after="20"/>
            </w:pPr>
            <w:r/>
            <w:r>
              <w:rPr>
                <w:rFonts w:ascii="Aptos" w:hAnsi="Aptos"/>
                <w:b w:val="0"/>
                <w:sz w:val="16"/>
              </w:rPr>
              <w:t>categories</w:t>
            </w:r>
          </w:p>
        </w:tc>
        <w:tc>
          <w:tcPr>
            <w:tcW w:type="dxa" w:w="3312"/>
            <w:vAlign w:val="center"/>
          </w:tcPr>
          <w:p>
            <w:pPr>
              <w:spacing w:after="20"/>
            </w:pPr>
            <w:r/>
            <w:r>
              <w:rPr>
                <w:rFonts w:ascii="Aptos" w:hAnsi="Aptos"/>
                <w:b w:val="0"/>
                <w:sz w:val="16"/>
              </w:rPr>
              <w:t>Kategori dan subkategori.</w:t>
            </w:r>
          </w:p>
        </w:tc>
        <w:tc>
          <w:tcPr>
            <w:tcW w:type="dxa" w:w="3312"/>
            <w:vAlign w:val="center"/>
          </w:tcPr>
          <w:p>
            <w:pPr>
              <w:spacing w:after="20"/>
            </w:pPr>
            <w:r/>
            <w:r>
              <w:rPr>
                <w:rFonts w:ascii="Aptos" w:hAnsi="Aptos"/>
                <w:b w:val="0"/>
                <w:sz w:val="16"/>
              </w:rPr>
              <w:t>Dapat menggunakan parent_id untuk hierarki.</w:t>
            </w:r>
          </w:p>
        </w:tc>
      </w:tr>
      <w:tr>
        <w:tc>
          <w:tcPr>
            <w:tcW w:type="dxa" w:w="3312"/>
            <w:vAlign w:val="center"/>
            <w:shd w:fill="F2F6F8"/>
          </w:tcPr>
          <w:p>
            <w:pPr>
              <w:spacing w:after="20"/>
            </w:pPr>
            <w:r/>
            <w:r>
              <w:rPr>
                <w:rFonts w:ascii="Aptos" w:hAnsi="Aptos"/>
                <w:b w:val="0"/>
                <w:sz w:val="16"/>
              </w:rPr>
              <w:t>units</w:t>
            </w:r>
          </w:p>
        </w:tc>
        <w:tc>
          <w:tcPr>
            <w:tcW w:type="dxa" w:w="3312"/>
            <w:vAlign w:val="center"/>
            <w:shd w:fill="F2F6F8"/>
          </w:tcPr>
          <w:p>
            <w:pPr>
              <w:spacing w:after="20"/>
            </w:pPr>
            <w:r/>
            <w:r>
              <w:rPr>
                <w:rFonts w:ascii="Aptos" w:hAnsi="Aptos"/>
                <w:b w:val="0"/>
                <w:sz w:val="16"/>
              </w:rPr>
              <w:t>Satuan barang.</w:t>
            </w:r>
          </w:p>
        </w:tc>
        <w:tc>
          <w:tcPr>
            <w:tcW w:type="dxa" w:w="3312"/>
            <w:vAlign w:val="center"/>
            <w:shd w:fill="F2F6F8"/>
          </w:tcPr>
          <w:p>
            <w:pPr>
              <w:spacing w:after="20"/>
            </w:pPr>
            <w:r/>
            <w:r>
              <w:rPr>
                <w:rFonts w:ascii="Aptos" w:hAnsi="Aptos"/>
                <w:b w:val="0"/>
                <w:sz w:val="16"/>
              </w:rPr>
              <w:t>Dukung satuan unit, set, meter, roll, dan lain-lain sesuai data nyata.</w:t>
            </w:r>
          </w:p>
        </w:tc>
      </w:tr>
      <w:tr>
        <w:tc>
          <w:tcPr>
            <w:tcW w:type="dxa" w:w="3312"/>
            <w:vAlign w:val="center"/>
          </w:tcPr>
          <w:p>
            <w:pPr>
              <w:spacing w:after="20"/>
            </w:pPr>
            <w:r/>
            <w:r>
              <w:rPr>
                <w:rFonts w:ascii="Aptos" w:hAnsi="Aptos"/>
                <w:b w:val="0"/>
                <w:sz w:val="16"/>
              </w:rPr>
              <w:t>products</w:t>
            </w:r>
          </w:p>
        </w:tc>
        <w:tc>
          <w:tcPr>
            <w:tcW w:type="dxa" w:w="3312"/>
            <w:vAlign w:val="center"/>
          </w:tcPr>
          <w:p>
            <w:pPr>
              <w:spacing w:after="20"/>
            </w:pPr>
            <w:r/>
            <w:r>
              <w:rPr>
                <w:rFonts w:ascii="Aptos" w:hAnsi="Aptos"/>
                <w:b w:val="0"/>
                <w:sz w:val="16"/>
              </w:rPr>
              <w:t>Master barang.</w:t>
            </w:r>
          </w:p>
        </w:tc>
        <w:tc>
          <w:tcPr>
            <w:tcW w:type="dxa" w:w="3312"/>
            <w:vAlign w:val="center"/>
          </w:tcPr>
          <w:p>
            <w:pPr>
              <w:spacing w:after="20"/>
            </w:pPr>
            <w:r/>
            <w:r>
              <w:rPr>
                <w:rFonts w:ascii="Aptos" w:hAnsi="Aptos"/>
                <w:b w:val="0"/>
                <w:sz w:val="16"/>
              </w:rPr>
              <w:t>Memuat kode unik, nama, kategori, satuan, mode pelacakan, status.</w:t>
            </w:r>
          </w:p>
        </w:tc>
      </w:tr>
      <w:tr>
        <w:tc>
          <w:tcPr>
            <w:tcW w:type="dxa" w:w="3312"/>
            <w:vAlign w:val="center"/>
            <w:shd w:fill="F2F6F8"/>
          </w:tcPr>
          <w:p>
            <w:pPr>
              <w:spacing w:after="20"/>
            </w:pPr>
            <w:r/>
            <w:r>
              <w:rPr>
                <w:rFonts w:ascii="Aptos" w:hAnsi="Aptos"/>
                <w:b w:val="0"/>
                <w:sz w:val="16"/>
              </w:rPr>
              <w:t>assets</w:t>
            </w:r>
          </w:p>
        </w:tc>
        <w:tc>
          <w:tcPr>
            <w:tcW w:type="dxa" w:w="3312"/>
            <w:vAlign w:val="center"/>
            <w:shd w:fill="F2F6F8"/>
          </w:tcPr>
          <w:p>
            <w:pPr>
              <w:spacing w:after="20"/>
            </w:pPr>
            <w:r/>
            <w:r>
              <w:rPr>
                <w:rFonts w:ascii="Aptos" w:hAnsi="Aptos"/>
                <w:b w:val="0"/>
                <w:sz w:val="16"/>
              </w:rPr>
              <w:t>Identitas unit individual.</w:t>
            </w:r>
          </w:p>
        </w:tc>
        <w:tc>
          <w:tcPr>
            <w:tcW w:type="dxa" w:w="3312"/>
            <w:vAlign w:val="center"/>
            <w:shd w:fill="F2F6F8"/>
          </w:tcPr>
          <w:p>
            <w:pPr>
              <w:spacing w:after="20"/>
            </w:pPr>
            <w:r/>
            <w:r>
              <w:rPr>
                <w:rFonts w:ascii="Aptos" w:hAnsi="Aptos"/>
                <w:b w:val="0"/>
                <w:sz w:val="16"/>
              </w:rPr>
              <w:t>Hanya untuk barang yang perlu pelacakan per unit; nomor identitas harus unik.</w:t>
            </w:r>
          </w:p>
        </w:tc>
      </w:tr>
      <w:tr>
        <w:tc>
          <w:tcPr>
            <w:tcW w:type="dxa" w:w="3312"/>
            <w:vAlign w:val="center"/>
          </w:tcPr>
          <w:p>
            <w:pPr>
              <w:spacing w:after="20"/>
            </w:pPr>
            <w:r/>
            <w:r>
              <w:rPr>
                <w:rFonts w:ascii="Aptos" w:hAnsi="Aptos"/>
                <w:b w:val="0"/>
                <w:sz w:val="16"/>
              </w:rPr>
              <w:t>locations</w:t>
            </w:r>
          </w:p>
        </w:tc>
        <w:tc>
          <w:tcPr>
            <w:tcW w:type="dxa" w:w="3312"/>
            <w:vAlign w:val="center"/>
          </w:tcPr>
          <w:p>
            <w:pPr>
              <w:spacing w:after="20"/>
            </w:pPr>
            <w:r/>
            <w:r>
              <w:rPr>
                <w:rFonts w:ascii="Aptos" w:hAnsi="Aptos"/>
                <w:b w:val="0"/>
                <w:sz w:val="16"/>
              </w:rPr>
              <w:t>Gudang dan lokasi penyimpanan.</w:t>
            </w:r>
          </w:p>
        </w:tc>
        <w:tc>
          <w:tcPr>
            <w:tcW w:type="dxa" w:w="3312"/>
            <w:vAlign w:val="center"/>
          </w:tcPr>
          <w:p>
            <w:pPr>
              <w:spacing w:after="20"/>
            </w:pPr>
            <w:r/>
            <w:r>
              <w:rPr>
                <w:rFonts w:ascii="Aptos" w:hAnsi="Aptos"/>
                <w:b w:val="0"/>
                <w:sz w:val="16"/>
              </w:rPr>
              <w:t>Tahap awal satu gedung, tetapi dapat memiliki beberapa lokasi internal.</w:t>
            </w:r>
          </w:p>
        </w:tc>
      </w:tr>
      <w:tr>
        <w:tc>
          <w:tcPr>
            <w:tcW w:type="dxa" w:w="3312"/>
            <w:vAlign w:val="center"/>
            <w:shd w:fill="F2F6F8"/>
          </w:tcPr>
          <w:p>
            <w:pPr>
              <w:spacing w:after="20"/>
            </w:pPr>
            <w:r/>
            <w:r>
              <w:rPr>
                <w:rFonts w:ascii="Aptos" w:hAnsi="Aptos"/>
                <w:b w:val="0"/>
                <w:sz w:val="16"/>
              </w:rPr>
              <w:t>stock_balances</w:t>
            </w:r>
          </w:p>
        </w:tc>
        <w:tc>
          <w:tcPr>
            <w:tcW w:type="dxa" w:w="3312"/>
            <w:vAlign w:val="center"/>
            <w:shd w:fill="F2F6F8"/>
          </w:tcPr>
          <w:p>
            <w:pPr>
              <w:spacing w:after="20"/>
            </w:pPr>
            <w:r/>
            <w:r>
              <w:rPr>
                <w:rFonts w:ascii="Aptos" w:hAnsi="Aptos"/>
                <w:b w:val="0"/>
                <w:sz w:val="16"/>
              </w:rPr>
              <w:t>Saldo barang.</w:t>
            </w:r>
          </w:p>
        </w:tc>
        <w:tc>
          <w:tcPr>
            <w:tcW w:type="dxa" w:w="3312"/>
            <w:vAlign w:val="center"/>
            <w:shd w:fill="F2F6F8"/>
          </w:tcPr>
          <w:p>
            <w:pPr>
              <w:spacing w:after="20"/>
            </w:pPr>
            <w:r/>
            <w:r>
              <w:rPr>
                <w:rFonts w:ascii="Aptos" w:hAnsi="Aptos"/>
                <w:b w:val="0"/>
                <w:sz w:val="16"/>
              </w:rPr>
              <w:t>Kombinasi barang/lokasi/kondisi/kepemilikan; constraint unik diperlukan.</w:t>
            </w:r>
          </w:p>
        </w:tc>
      </w:tr>
      <w:tr>
        <w:tc>
          <w:tcPr>
            <w:tcW w:type="dxa" w:w="3312"/>
            <w:vAlign w:val="center"/>
          </w:tcPr>
          <w:p>
            <w:pPr>
              <w:spacing w:after="20"/>
            </w:pPr>
            <w:r/>
            <w:r>
              <w:rPr>
                <w:rFonts w:ascii="Aptos" w:hAnsi="Aptos"/>
                <w:b w:val="0"/>
                <w:sz w:val="16"/>
              </w:rPr>
              <w:t>stock_movements</w:t>
            </w:r>
          </w:p>
        </w:tc>
        <w:tc>
          <w:tcPr>
            <w:tcW w:type="dxa" w:w="3312"/>
            <w:vAlign w:val="center"/>
          </w:tcPr>
          <w:p>
            <w:pPr>
              <w:spacing w:after="20"/>
            </w:pPr>
            <w:r/>
            <w:r>
              <w:rPr>
                <w:rFonts w:ascii="Aptos" w:hAnsi="Aptos"/>
                <w:b w:val="0"/>
                <w:sz w:val="16"/>
              </w:rPr>
              <w:t>Header transaksi mutasi.</w:t>
            </w:r>
          </w:p>
        </w:tc>
        <w:tc>
          <w:tcPr>
            <w:tcW w:type="dxa" w:w="3312"/>
            <w:vAlign w:val="center"/>
          </w:tcPr>
          <w:p>
            <w:pPr>
              <w:spacing w:after="20"/>
            </w:pPr>
            <w:r/>
            <w:r>
              <w:rPr>
                <w:rFonts w:ascii="Aptos" w:hAnsi="Aptos"/>
                <w:b w:val="0"/>
                <w:sz w:val="16"/>
              </w:rPr>
              <w:t>Nomor transaksi, status, tipe, pembuat, waktu, referensi.</w:t>
            </w:r>
          </w:p>
        </w:tc>
      </w:tr>
      <w:tr>
        <w:tc>
          <w:tcPr>
            <w:tcW w:type="dxa" w:w="3312"/>
            <w:vAlign w:val="center"/>
            <w:shd w:fill="F2F6F8"/>
          </w:tcPr>
          <w:p>
            <w:pPr>
              <w:spacing w:after="20"/>
            </w:pPr>
            <w:r/>
            <w:r>
              <w:rPr>
                <w:rFonts w:ascii="Aptos" w:hAnsi="Aptos"/>
                <w:b w:val="0"/>
                <w:sz w:val="16"/>
              </w:rPr>
              <w:t>stock_movement_items</w:t>
            </w:r>
          </w:p>
        </w:tc>
        <w:tc>
          <w:tcPr>
            <w:tcW w:type="dxa" w:w="3312"/>
            <w:vAlign w:val="center"/>
            <w:shd w:fill="F2F6F8"/>
          </w:tcPr>
          <w:p>
            <w:pPr>
              <w:spacing w:after="20"/>
            </w:pPr>
            <w:r/>
            <w:r>
              <w:rPr>
                <w:rFonts w:ascii="Aptos" w:hAnsi="Aptos"/>
                <w:b w:val="0"/>
                <w:sz w:val="16"/>
              </w:rPr>
              <w:t>Rincian mutasi.</w:t>
            </w:r>
          </w:p>
        </w:tc>
        <w:tc>
          <w:tcPr>
            <w:tcW w:type="dxa" w:w="3312"/>
            <w:vAlign w:val="center"/>
            <w:shd w:fill="F2F6F8"/>
          </w:tcPr>
          <w:p>
            <w:pPr>
              <w:spacing w:after="20"/>
            </w:pPr>
            <w:r/>
            <w:r>
              <w:rPr>
                <w:rFonts w:ascii="Aptos" w:hAnsi="Aptos"/>
                <w:b w:val="0"/>
                <w:sz w:val="16"/>
              </w:rPr>
              <w:t>Barang, jumlah, lokasi asal/tujuan, dan kaitan asset jika individual.</w:t>
            </w:r>
          </w:p>
        </w:tc>
      </w:tr>
      <w:tr>
        <w:tc>
          <w:tcPr>
            <w:tcW w:type="dxa" w:w="3312"/>
            <w:vAlign w:val="center"/>
          </w:tcPr>
          <w:p>
            <w:pPr>
              <w:spacing w:after="20"/>
            </w:pPr>
            <w:r/>
            <w:r>
              <w:rPr>
                <w:rFonts w:ascii="Aptos" w:hAnsi="Aptos"/>
                <w:b w:val="0"/>
                <w:sz w:val="16"/>
              </w:rPr>
              <w:t>inventory_counts</w:t>
            </w:r>
          </w:p>
        </w:tc>
        <w:tc>
          <w:tcPr>
            <w:tcW w:type="dxa" w:w="3312"/>
            <w:vAlign w:val="center"/>
          </w:tcPr>
          <w:p>
            <w:pPr>
              <w:spacing w:after="20"/>
            </w:pPr>
            <w:r/>
            <w:r>
              <w:rPr>
                <w:rFonts w:ascii="Aptos" w:hAnsi="Aptos"/>
                <w:b w:val="0"/>
                <w:sz w:val="16"/>
              </w:rPr>
              <w:t>Sesi pendataan fisik.</w:t>
            </w:r>
          </w:p>
        </w:tc>
        <w:tc>
          <w:tcPr>
            <w:tcW w:type="dxa" w:w="3312"/>
            <w:vAlign w:val="center"/>
          </w:tcPr>
          <w:p>
            <w:pPr>
              <w:spacing w:after="20"/>
            </w:pPr>
            <w:r/>
            <w:r>
              <w:rPr>
                <w:rFonts w:ascii="Aptos" w:hAnsi="Aptos"/>
                <w:b w:val="0"/>
                <w:sz w:val="16"/>
              </w:rPr>
              <w:t>Menyimpan status verifikasi dan pengesahan stok awal.</w:t>
            </w:r>
          </w:p>
        </w:tc>
      </w:tr>
      <w:tr>
        <w:tc>
          <w:tcPr>
            <w:tcW w:type="dxa" w:w="3312"/>
            <w:vAlign w:val="center"/>
            <w:shd w:fill="F2F6F8"/>
          </w:tcPr>
          <w:p>
            <w:pPr>
              <w:spacing w:after="20"/>
            </w:pPr>
            <w:r/>
            <w:r>
              <w:rPr>
                <w:rFonts w:ascii="Aptos" w:hAnsi="Aptos"/>
                <w:b w:val="0"/>
                <w:sz w:val="16"/>
              </w:rPr>
              <w:t>inventory_count_items</w:t>
            </w:r>
          </w:p>
        </w:tc>
        <w:tc>
          <w:tcPr>
            <w:tcW w:type="dxa" w:w="3312"/>
            <w:vAlign w:val="center"/>
            <w:shd w:fill="F2F6F8"/>
          </w:tcPr>
          <w:p>
            <w:pPr>
              <w:spacing w:after="20"/>
            </w:pPr>
            <w:r/>
            <w:r>
              <w:rPr>
                <w:rFonts w:ascii="Aptos" w:hAnsi="Aptos"/>
                <w:b w:val="0"/>
                <w:sz w:val="16"/>
              </w:rPr>
              <w:t>Rincian hasil hitung.</w:t>
            </w:r>
          </w:p>
        </w:tc>
        <w:tc>
          <w:tcPr>
            <w:tcW w:type="dxa" w:w="3312"/>
            <w:vAlign w:val="center"/>
            <w:shd w:fill="F2F6F8"/>
          </w:tcPr>
          <w:p>
            <w:pPr>
              <w:spacing w:after="20"/>
            </w:pPr>
            <w:r/>
            <w:r>
              <w:rPr>
                <w:rFonts w:ascii="Aptos" w:hAnsi="Aptos"/>
                <w:b w:val="0"/>
                <w:sz w:val="16"/>
              </w:rPr>
              <w:t>Jumlah sistem, jumlah fisik, selisih, kondisi, identitas unit jika relevan.</w:t>
            </w:r>
          </w:p>
        </w:tc>
      </w:tr>
      <w:tr>
        <w:tc>
          <w:tcPr>
            <w:tcW w:type="dxa" w:w="3312"/>
            <w:vAlign w:val="center"/>
          </w:tcPr>
          <w:p>
            <w:pPr>
              <w:spacing w:after="20"/>
            </w:pPr>
            <w:r/>
            <w:r>
              <w:rPr>
                <w:rFonts w:ascii="Aptos" w:hAnsi="Aptos"/>
                <w:b w:val="0"/>
                <w:sz w:val="16"/>
              </w:rPr>
              <w:t>stock_adjustments</w:t>
            </w:r>
          </w:p>
        </w:tc>
        <w:tc>
          <w:tcPr>
            <w:tcW w:type="dxa" w:w="3312"/>
            <w:vAlign w:val="center"/>
          </w:tcPr>
          <w:p>
            <w:pPr>
              <w:spacing w:after="20"/>
            </w:pPr>
            <w:r/>
            <w:r>
              <w:rPr>
                <w:rFonts w:ascii="Aptos" w:hAnsi="Aptos"/>
                <w:b w:val="0"/>
                <w:sz w:val="16"/>
              </w:rPr>
              <w:t>Permintaan penyesuaian dan approval.</w:t>
            </w:r>
          </w:p>
        </w:tc>
        <w:tc>
          <w:tcPr>
            <w:tcW w:type="dxa" w:w="3312"/>
            <w:vAlign w:val="center"/>
          </w:tcPr>
          <w:p>
            <w:pPr>
              <w:spacing w:after="20"/>
            </w:pPr>
            <w:r/>
            <w:r>
              <w:rPr>
                <w:rFonts w:ascii="Aptos" w:hAnsi="Aptos"/>
                <w:b w:val="0"/>
                <w:sz w:val="16"/>
              </w:rPr>
              <w:t>Pemohon, penyetuju, status, alasan, dan referensi mutasi.</w:t>
            </w:r>
          </w:p>
        </w:tc>
      </w:tr>
      <w:tr>
        <w:tc>
          <w:tcPr>
            <w:tcW w:type="dxa" w:w="3312"/>
            <w:vAlign w:val="center"/>
            <w:shd w:fill="F2F6F8"/>
          </w:tcPr>
          <w:p>
            <w:pPr>
              <w:spacing w:after="20"/>
            </w:pPr>
            <w:r/>
            <w:r>
              <w:rPr>
                <w:rFonts w:ascii="Aptos" w:hAnsi="Aptos"/>
                <w:b w:val="0"/>
                <w:sz w:val="16"/>
              </w:rPr>
              <w:t>audit_logs</w:t>
            </w:r>
          </w:p>
        </w:tc>
        <w:tc>
          <w:tcPr>
            <w:tcW w:type="dxa" w:w="3312"/>
            <w:vAlign w:val="center"/>
            <w:shd w:fill="F2F6F8"/>
          </w:tcPr>
          <w:p>
            <w:pPr>
              <w:spacing w:after="20"/>
            </w:pPr>
            <w:r/>
            <w:r>
              <w:rPr>
                <w:rFonts w:ascii="Aptos" w:hAnsi="Aptos"/>
                <w:b w:val="0"/>
                <w:sz w:val="16"/>
              </w:rPr>
              <w:t>Jejak aktivitas penting.</w:t>
            </w:r>
          </w:p>
        </w:tc>
        <w:tc>
          <w:tcPr>
            <w:tcW w:type="dxa" w:w="3312"/>
            <w:vAlign w:val="center"/>
            <w:shd w:fill="F2F6F8"/>
          </w:tcPr>
          <w:p>
            <w:pPr>
              <w:spacing w:after="20"/>
            </w:pPr>
            <w:r/>
            <w:r>
              <w:rPr>
                <w:rFonts w:ascii="Aptos" w:hAnsi="Aptos"/>
                <w:b w:val="0"/>
                <w:sz w:val="16"/>
              </w:rPr>
              <w:t>Pelaku, aksi, waktu, entitas, dan perubahan relevan.</w:t>
            </w:r>
          </w:p>
        </w:tc>
      </w:tr>
      <w:tr>
        <w:tc>
          <w:tcPr>
            <w:tcW w:type="dxa" w:w="3312"/>
            <w:vAlign w:val="center"/>
          </w:tcPr>
          <w:p>
            <w:pPr>
              <w:spacing w:after="20"/>
            </w:pPr>
            <w:r/>
            <w:r>
              <w:rPr>
                <w:rFonts w:ascii="Aptos" w:hAnsi="Aptos"/>
                <w:b w:val="0"/>
                <w:sz w:val="16"/>
              </w:rPr>
              <w:t>external_partners</w:t>
            </w:r>
          </w:p>
        </w:tc>
        <w:tc>
          <w:tcPr>
            <w:tcW w:type="dxa" w:w="3312"/>
            <w:vAlign w:val="center"/>
          </w:tcPr>
          <w:p>
            <w:pPr>
              <w:spacing w:after="20"/>
            </w:pPr>
            <w:r/>
            <w:r>
              <w:rPr>
                <w:rFonts w:ascii="Aptos" w:hAnsi="Aptos"/>
                <w:b w:val="0"/>
                <w:sz w:val="16"/>
              </w:rPr>
              <w:t>Pemilik/pemasok peralatan eksternal.</w:t>
            </w:r>
          </w:p>
        </w:tc>
        <w:tc>
          <w:tcPr>
            <w:tcW w:type="dxa" w:w="3312"/>
            <w:vAlign w:val="center"/>
          </w:tcPr>
          <w:p>
            <w:pPr>
              <w:spacing w:after="20"/>
            </w:pPr>
            <w:r/>
            <w:r>
              <w:rPr>
                <w:rFonts w:ascii="Aptos" w:hAnsi="Aptos"/>
                <w:b w:val="0"/>
                <w:sz w:val="16"/>
              </w:rPr>
              <w:t>Dapat ditambahkan saat workflow eksternal diimplementasikan.</w:t>
            </w:r>
          </w:p>
        </w:tc>
      </w:tr>
      <w:tr>
        <w:tc>
          <w:tcPr>
            <w:tcW w:type="dxa" w:w="3312"/>
            <w:vAlign w:val="center"/>
            <w:shd w:fill="F2F6F8"/>
          </w:tcPr>
          <w:p>
            <w:pPr>
              <w:spacing w:after="20"/>
            </w:pPr>
            <w:r/>
            <w:r>
              <w:rPr>
                <w:rFonts w:ascii="Aptos" w:hAnsi="Aptos"/>
                <w:b w:val="0"/>
                <w:sz w:val="16"/>
              </w:rPr>
              <w:t>external_equipment_transactions</w:t>
            </w:r>
          </w:p>
        </w:tc>
        <w:tc>
          <w:tcPr>
            <w:tcW w:type="dxa" w:w="3312"/>
            <w:vAlign w:val="center"/>
            <w:shd w:fill="F2F6F8"/>
          </w:tcPr>
          <w:p>
            <w:pPr>
              <w:spacing w:after="20"/>
            </w:pPr>
            <w:r/>
            <w:r>
              <w:rPr>
                <w:rFonts w:ascii="Aptos" w:hAnsi="Aptos"/>
                <w:b w:val="0"/>
                <w:sz w:val="16"/>
              </w:rPr>
              <w:t>Peminjaman/sewa barang eksternal.</w:t>
            </w:r>
          </w:p>
        </w:tc>
        <w:tc>
          <w:tcPr>
            <w:tcW w:type="dxa" w:w="3312"/>
            <w:vAlign w:val="center"/>
            <w:shd w:fill="F2F6F8"/>
          </w:tcPr>
          <w:p>
            <w:pPr>
              <w:spacing w:after="20"/>
            </w:pPr>
            <w:r/>
            <w:r>
              <w:rPr>
                <w:rFonts w:ascii="Aptos" w:hAnsi="Aptos"/>
                <w:b w:val="0"/>
                <w:sz w:val="16"/>
              </w:rPr>
              <w:t>Tahap lanjutan, bukan kebutuhan alur lengkap MVP.</w:t>
            </w:r>
          </w:p>
        </w:tc>
      </w:tr>
    </w:tbl>
    <w:p/>
    <w:p>
      <w:pPr>
        <w:pStyle w:val="Heading2"/>
      </w:pPr>
      <w:r>
        <w:t>10.1 Prinsip database</w:t>
      </w:r>
    </w:p>
    <w:p>
      <w:pPr>
        <w:pStyle w:val="ListBullet"/>
        <w:spacing w:after="40"/>
      </w:pPr>
      <w:r>
        <w:t>Gunakan primary key, foreign key, unique constraint, dan check constraint yang sesuai.</w:t>
      </w:r>
    </w:p>
    <w:p>
      <w:pPr>
        <w:pStyle w:val="ListBullet"/>
        <w:spacing w:after="40"/>
      </w:pPr>
      <w:r>
        <w:t>Gunakan tipe numerik yang mendukung kuantitas pecahan bila satuan seperti meter diperlukan.</w:t>
      </w:r>
    </w:p>
    <w:p>
      <w:pPr>
        <w:pStyle w:val="ListBullet"/>
        <w:spacing w:after="40"/>
      </w:pPr>
      <w:r>
        <w:t>Gunakan transaksi database untuk mutasi multi-saldo dan persetujuan penyesuaian.</w:t>
      </w:r>
    </w:p>
    <w:p>
      <w:pPr>
        <w:pStyle w:val="ListBullet"/>
        <w:spacing w:after="40"/>
      </w:pPr>
      <w:r>
        <w:t>Tambahkan indeks pada kode, nama, kategori, lokasi, kondisi, dan kolom filter yang sering digunakan.</w:t>
      </w:r>
    </w:p>
    <w:p>
      <w:pPr>
        <w:pStyle w:val="ListBullet"/>
        <w:spacing w:after="40"/>
      </w:pPr>
      <w:r>
        <w:t>Pisahkan master barang, saldo stok, dan histori transaksi.</w:t>
      </w:r>
    </w:p>
    <w:p>
      <w:pPr>
        <w:pStyle w:val="ListBullet"/>
        <w:spacing w:after="40"/>
      </w:pPr>
      <w:r>
        <w:t>Tentukan representasi stok individual dan stok kuantitas secara eksplisit; jangan mengandalkan satu kolom quantity untuk semua kasus.</w:t>
      </w:r>
    </w:p>
    <w:p>
      <w:pPr>
        <w:pStyle w:val="ListBullet"/>
        <w:spacing w:after="40"/>
      </w:pPr>
      <w:r>
        <w:t>Jangan membiarkan audit log biasa diubah atau dihapus melalui antarmuka pengguna.</w:t>
      </w:r>
    </w:p>
    <w:p>
      <w:pPr>
        <w:pStyle w:val="Heading1"/>
      </w:pPr>
      <w:r>
        <w:t>11. Acceptance Criteria</w:t>
      </w:r>
    </w:p>
    <w:p>
      <w:pPr>
        <w:pStyle w:val="ListBullet"/>
        <w:spacing w:after="40"/>
      </w:pPr>
      <w:r>
        <w:t>Pengguna tanpa permission tidak dapat menjalankan tindakan dengan mengakses URL langsung.</w:t>
      </w:r>
    </w:p>
    <w:p>
      <w:pPr>
        <w:pStyle w:val="ListBullet"/>
        <w:spacing w:after="40"/>
      </w:pPr>
      <w:r>
        <w:t>Kode barang unik dan tidak dapat dipakai ulang untuk barang berbeda.</w:t>
      </w:r>
    </w:p>
    <w:p>
      <w:pPr>
        <w:pStyle w:val="ListBullet"/>
        <w:spacing w:after="40"/>
      </w:pPr>
      <w:r>
        <w:t>Sistem mendukung mode individual dan kuantitas.</w:t>
      </w:r>
    </w:p>
    <w:p>
      <w:pPr>
        <w:pStyle w:val="ListBullet"/>
        <w:spacing w:after="40"/>
      </w:pPr>
      <w:r>
        <w:t>Nomor identitas unit individual unik.</w:t>
      </w:r>
    </w:p>
    <w:p>
      <w:pPr>
        <w:pStyle w:val="ListBullet"/>
        <w:spacing w:after="40"/>
      </w:pPr>
      <w:r>
        <w:t>Stok awal belum resmi sampai Warehouse memverifikasi dan mengesahkannya.</w:t>
      </w:r>
    </w:p>
    <w:p>
      <w:pPr>
        <w:pStyle w:val="ListBullet"/>
        <w:spacing w:after="40"/>
      </w:pPr>
      <w:r>
        <w:t>Penyesuaian tidak mengubah saldo sebelum disetujui Owner.</w:t>
      </w:r>
    </w:p>
    <w:p>
      <w:pPr>
        <w:pStyle w:val="ListBullet"/>
        <w:spacing w:after="40"/>
      </w:pPr>
      <w:r>
        <w:t>Persetujuan/penolakan menyimpan pelaku, waktu, hasil, dan alasan.</w:t>
      </w:r>
    </w:p>
    <w:p>
      <w:pPr>
        <w:pStyle w:val="ListBullet"/>
        <w:spacing w:after="40"/>
      </w:pPr>
      <w:r>
        <w:t>Permintaan penyesuaian tidak dapat diposting lebih dari satu kali.</w:t>
      </w:r>
    </w:p>
    <w:p>
      <w:pPr>
        <w:pStyle w:val="ListBullet"/>
        <w:spacing w:after="40"/>
      </w:pPr>
      <w:r>
        <w:t>Mutasi masuk, keluar, dan transfer memperbarui saldo secara konsisten.</w:t>
      </w:r>
    </w:p>
    <w:p>
      <w:pPr>
        <w:pStyle w:val="ListBullet"/>
        <w:spacing w:after="40"/>
      </w:pPr>
      <w:r>
        <w:t>Barang rusak dan dalam servis tidak dihitung sebagai stok tersedia.</w:t>
      </w:r>
    </w:p>
    <w:p>
      <w:pPr>
        <w:pStyle w:val="ListBullet"/>
        <w:spacing w:after="40"/>
      </w:pPr>
      <w:r>
        <w:t>Koreksi transaksi yang telah diposting meninggalkan histori yang dapat ditelusuri.</w:t>
      </w:r>
    </w:p>
    <w:p>
      <w:pPr>
        <w:pStyle w:val="ListBullet"/>
        <w:spacing w:after="40"/>
      </w:pPr>
      <w:r>
        <w:t>Saldo dan mutasi tetap konsisten saat terjadi permintaan bersamaan.</w:t>
      </w:r>
    </w:p>
    <w:p>
      <w:pPr>
        <w:pStyle w:val="ListBullet"/>
        <w:spacing w:after="40"/>
      </w:pPr>
      <w:r>
        <w:t>Owner dan Superuser dapat melihat audit trail.</w:t>
      </w:r>
    </w:p>
    <w:p>
      <w:pPr>
        <w:pStyle w:val="ListBullet"/>
        <w:spacing w:after="40"/>
      </w:pPr>
      <w:r>
        <w:t>Data impor yang duplikat/tidak lengkap dilaporkan dan tidak menghasilkan saldo ganda.</w:t>
      </w:r>
    </w:p>
    <w:p>
      <w:pPr>
        <w:pStyle w:val="ListBullet"/>
        <w:spacing w:after="40"/>
      </w:pPr>
      <w:r>
        <w:t>Pengguna dapat mencari dan memfilter barang dengan atribut utama.</w:t>
      </w:r>
    </w:p>
    <w:p>
      <w:pPr>
        <w:pStyle w:val="Heading1"/>
      </w:pPr>
      <w:r>
        <w:t>12. Pertanyaan Terbuka</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5324B"/>
          </w:tcPr>
          <w:p>
            <w:pPr>
              <w:spacing w:after="20"/>
            </w:pPr>
            <w:r/>
            <w:r>
              <w:rPr>
                <w:rFonts w:ascii="Aptos" w:hAnsi="Aptos"/>
                <w:b/>
                <w:color w:val="FFFFFF"/>
                <w:sz w:val="17"/>
              </w:rPr>
              <w:t>ID</w:t>
            </w:r>
          </w:p>
        </w:tc>
        <w:tc>
          <w:tcPr>
            <w:tcW w:type="dxa" w:w="3312"/>
            <w:vAlign w:val="center"/>
            <w:shd w:fill="15324B"/>
          </w:tcPr>
          <w:p>
            <w:pPr>
              <w:spacing w:after="20"/>
            </w:pPr>
            <w:r/>
            <w:r>
              <w:rPr>
                <w:rFonts w:ascii="Aptos" w:hAnsi="Aptos"/>
                <w:b/>
                <w:color w:val="FFFFFF"/>
                <w:sz w:val="17"/>
              </w:rPr>
              <w:t>Pertanyaan</w:t>
            </w:r>
          </w:p>
        </w:tc>
        <w:tc>
          <w:tcPr>
            <w:tcW w:type="dxa" w:w="3312"/>
            <w:vAlign w:val="center"/>
            <w:shd w:fill="15324B"/>
          </w:tcPr>
          <w:p>
            <w:pPr>
              <w:spacing w:after="20"/>
            </w:pPr>
            <w:r/>
            <w:r>
              <w:rPr>
                <w:rFonts w:ascii="Aptos" w:hAnsi="Aptos"/>
                <w:b/>
                <w:color w:val="FFFFFF"/>
                <w:sz w:val="17"/>
              </w:rPr>
              <w:t>Dampak</w:t>
            </w:r>
          </w:p>
        </w:tc>
      </w:tr>
      <w:tr>
        <w:tc>
          <w:tcPr>
            <w:tcW w:type="dxa" w:w="3312"/>
            <w:vAlign w:val="center"/>
          </w:tcPr>
          <w:p>
            <w:pPr>
              <w:spacing w:after="20"/>
            </w:pPr>
            <w:r/>
            <w:r>
              <w:rPr>
                <w:rFonts w:ascii="Aptos" w:hAnsi="Aptos"/>
                <w:b w:val="0"/>
                <w:sz w:val="16"/>
              </w:rPr>
              <w:t>Q-01</w:t>
            </w:r>
          </w:p>
        </w:tc>
        <w:tc>
          <w:tcPr>
            <w:tcW w:type="dxa" w:w="3312"/>
            <w:vAlign w:val="center"/>
          </w:tcPr>
          <w:p>
            <w:pPr>
              <w:spacing w:after="20"/>
            </w:pPr>
            <w:r/>
            <w:r>
              <w:rPr>
                <w:rFonts w:ascii="Aptos" w:hAnsi="Aptos"/>
                <w:b w:val="0"/>
                <w:sz w:val="16"/>
              </w:rPr>
              <w:t>Jenis barang apa yang wajib dilacak individual/nomor seri?</w:t>
            </w:r>
          </w:p>
        </w:tc>
        <w:tc>
          <w:tcPr>
            <w:tcW w:type="dxa" w:w="3312"/>
            <w:vAlign w:val="center"/>
          </w:tcPr>
          <w:p>
            <w:pPr>
              <w:spacing w:after="20"/>
            </w:pPr>
            <w:r/>
            <w:r>
              <w:rPr>
                <w:rFonts w:ascii="Aptos" w:hAnsi="Aptos"/>
                <w:b w:val="0"/>
                <w:sz w:val="16"/>
              </w:rPr>
              <w:t>Menentukan data aset dan prosedur penerimaan/pengeluaran.</w:t>
            </w:r>
          </w:p>
        </w:tc>
      </w:tr>
      <w:tr>
        <w:tc>
          <w:tcPr>
            <w:tcW w:type="dxa" w:w="3312"/>
            <w:vAlign w:val="center"/>
            <w:shd w:fill="F2F6F8"/>
          </w:tcPr>
          <w:p>
            <w:pPr>
              <w:spacing w:after="20"/>
            </w:pPr>
            <w:r/>
            <w:r>
              <w:rPr>
                <w:rFonts w:ascii="Aptos" w:hAnsi="Aptos"/>
                <w:b w:val="0"/>
                <w:sz w:val="16"/>
              </w:rPr>
              <w:t>Q-02</w:t>
            </w:r>
          </w:p>
        </w:tc>
        <w:tc>
          <w:tcPr>
            <w:tcW w:type="dxa" w:w="3312"/>
            <w:vAlign w:val="center"/>
            <w:shd w:fill="F2F6F8"/>
          </w:tcPr>
          <w:p>
            <w:pPr>
              <w:spacing w:after="20"/>
            </w:pPr>
            <w:r/>
            <w:r>
              <w:rPr>
                <w:rFonts w:ascii="Aptos" w:hAnsi="Aptos"/>
                <w:b w:val="0"/>
                <w:sz w:val="16"/>
              </w:rPr>
              <w:t>Bolehkah kode internal digunakan untuk barang tanpa serial pabrik?</w:t>
            </w:r>
          </w:p>
        </w:tc>
        <w:tc>
          <w:tcPr>
            <w:tcW w:type="dxa" w:w="3312"/>
            <w:vAlign w:val="center"/>
            <w:shd w:fill="F2F6F8"/>
          </w:tcPr>
          <w:p>
            <w:pPr>
              <w:spacing w:after="20"/>
            </w:pPr>
            <w:r/>
            <w:r>
              <w:rPr>
                <w:rFonts w:ascii="Aptos" w:hAnsi="Aptos"/>
                <w:b w:val="0"/>
                <w:sz w:val="16"/>
              </w:rPr>
              <w:t>Menentukan aturan identitas individual.</w:t>
            </w:r>
          </w:p>
        </w:tc>
      </w:tr>
      <w:tr>
        <w:tc>
          <w:tcPr>
            <w:tcW w:type="dxa" w:w="3312"/>
            <w:vAlign w:val="center"/>
          </w:tcPr>
          <w:p>
            <w:pPr>
              <w:spacing w:after="20"/>
            </w:pPr>
            <w:r/>
            <w:r>
              <w:rPr>
                <w:rFonts w:ascii="Aptos" w:hAnsi="Aptos"/>
                <w:b w:val="0"/>
                <w:sz w:val="16"/>
              </w:rPr>
              <w:t>Q-03</w:t>
            </w:r>
          </w:p>
        </w:tc>
        <w:tc>
          <w:tcPr>
            <w:tcW w:type="dxa" w:w="3312"/>
            <w:vAlign w:val="center"/>
          </w:tcPr>
          <w:p>
            <w:pPr>
              <w:spacing w:after="20"/>
            </w:pPr>
            <w:r/>
            <w:r>
              <w:rPr>
                <w:rFonts w:ascii="Aptos" w:hAnsi="Aptos"/>
                <w:b w:val="0"/>
                <w:sz w:val="16"/>
              </w:rPr>
              <w:t>Apakah bukti foto wajib pada penyesuaian stok?</w:t>
            </w:r>
          </w:p>
        </w:tc>
        <w:tc>
          <w:tcPr>
            <w:tcW w:type="dxa" w:w="3312"/>
            <w:vAlign w:val="center"/>
          </w:tcPr>
          <w:p>
            <w:pPr>
              <w:spacing w:after="20"/>
            </w:pPr>
            <w:r/>
            <w:r>
              <w:rPr>
                <w:rFonts w:ascii="Aptos" w:hAnsi="Aptos"/>
                <w:b w:val="0"/>
                <w:sz w:val="16"/>
              </w:rPr>
              <w:t>Memengaruhi formulir dan validasi approval.</w:t>
            </w:r>
          </w:p>
        </w:tc>
      </w:tr>
      <w:tr>
        <w:tc>
          <w:tcPr>
            <w:tcW w:type="dxa" w:w="3312"/>
            <w:vAlign w:val="center"/>
            <w:shd w:fill="F2F6F8"/>
          </w:tcPr>
          <w:p>
            <w:pPr>
              <w:spacing w:after="20"/>
            </w:pPr>
            <w:r/>
            <w:r>
              <w:rPr>
                <w:rFonts w:ascii="Aptos" w:hAnsi="Aptos"/>
                <w:b w:val="0"/>
                <w:sz w:val="16"/>
              </w:rPr>
              <w:t>Q-04</w:t>
            </w:r>
          </w:p>
        </w:tc>
        <w:tc>
          <w:tcPr>
            <w:tcW w:type="dxa" w:w="3312"/>
            <w:vAlign w:val="center"/>
            <w:shd w:fill="F2F6F8"/>
          </w:tcPr>
          <w:p>
            <w:pPr>
              <w:spacing w:after="20"/>
            </w:pPr>
            <w:r/>
            <w:r>
              <w:rPr>
                <w:rFonts w:ascii="Aptos" w:hAnsi="Aptos"/>
                <w:b w:val="0"/>
                <w:sz w:val="16"/>
              </w:rPr>
              <w:t>Apakah Owner perlu mengesahkan kategori tertentu pada stok awal selain pengesahan Warehouse?</w:t>
            </w:r>
          </w:p>
        </w:tc>
        <w:tc>
          <w:tcPr>
            <w:tcW w:type="dxa" w:w="3312"/>
            <w:vAlign w:val="center"/>
            <w:shd w:fill="F2F6F8"/>
          </w:tcPr>
          <w:p>
            <w:pPr>
              <w:spacing w:after="20"/>
            </w:pPr>
            <w:r/>
            <w:r>
              <w:rPr>
                <w:rFonts w:ascii="Aptos" w:hAnsi="Aptos"/>
                <w:b w:val="0"/>
                <w:sz w:val="16"/>
              </w:rPr>
              <w:t>Memengaruhi workflow stok awal.</w:t>
            </w:r>
          </w:p>
        </w:tc>
      </w:tr>
      <w:tr>
        <w:tc>
          <w:tcPr>
            <w:tcW w:type="dxa" w:w="3312"/>
            <w:vAlign w:val="center"/>
          </w:tcPr>
          <w:p>
            <w:pPr>
              <w:spacing w:after="20"/>
            </w:pPr>
            <w:r/>
            <w:r>
              <w:rPr>
                <w:rFonts w:ascii="Aptos" w:hAnsi="Aptos"/>
                <w:b w:val="0"/>
                <w:sz w:val="16"/>
              </w:rPr>
              <w:t>Q-05</w:t>
            </w:r>
          </w:p>
        </w:tc>
        <w:tc>
          <w:tcPr>
            <w:tcW w:type="dxa" w:w="3312"/>
            <w:vAlign w:val="center"/>
          </w:tcPr>
          <w:p>
            <w:pPr>
              <w:spacing w:after="20"/>
            </w:pPr>
            <w:r/>
            <w:r>
              <w:rPr>
                <w:rFonts w:ascii="Aptos" w:hAnsi="Aptos"/>
                <w:b w:val="0"/>
                <w:sz w:val="16"/>
              </w:rPr>
              <w:t>Apakah ekspor Excel/PDF wajib di versi pertama?</w:t>
            </w:r>
          </w:p>
        </w:tc>
        <w:tc>
          <w:tcPr>
            <w:tcW w:type="dxa" w:w="3312"/>
            <w:vAlign w:val="center"/>
          </w:tcPr>
          <w:p>
            <w:pPr>
              <w:spacing w:after="20"/>
            </w:pPr>
            <w:r/>
            <w:r>
              <w:rPr>
                <w:rFonts w:ascii="Aptos" w:hAnsi="Aptos"/>
                <w:b w:val="0"/>
                <w:sz w:val="16"/>
              </w:rPr>
              <w:t>Memengaruhi scope laporan dan estimasi implementasi.</w:t>
            </w:r>
          </w:p>
        </w:tc>
      </w:tr>
      <w:tr>
        <w:tc>
          <w:tcPr>
            <w:tcW w:type="dxa" w:w="3312"/>
            <w:vAlign w:val="center"/>
            <w:shd w:fill="F2F6F8"/>
          </w:tcPr>
          <w:p>
            <w:pPr>
              <w:spacing w:after="20"/>
            </w:pPr>
            <w:r/>
            <w:r>
              <w:rPr>
                <w:rFonts w:ascii="Aptos" w:hAnsi="Aptos"/>
                <w:b w:val="0"/>
                <w:sz w:val="16"/>
              </w:rPr>
              <w:t>Q-06</w:t>
            </w:r>
          </w:p>
        </w:tc>
        <w:tc>
          <w:tcPr>
            <w:tcW w:type="dxa" w:w="3312"/>
            <w:vAlign w:val="center"/>
            <w:shd w:fill="F2F6F8"/>
          </w:tcPr>
          <w:p>
            <w:pPr>
              <w:spacing w:after="20"/>
            </w:pPr>
            <w:r/>
            <w:r>
              <w:rPr>
                <w:rFonts w:ascii="Aptos" w:hAnsi="Aptos"/>
                <w:b w:val="0"/>
                <w:sz w:val="16"/>
              </w:rPr>
              <w:t>Bagaimana detail kepemilikan dan workflow barang eksternal pada MVP?</w:t>
            </w:r>
          </w:p>
        </w:tc>
        <w:tc>
          <w:tcPr>
            <w:tcW w:type="dxa" w:w="3312"/>
            <w:vAlign w:val="center"/>
            <w:shd w:fill="F2F6F8"/>
          </w:tcPr>
          <w:p>
            <w:pPr>
              <w:spacing w:after="20"/>
            </w:pPr>
            <w:r/>
            <w:r>
              <w:rPr>
                <w:rFonts w:ascii="Aptos" w:hAnsi="Aptos"/>
                <w:b w:val="0"/>
                <w:sz w:val="16"/>
              </w:rPr>
              <w:t>Memengaruhi model saldo dan penerimaan barang eksternal.</w:t>
            </w:r>
          </w:p>
        </w:tc>
      </w:tr>
      <w:tr>
        <w:tc>
          <w:tcPr>
            <w:tcW w:type="dxa" w:w="3312"/>
            <w:vAlign w:val="center"/>
          </w:tcPr>
          <w:p>
            <w:pPr>
              <w:spacing w:after="20"/>
            </w:pPr>
            <w:r/>
            <w:r>
              <w:rPr>
                <w:rFonts w:ascii="Aptos" w:hAnsi="Aptos"/>
                <w:b w:val="0"/>
                <w:sz w:val="16"/>
              </w:rPr>
              <w:t>Q-07</w:t>
            </w:r>
          </w:p>
        </w:tc>
        <w:tc>
          <w:tcPr>
            <w:tcW w:type="dxa" w:w="3312"/>
            <w:vAlign w:val="center"/>
          </w:tcPr>
          <w:p>
            <w:pPr>
              <w:spacing w:after="20"/>
            </w:pPr>
            <w:r/>
            <w:r>
              <w:rPr>
                <w:rFonts w:ascii="Aptos" w:hAnsi="Aptos"/>
                <w:b w:val="0"/>
                <w:sz w:val="16"/>
              </w:rPr>
              <w:t>Apakah penyesuaian yang telah disetujui dapat dibalik, dan siapa yang berwenang?</w:t>
            </w:r>
          </w:p>
        </w:tc>
        <w:tc>
          <w:tcPr>
            <w:tcW w:type="dxa" w:w="3312"/>
            <w:vAlign w:val="center"/>
          </w:tcPr>
          <w:p>
            <w:pPr>
              <w:spacing w:after="20"/>
            </w:pPr>
            <w:r/>
            <w:r>
              <w:rPr>
                <w:rFonts w:ascii="Aptos" w:hAnsi="Aptos"/>
                <w:b w:val="0"/>
                <w:sz w:val="16"/>
              </w:rPr>
              <w:t>Memengaruhi kontrol koreksi transaksi.</w:t>
            </w:r>
          </w:p>
        </w:tc>
      </w:tr>
      <w:tr>
        <w:tc>
          <w:tcPr>
            <w:tcW w:type="dxa" w:w="3312"/>
            <w:vAlign w:val="center"/>
            <w:shd w:fill="F2F6F8"/>
          </w:tcPr>
          <w:p>
            <w:pPr>
              <w:spacing w:after="20"/>
            </w:pPr>
            <w:r/>
            <w:r>
              <w:rPr>
                <w:rFonts w:ascii="Aptos" w:hAnsi="Aptos"/>
                <w:b w:val="0"/>
                <w:sz w:val="16"/>
              </w:rPr>
              <w:t>Q-08</w:t>
            </w:r>
          </w:p>
        </w:tc>
        <w:tc>
          <w:tcPr>
            <w:tcW w:type="dxa" w:w="3312"/>
            <w:vAlign w:val="center"/>
            <w:shd w:fill="F2F6F8"/>
          </w:tcPr>
          <w:p>
            <w:pPr>
              <w:spacing w:after="20"/>
            </w:pPr>
            <w:r/>
            <w:r>
              <w:rPr>
                <w:rFonts w:ascii="Aptos" w:hAnsi="Aptos"/>
                <w:b w:val="0"/>
                <w:sz w:val="16"/>
              </w:rPr>
              <w:t>Apa field wajib untuk kategori, spesifikasi, dan satuan barang?</w:t>
            </w:r>
          </w:p>
        </w:tc>
        <w:tc>
          <w:tcPr>
            <w:tcW w:type="dxa" w:w="3312"/>
            <w:vAlign w:val="center"/>
            <w:shd w:fill="F2F6F8"/>
          </w:tcPr>
          <w:p>
            <w:pPr>
              <w:spacing w:after="20"/>
            </w:pPr>
            <w:r/>
            <w:r>
              <w:rPr>
                <w:rFonts w:ascii="Aptos" w:hAnsi="Aptos"/>
                <w:b w:val="0"/>
                <w:sz w:val="16"/>
              </w:rPr>
              <w:t>Memengaruhi validasi master barang.</w:t>
            </w:r>
          </w:p>
        </w:tc>
      </w:tr>
      <w:tr>
        <w:tc>
          <w:tcPr>
            <w:tcW w:type="dxa" w:w="3312"/>
            <w:vAlign w:val="center"/>
          </w:tcPr>
          <w:p>
            <w:pPr>
              <w:spacing w:after="20"/>
            </w:pPr>
            <w:r/>
            <w:r>
              <w:rPr>
                <w:rFonts w:ascii="Aptos" w:hAnsi="Aptos"/>
                <w:b w:val="0"/>
                <w:sz w:val="16"/>
              </w:rPr>
              <w:t>Q-09</w:t>
            </w:r>
          </w:p>
        </w:tc>
        <w:tc>
          <w:tcPr>
            <w:tcW w:type="dxa" w:w="3312"/>
            <w:vAlign w:val="center"/>
          </w:tcPr>
          <w:p>
            <w:pPr>
              <w:spacing w:after="20"/>
            </w:pPr>
            <w:r/>
            <w:r>
              <w:rPr>
                <w:rFonts w:ascii="Aptos" w:hAnsi="Aptos"/>
                <w:b w:val="0"/>
                <w:sz w:val="16"/>
              </w:rPr>
              <w:t>Bagaimana prosedur jika Warehouse salah mengesahkan stok awal?</w:t>
            </w:r>
          </w:p>
        </w:tc>
        <w:tc>
          <w:tcPr>
            <w:tcW w:type="dxa" w:w="3312"/>
            <w:vAlign w:val="center"/>
          </w:tcPr>
          <w:p>
            <w:pPr>
              <w:spacing w:after="20"/>
            </w:pPr>
            <w:r/>
            <w:r>
              <w:rPr>
                <w:rFonts w:ascii="Aptos" w:hAnsi="Aptos"/>
                <w:b w:val="0"/>
                <w:sz w:val="16"/>
              </w:rPr>
              <w:t>Memengaruhi mekanisme koreksi dan audit.</w:t>
            </w:r>
          </w:p>
        </w:tc>
      </w:tr>
      <w:tr>
        <w:tc>
          <w:tcPr>
            <w:tcW w:type="dxa" w:w="3312"/>
            <w:vAlign w:val="center"/>
            <w:shd w:fill="F2F6F8"/>
          </w:tcPr>
          <w:p>
            <w:pPr>
              <w:spacing w:after="20"/>
            </w:pPr>
            <w:r/>
            <w:r>
              <w:rPr>
                <w:rFonts w:ascii="Aptos" w:hAnsi="Aptos"/>
                <w:b w:val="0"/>
                <w:sz w:val="16"/>
              </w:rPr>
              <w:t>Q-10</w:t>
            </w:r>
          </w:p>
        </w:tc>
        <w:tc>
          <w:tcPr>
            <w:tcW w:type="dxa" w:w="3312"/>
            <w:vAlign w:val="center"/>
            <w:shd w:fill="F2F6F8"/>
          </w:tcPr>
          <w:p>
            <w:pPr>
              <w:spacing w:after="20"/>
            </w:pPr>
            <w:r/>
            <w:r>
              <w:rPr>
                <w:rFonts w:ascii="Aptos" w:hAnsi="Aptos"/>
                <w:b w:val="0"/>
                <w:sz w:val="16"/>
              </w:rPr>
              <w:t>Paket RBAC Laravel apa yang akan digunakan atau apakah permission akan dibuat sendiri?</w:t>
            </w:r>
          </w:p>
        </w:tc>
        <w:tc>
          <w:tcPr>
            <w:tcW w:type="dxa" w:w="3312"/>
            <w:vAlign w:val="center"/>
            <w:shd w:fill="F2F6F8"/>
          </w:tcPr>
          <w:p>
            <w:pPr>
              <w:spacing w:after="20"/>
            </w:pPr>
            <w:r/>
            <w:r>
              <w:rPr>
                <w:rFonts w:ascii="Aptos" w:hAnsi="Aptos"/>
                <w:b w:val="0"/>
                <w:sz w:val="16"/>
              </w:rPr>
              <w:t>Memengaruhi implementasi autentikasi dan permission.</w:t>
            </w:r>
          </w:p>
        </w:tc>
      </w:tr>
    </w:tbl>
    <w:p/>
    <w:p>
      <w:r>
        <w:t>Pertanyaan terbuka tidak boleh diubah menjadi aturan final oleh agent tanpa konfirmasi pengguna.</w:t>
      </w:r>
    </w:p>
    <w:p>
      <w:pPr>
        <w:pStyle w:val="Heading1"/>
      </w:pPr>
      <w:r>
        <w:t>13. Acceptance dan Implementasi Bertahap</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5324B"/>
          </w:tcPr>
          <w:p>
            <w:pPr>
              <w:spacing w:after="20"/>
            </w:pPr>
            <w:r/>
            <w:r>
              <w:rPr>
                <w:rFonts w:ascii="Aptos" w:hAnsi="Aptos"/>
                <w:b/>
                <w:color w:val="FFFFFF"/>
                <w:sz w:val="17"/>
              </w:rPr>
              <w:t>Tahap</w:t>
            </w:r>
          </w:p>
        </w:tc>
        <w:tc>
          <w:tcPr>
            <w:tcW w:type="dxa" w:w="4968"/>
            <w:vAlign w:val="center"/>
            <w:shd w:fill="15324B"/>
          </w:tcPr>
          <w:p>
            <w:pPr>
              <w:spacing w:after="20"/>
            </w:pPr>
            <w:r/>
            <w:r>
              <w:rPr>
                <w:rFonts w:ascii="Aptos" w:hAnsi="Aptos"/>
                <w:b/>
                <w:color w:val="FFFFFF"/>
                <w:sz w:val="17"/>
              </w:rPr>
              <w:t>Hasil yang diharapkan</w:t>
            </w:r>
          </w:p>
        </w:tc>
      </w:tr>
      <w:tr>
        <w:tc>
          <w:tcPr>
            <w:tcW w:type="dxa" w:w="4968"/>
            <w:vAlign w:val="center"/>
          </w:tcPr>
          <w:p>
            <w:pPr>
              <w:spacing w:after="20"/>
            </w:pPr>
            <w:r/>
            <w:r>
              <w:rPr>
                <w:rFonts w:ascii="Aptos" w:hAnsi="Aptos"/>
                <w:b w:val="0"/>
                <w:sz w:val="16"/>
              </w:rPr>
              <w:t>1. Finalisasi discovery</w:t>
            </w:r>
          </w:p>
        </w:tc>
        <w:tc>
          <w:tcPr>
            <w:tcW w:type="dxa" w:w="4968"/>
            <w:vAlign w:val="center"/>
          </w:tcPr>
          <w:p>
            <w:pPr>
              <w:spacing w:after="20"/>
            </w:pPr>
            <w:r/>
            <w:r>
              <w:rPr>
                <w:rFonts w:ascii="Aptos" w:hAnsi="Aptos"/>
                <w:b w:val="0"/>
                <w:sz w:val="16"/>
              </w:rPr>
              <w:t>Konfirmasi pertanyaan terbuka yang berdampak pada model data.</w:t>
            </w:r>
          </w:p>
        </w:tc>
      </w:tr>
      <w:tr>
        <w:tc>
          <w:tcPr>
            <w:tcW w:type="dxa" w:w="4968"/>
            <w:vAlign w:val="center"/>
            <w:shd w:fill="F2F6F8"/>
          </w:tcPr>
          <w:p>
            <w:pPr>
              <w:spacing w:after="20"/>
            </w:pPr>
            <w:r/>
            <w:r>
              <w:rPr>
                <w:rFonts w:ascii="Aptos" w:hAnsi="Aptos"/>
                <w:b w:val="0"/>
                <w:sz w:val="16"/>
              </w:rPr>
              <w:t>2. Desain sistem</w:t>
            </w:r>
          </w:p>
        </w:tc>
        <w:tc>
          <w:tcPr>
            <w:tcW w:type="dxa" w:w="4968"/>
            <w:vAlign w:val="center"/>
            <w:shd w:fill="F2F6F8"/>
          </w:tcPr>
          <w:p>
            <w:pPr>
              <w:spacing w:after="20"/>
            </w:pPr>
            <w:r/>
            <w:r>
              <w:rPr>
                <w:rFonts w:ascii="Aptos" w:hAnsi="Aptos"/>
                <w:b w:val="0"/>
                <w:sz w:val="16"/>
              </w:rPr>
              <w:t>ERD final, data dictionary, permission matrix, status workflow, dan migration plan.</w:t>
            </w:r>
          </w:p>
        </w:tc>
      </w:tr>
      <w:tr>
        <w:tc>
          <w:tcPr>
            <w:tcW w:type="dxa" w:w="4968"/>
            <w:vAlign w:val="center"/>
          </w:tcPr>
          <w:p>
            <w:pPr>
              <w:spacing w:after="20"/>
            </w:pPr>
            <w:r/>
            <w:r>
              <w:rPr>
                <w:rFonts w:ascii="Aptos" w:hAnsi="Aptos"/>
                <w:b w:val="0"/>
                <w:sz w:val="16"/>
              </w:rPr>
              <w:t>3. Fondasi aplikasi</w:t>
            </w:r>
          </w:p>
        </w:tc>
        <w:tc>
          <w:tcPr>
            <w:tcW w:type="dxa" w:w="4968"/>
            <w:vAlign w:val="center"/>
          </w:tcPr>
          <w:p>
            <w:pPr>
              <w:spacing w:after="20"/>
            </w:pPr>
            <w:r/>
            <w:r>
              <w:rPr>
                <w:rFonts w:ascii="Aptos" w:hAnsi="Aptos"/>
                <w:b w:val="0"/>
                <w:sz w:val="16"/>
              </w:rPr>
              <w:t>Laravel, koneksi PostgreSQL, autentikasi, RBAC, layout Blade, audit trail.</w:t>
            </w:r>
          </w:p>
        </w:tc>
      </w:tr>
      <w:tr>
        <w:tc>
          <w:tcPr>
            <w:tcW w:type="dxa" w:w="4968"/>
            <w:vAlign w:val="center"/>
            <w:shd w:fill="F2F6F8"/>
          </w:tcPr>
          <w:p>
            <w:pPr>
              <w:spacing w:after="20"/>
            </w:pPr>
            <w:r/>
            <w:r>
              <w:rPr>
                <w:rFonts w:ascii="Aptos" w:hAnsi="Aptos"/>
                <w:b w:val="0"/>
                <w:sz w:val="16"/>
              </w:rPr>
              <w:t>4. Master data</w:t>
            </w:r>
          </w:p>
        </w:tc>
        <w:tc>
          <w:tcPr>
            <w:tcW w:type="dxa" w:w="4968"/>
            <w:vAlign w:val="center"/>
            <w:shd w:fill="F2F6F8"/>
          </w:tcPr>
          <w:p>
            <w:pPr>
              <w:spacing w:after="20"/>
            </w:pPr>
            <w:r/>
            <w:r>
              <w:rPr>
                <w:rFonts w:ascii="Aptos" w:hAnsi="Aptos"/>
                <w:b w:val="0"/>
                <w:sz w:val="16"/>
              </w:rPr>
              <w:t>CRUD kategori, satuan, lokasi, dan barang.</w:t>
            </w:r>
          </w:p>
        </w:tc>
      </w:tr>
      <w:tr>
        <w:tc>
          <w:tcPr>
            <w:tcW w:type="dxa" w:w="4968"/>
            <w:vAlign w:val="center"/>
          </w:tcPr>
          <w:p>
            <w:pPr>
              <w:spacing w:after="20"/>
            </w:pPr>
            <w:r/>
            <w:r>
              <w:rPr>
                <w:rFonts w:ascii="Aptos" w:hAnsi="Aptos"/>
                <w:b w:val="0"/>
                <w:sz w:val="16"/>
              </w:rPr>
              <w:t>5. Stok awal</w:t>
            </w:r>
          </w:p>
        </w:tc>
        <w:tc>
          <w:tcPr>
            <w:tcW w:type="dxa" w:w="4968"/>
            <w:vAlign w:val="center"/>
          </w:tcPr>
          <w:p>
            <w:pPr>
              <w:spacing w:after="20"/>
            </w:pPr>
            <w:r/>
            <w:r>
              <w:rPr>
                <w:rFonts w:ascii="Aptos" w:hAnsi="Aptos"/>
                <w:b w:val="0"/>
                <w:sz w:val="16"/>
              </w:rPr>
              <w:t>Import/entry, pendataan fisik, rekonsiliasi, pengesahan Warehouse.</w:t>
            </w:r>
          </w:p>
        </w:tc>
      </w:tr>
      <w:tr>
        <w:tc>
          <w:tcPr>
            <w:tcW w:type="dxa" w:w="4968"/>
            <w:vAlign w:val="center"/>
            <w:shd w:fill="F2F6F8"/>
          </w:tcPr>
          <w:p>
            <w:pPr>
              <w:spacing w:after="20"/>
            </w:pPr>
            <w:r/>
            <w:r>
              <w:rPr>
                <w:rFonts w:ascii="Aptos" w:hAnsi="Aptos"/>
                <w:b w:val="0"/>
                <w:sz w:val="16"/>
              </w:rPr>
              <w:t>6. Mutasi</w:t>
            </w:r>
          </w:p>
        </w:tc>
        <w:tc>
          <w:tcPr>
            <w:tcW w:type="dxa" w:w="4968"/>
            <w:vAlign w:val="center"/>
            <w:shd w:fill="F2F6F8"/>
          </w:tcPr>
          <w:p>
            <w:pPr>
              <w:spacing w:after="20"/>
            </w:pPr>
            <w:r/>
            <w:r>
              <w:rPr>
                <w:rFonts w:ascii="Aptos" w:hAnsi="Aptos"/>
                <w:b w:val="0"/>
                <w:sz w:val="16"/>
              </w:rPr>
              <w:t>Penerimaan, pengeluaran, transfer, permintaan dan approval penyesuaian.</w:t>
            </w:r>
          </w:p>
        </w:tc>
      </w:tr>
      <w:tr>
        <w:tc>
          <w:tcPr>
            <w:tcW w:type="dxa" w:w="4968"/>
            <w:vAlign w:val="center"/>
          </w:tcPr>
          <w:p>
            <w:pPr>
              <w:spacing w:after="20"/>
            </w:pPr>
            <w:r/>
            <w:r>
              <w:rPr>
                <w:rFonts w:ascii="Aptos" w:hAnsi="Aptos"/>
                <w:b w:val="0"/>
                <w:sz w:val="16"/>
              </w:rPr>
              <w:t>7. Laporan dan pengujian</w:t>
            </w:r>
          </w:p>
        </w:tc>
        <w:tc>
          <w:tcPr>
            <w:tcW w:type="dxa" w:w="4968"/>
            <w:vAlign w:val="center"/>
          </w:tcPr>
          <w:p>
            <w:pPr>
              <w:spacing w:after="20"/>
            </w:pPr>
            <w:r/>
            <w:r>
              <w:rPr>
                <w:rFonts w:ascii="Aptos" w:hAnsi="Aptos"/>
                <w:b w:val="0"/>
                <w:sz w:val="16"/>
              </w:rPr>
              <w:t>Dashboard, filter, laporan, pengujian permission, konsistensi saldo, dan audit.</w:t>
            </w:r>
          </w:p>
        </w:tc>
      </w:tr>
    </w:tbl>
    <w:p/>
    <w:p>
      <w:pPr>
        <w:pStyle w:val="Heading1"/>
      </w:pPr>
      <w:r>
        <w:t>14. Instruksi untuk Agent Pengembangan</w:t>
      </w:r>
    </w:p>
    <w:p>
      <w:pPr>
        <w:pStyle w:val="ListBullet"/>
        <w:spacing w:after="40"/>
      </w:pPr>
      <w:r>
        <w:t>Gunakan dokumen ini sebagai konteks kebutuhan, bukan izin untuk menganggap semua usulan sebagai keputusan final.</w:t>
      </w:r>
    </w:p>
    <w:p>
      <w:pPr>
        <w:pStyle w:val="ListBullet"/>
        <w:spacing w:after="40"/>
      </w:pPr>
      <w:r>
        <w:t>Pertahankan pemisahan antara keputusan terkonfirmasi, usulan, dan pertanyaan terbuka.</w:t>
      </w:r>
    </w:p>
    <w:p>
      <w:pPr>
        <w:pStyle w:val="ListBullet"/>
        <w:spacing w:after="40"/>
      </w:pPr>
      <w:r>
        <w:t>Sebelum coding besar, periksa repository yang sudah ada: struktur Laravel, versi PHP/Laravel, dependensi, autentikasi, migration, dan pola UI.</w:t>
      </w:r>
    </w:p>
    <w:p>
      <w:pPr>
        <w:pStyle w:val="ListBullet"/>
        <w:spacing w:after="40"/>
      </w:pPr>
      <w:r>
        <w:t>Jangan mengganti stack yang dipilih: PostgreSQL, Laravel, dan Blade, kecuali pengguna secara eksplisit meminta perubahan.</w:t>
      </w:r>
    </w:p>
    <w:p>
      <w:pPr>
        <w:pStyle w:val="ListBullet"/>
        <w:spacing w:after="40"/>
      </w:pPr>
      <w:r>
        <w:t>Ajukan pertanyaan bila keputusan terbuka memengaruhi skema database, keamanan, atau alur transaksi.</w:t>
      </w:r>
    </w:p>
    <w:p>
      <w:pPr>
        <w:pStyle w:val="ListBullet"/>
        <w:spacing w:after="40"/>
      </w:pPr>
      <w:r>
        <w:t>Utamakan integritas stok, auditability, authorization server-side, validasi, dan transaksi database.</w:t>
      </w:r>
    </w:p>
    <w:p>
      <w:pPr>
        <w:pStyle w:val="ListBullet"/>
        <w:spacing w:after="40"/>
      </w:pPr>
      <w:r>
        <w:t>Jangan membangun modul tahap lanjutan sebelum MVP inventori disepakati.</w:t>
      </w:r>
    </w:p>
    <w:p>
      <w:pPr>
        <w:pStyle w:val="ListBullet"/>
        <w:spacing w:after="40"/>
      </w:pPr>
      <w:r>
        <w:t>Saat mengusulkan perubahan PRD, jelaskan alasan, dampak pada data, RBAC, dan acceptance criteria.</w:t>
      </w:r>
    </w:p>
    <w:p>
      <w:pPr>
        <w:pStyle w:val="Heading1"/>
      </w:pPr>
      <w:r>
        <w:t>Lampiran A — Konteks Bisnis Jangka Panjang</w:t>
      </w:r>
    </w:p>
    <w:p>
      <w:r>
        <w:t>Sistem operasional Omah Visual LED di masa depan dapat mencakup rental, service, purchasing, sales, peminjaman/sewa peralatan eksternal, pembayaran, invoice, serta alur persiapan dan pengembalian event. Alur operasional yang pernah dibahas meliputi order, persiapan SDM dan barang, SPK, instalasi, dokumentasi, pembongkaran, rekonsiliasi gudang, penagihan, dan evaluasi. Konteks ini digunakan untuk menghindari desain inventori yang menghambat ekspansi, tetapi bukan berarti semua modul tersebut termasuk dalam MVP.</w:t>
      </w:r>
    </w:p>
    <w:p>
      <w:r>
        <w:t>Aturan bisnis historis seperti DP, tarif rental per hari, denda pembatalan, logistik, dan uang operasional belum dimasukkan sebagai aturan final PRD inventori dan perlu divalidasi kembali ketika modul rental/keuangan dibahas.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PRD Web Inventory Omah Visual LED • Draft 0.2  |  Halaman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324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6B8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32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