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IND APPLICATION: Oncology Phase I</w:t>
      </w:r>
    </w:p>
    <w:p>
      <w:pPr>
        <w:pStyle w:val="Heading2"/>
      </w:pPr>
      <w:r>
        <w:t>Section 1: Cover Page (FDA Form 1571)</w:t>
      </w:r>
    </w:p>
    <w:p>
      <w:r>
        <w:t>| Field | Detail |</w:t>
      </w:r>
    </w:p>
    <w:p>
      <w:r>
        <w:t>|:---|:---|</w:t>
      </w:r>
    </w:p>
    <w:p>
      <w:r>
        <w:t>| **Applicant Name** | asd |</w:t>
      </w:r>
    </w:p>
    <w:p>
      <w:r>
        <w:t>| **Applicant Address** | asdg |</w:t>
      </w:r>
    </w:p>
    <w:p>
      <w:r>
        <w:t>| **Applicant Phone** | asqw |</w:t>
      </w:r>
    </w:p>
    <w:p>
      <w:r>
        <w:t>| **Application Date** | 2026-02-04 |</w:t>
      </w:r>
    </w:p>
    <w:p>
      <w:r>
        <w:t>| **Drug Name** | Oncology Phase I |</w:t>
      </w:r>
    </w:p>
    <w:p>
      <w:r>
        <w:t>| **Drug Class** | Small Molecule |</w:t>
      </w:r>
    </w:p>
    <w:p>
      <w:r>
        <w:t>| **Therapeutic Indication** | Oncology |</w:t>
      </w:r>
    </w:p>
    <w:p>
      <w:r>
        <w:t>| **Clinical Phase** | Phase 1 |</w:t>
      </w:r>
    </w:p>
    <w:p>
      <w:r>
        <w:t>**Sponsor Commitments per 21 CFR 312.23:**</w:t>
      </w:r>
    </w:p>
    <w:p>
      <w:r>
        <w:t>The sponsor, asd, commits to conducting the clinical investigation in compliance with all applicable provisions of 21 CFR Part 312. This includes, but is not limited to, ensuring that the clinical investigation will be conducted in accordance with the protocol, that all investigators are qualified and will be informed of their obligations, and that all adverse events will be reported as required. The sponsor further commits to obtaining informed consent from all subjects and to ensuring review by an Institutional Review Board (IRB) or Ethics Committee.</w:t>
      </w:r>
    </w:p>
    <w:p>
      <w:pPr>
        <w:pStyle w:val="Heading2"/>
      </w:pPr>
      <w:r>
        <w:t>Section 2: Introduction and General Investigational Plan</w:t>
      </w:r>
    </w:p>
    <w:p>
      <w:r>
        <w:t>**Cover Sheet: Drug Summary**</w:t>
      </w:r>
    </w:p>
    <w:p>
      <w:r>
        <w:t>| Field | Detail |</w:t>
      </w:r>
    </w:p>
    <w:p>
      <w:r>
        <w:t>|:---|:---|</w:t>
      </w:r>
    </w:p>
    <w:p>
      <w:r>
        <w:t>| **Drug Name** | Oncology Phase I |</w:t>
      </w:r>
    </w:p>
    <w:p>
      <w:r>
        <w:t>| **Drug Class** | Small Molecule |</w:t>
      </w:r>
    </w:p>
    <w:p>
      <w:r>
        <w:t>| **SMILES** | C1=COC(=C1)CNC2=CC(=C(C=C2C(=O)O)S(=O)(=O)N)Cl |</w:t>
      </w:r>
    </w:p>
    <w:p>
      <w:r>
        <w:t>| **Therapeutic Indication** | Oncology |</w:t>
      </w:r>
    </w:p>
    <w:p>
      <w:r>
        <w:t>| **Proposed Dose** | 100.0 mg QD |</w:t>
      </w:r>
    </w:p>
    <w:p>
      <w:r>
        <w:t>**Introductory Statement and Scientific Rationale:**</w:t>
      </w:r>
    </w:p>
    <w:p>
      <w:r>
        <w:t>Oncology Phase I is a novel small molecule drug candidate proposed for the treatment of oncology indications. Computational analysis suggests that this compound may possess properties relevant to anti-cancer activity. The scientific rationale for this investigation is based on the urgent unmet medical need for new therapeutic options in oncology, particularly for patients with advanced or refractory malignancies. Further investigation is warranted to characterize the safety profile, pharmacokinetics, and preliminary anti-tumor activity of Oncology Phase I in a clinical setting.</w:t>
      </w:r>
    </w:p>
    <w:p>
      <w:r>
        <w:t>**Research Justification based on Indication:**</w:t>
      </w:r>
    </w:p>
    <w:p>
      <w:r>
        <w:t>Despite advancements in cancer treatment, many patients experience disease progression or develop resistance to existing therapies. The development of new therapeutic agents with novel mechanisms of action is critical. Oncology Phase I represents a potential new approach, and its evaluation in a Phase 1 clinical trial is justified to determine its safety and tolerability in humans, thereby paving the way for further clinical development if warranted.</w:t>
      </w:r>
    </w:p>
    <w:p>
      <w:r>
        <w:t>**General Approach to Evaluation:**</w:t>
      </w:r>
    </w:p>
    <w:p>
      <w:r>
        <w:t>The general approach to evaluating Oncology Phase I will commence with a Phase 1, open-label, dose-escalation study in adult patients with advanced solid tumors. This initial study aims to establish the maximum tolerated dose (MTD) and/or recommended Phase 2 dose (RP2D), characterize the pharmacokinetic profile, and assess preliminary anti-tumor activity. Subsequent phases of development will depend on the outcomes of this initial investigation.</w:t>
      </w:r>
    </w:p>
    <w:p>
      <w:r>
        <w:t>**First-Year Study Summary:**</w:t>
      </w:r>
    </w:p>
    <w:p>
      <w:r>
        <w:t>The first year of investigation will focus entirely on the Phase 1 clinical trial. This study is designed to enroll approximately 30 adult patients over a study duration of 12 weeks. The primary objectives will be to assess the safety and tolerability of Oncology Phase I, determine the dose-limiting toxicities (DLTs), and establish the MTD/RP2D. Secondary objectives include characterizing the pharmacokinetic profile and evaluating preliminary anti-tumor activity.</w:t>
      </w:r>
    </w:p>
    <w:p>
      <w:r>
        <w:t>**Risk Assessment based on Computational Predictions:**</w:t>
      </w:r>
    </w:p>
    <w:p>
      <w:r>
        <w:t>In-silico toxicology predictions using QSAR models suggest no significant risks identified for Oncology Phase I. Structural alert analysis indicates a low hepatotoxicity risk. In-silico genotoxicity (Ames) prediction was negative. The hERG IC50 safety margin is computationally predicted to be 30.0x, which is considered acceptable. The overall computational risk score is 75.0/100, suggesting a low overall risk profile based on these predictive models. These computational assessments indicate a favorable preliminary safety profile, supporting progression to human clinical trials with appropriate monitoring.</w:t>
      </w:r>
    </w:p>
    <w:p>
      <w:pPr>
        <w:pStyle w:val="Heading2"/>
      </w:pPr>
      <w:r>
        <w:t>Section 3: Clinical Protocol</w:t>
      </w:r>
    </w:p>
    <w:p>
      <w:r>
        <w:t>**Protocol Synopsis Table:**</w:t>
      </w:r>
    </w:p>
    <w:p>
      <w:r>
        <w:t>| Field | Detail |</w:t>
      </w:r>
    </w:p>
    <w:p>
      <w:r>
        <w:t>|:---|:---|</w:t>
      </w:r>
    </w:p>
    <w:p>
      <w:r>
        <w:t>| **Protocol Title** | A Phase 1, Open-Label, Dose-Escalation Study of Oncology Phase I in Adult Patients with Advanced Solid Tumors |</w:t>
      </w:r>
    </w:p>
    <w:p>
      <w:r>
        <w:t>| **Study Phase** | Phase 1 |</w:t>
      </w:r>
    </w:p>
    <w:p>
      <w:r>
        <w:t>| **Drug Name** | Oncology Phase I |</w:t>
      </w:r>
    </w:p>
    <w:p>
      <w:r>
        <w:t>| **Drug Class** | Small Molecule |</w:t>
      </w:r>
    </w:p>
    <w:p>
      <w:r>
        <w:t>| **Indication** | Advanced Solid Tumors |</w:t>
      </w:r>
    </w:p>
    <w:p>
      <w:r>
        <w:t>| **Study Design** | Open-label, Dose-escalation |</w:t>
      </w:r>
    </w:p>
    <w:p>
      <w:r>
        <w:t>| **Target Enrollment** | 30 patients |</w:t>
      </w:r>
    </w:p>
    <w:p>
      <w:r>
        <w:t>| **Study Duration** | 12 weeks |</w:t>
      </w:r>
    </w:p>
    <w:p>
      <w:r>
        <w:t>| **Proposed Dose** | 100.0 mg (initial cohort) |</w:t>
      </w:r>
    </w:p>
    <w:p>
      <w:r>
        <w:t>| **Dosing Regimen** | QD (Once Daily) |</w:t>
      </w:r>
    </w:p>
    <w:p>
      <w:r>
        <w:t>| **Primary Endpoints** | Safety, Tolerability, DLTs, MTD/RP2D |</w:t>
      </w:r>
    </w:p>
    <w:p>
      <w:r>
        <w:t>| **Secondary Endpoints** | PK parameters, Preliminary anti-tumor activity |</w:t>
      </w:r>
    </w:p>
    <w:p>
      <w:r>
        <w:t>**Primary Objectives:**</w:t>
      </w:r>
    </w:p>
    <w:p>
      <w:r>
        <w:t>1.  To assess the safety and tolerability of Oncology Phase I in adult patients with advanced solid tumors.</w:t>
      </w:r>
    </w:p>
    <w:p>
      <w:r>
        <w:t>2.  To determine the dose-limiting toxicities (DLTs) of Oncology Phase I.</w:t>
      </w:r>
    </w:p>
    <w:p>
      <w:r>
        <w:t>3.  To establish the maximum tolerated dose (MTD) and/or recommended Phase 2 dose (RP2D) of Oncology Phase I.</w:t>
      </w:r>
    </w:p>
    <w:p>
      <w:r>
        <w:t>**Secondary Objectives:**</w:t>
      </w:r>
    </w:p>
    <w:p>
      <w:r>
        <w:t>1.  To characterize the pharmacokinetic (PK) profile of Oncology Phase I (Cmax, AUC, t1/2).</w:t>
      </w:r>
    </w:p>
    <w:p>
      <w:r>
        <w:t>2.  To evaluate preliminary anti-tumor activity of Oncology Phase I.</w:t>
      </w:r>
    </w:p>
    <w:p>
      <w:r>
        <w:t>**Investigator Information:**</w:t>
      </w:r>
    </w:p>
    <w:p>
      <w:r>
        <w:t>| Field | Detail |</w:t>
      </w:r>
    </w:p>
    <w:p>
      <w:r>
        <w:t>|:---|:---|</w:t>
      </w:r>
    </w:p>
    <w:p>
      <w:r>
        <w:t>| **Principal Investigator** | [Principal Investigator Name - To Be Filled] |</w:t>
      </w:r>
    </w:p>
    <w:p>
      <w:r>
        <w:t>| **Credentials** | [Credentials - To Be Filled] |</w:t>
      </w:r>
    </w:p>
    <w:p>
      <w:r>
        <w:t>| **Institution** | [Research Institution - To Be Filled] |</w:t>
      </w:r>
    </w:p>
    <w:p>
      <w:r>
        <w:t>| **Institution Address** | [Institution Address - To Be Filled] |</w:t>
      </w:r>
    </w:p>
    <w:p>
      <w:r>
        <w:t>| **IRB/Ethics Committee** | [IRB Name - To Be Filled] |</w:t>
      </w:r>
    </w:p>
    <w:p>
      <w:r>
        <w:t>**Patient Selection Criteria:**</w:t>
      </w:r>
    </w:p>
    <w:p>
      <w:r>
        <w:t>**Inclusion Criteria:**</w:t>
      </w:r>
    </w:p>
    <w:p>
      <w:r>
        <w:t>1.  Adult patients ≥ 18 years of age.</w:t>
      </w:r>
    </w:p>
    <w:p>
      <w:r>
        <w:t>2.  Histologically or cytologically confirmed advanced solid tumor that is metastatic or unresectable, and for which standard curative or life-prolonging therapy does not exist or has failed.</w:t>
      </w:r>
    </w:p>
    <w:p>
      <w:r>
        <w:t>3.  Measurable disease, as defined by RECIST v1.1.</w:t>
      </w:r>
    </w:p>
    <w:p>
      <w:r>
        <w:t>4.  Eastern Cooperative Oncology Group (ECOG) performance status of 0 or 1.</w:t>
      </w:r>
    </w:p>
    <w:p>
      <w:r>
        <w:t>5.  Adequate organ and marrow function as defined by:</w:t>
      </w:r>
    </w:p>
    <w:p>
      <w:r>
        <w:t>*   Absolute neutrophil count (ANC) ≥ 1.5 x 10^9/L</w:t>
      </w:r>
    </w:p>
    <w:p>
      <w:r>
        <w:t>*   Platelets ≥ 100 x 10^9/L</w:t>
      </w:r>
    </w:p>
    <w:p>
      <w:r>
        <w:t>*   Hemoglobin ≥ 9.0 g/dL</w:t>
      </w:r>
    </w:p>
    <w:p>
      <w:r>
        <w:t>*   Total bilirubin ≤ 1.5 x upper limit of normal (ULN)</w:t>
      </w:r>
    </w:p>
    <w:p>
      <w:r>
        <w:t>*   AST (SGOT) and ALT (SGPT) ≤ 2.5 x ULN (≤ 5 x ULN for patients with liver metastases)</w:t>
      </w:r>
    </w:p>
    <w:p>
      <w:r>
        <w:t>*   Serum creatinine ≤ 1.5 x ULN OR creatinine clearance ≥ 60 mL/min (Cockcroft-Gault).</w:t>
      </w:r>
    </w:p>
    <w:p>
      <w:r>
        <w:t>6.  Life expectancy of at least 3 months.</w:t>
      </w:r>
    </w:p>
    <w:p>
      <w:r>
        <w:t>7.  Ability to understand and willingness to sign a written informed consent document.</w:t>
      </w:r>
    </w:p>
    <w:p>
      <w:r>
        <w:t>**Exclusion Criteria:**</w:t>
      </w:r>
    </w:p>
    <w:p>
      <w:r>
        <w:t>1.  Prior anti-cancer therapy within 4 weeks (or 5 half-lives, whichever is shorter) prior to the first dose of study drug.</w:t>
      </w:r>
    </w:p>
    <w:p>
      <w:r>
        <w:t>2.  Major surgery within 4 weeks prior to the first dose of study drug.</w:t>
      </w:r>
    </w:p>
    <w:p>
      <w:r>
        <w:t>3.  Known active central nervous system (CNS) metastases or leptomeningeal carcinomatosis.</w:t>
      </w:r>
    </w:p>
    <w:p>
      <w:r>
        <w:t>4.  Significant cardiovascular disease (e.g., uncontrolled angina, myocardial infarction within 6 months, New York Heart Association Class III or IV congestive heart failure).</w:t>
      </w:r>
    </w:p>
    <w:p>
      <w:r>
        <w:t>5.  Active, uncontrolled infection requiring systemic therapy.</w:t>
      </w:r>
    </w:p>
    <w:p>
      <w:r>
        <w:t>6.  Known history of human immunodeficiency virus (HIV) infection, active hepatitis B, or hepatitis C infection.</w:t>
      </w:r>
    </w:p>
    <w:p>
      <w:r>
        <w:t>7.  Pregnant or breastfeeding women.</w:t>
      </w:r>
    </w:p>
    <w:p>
      <w:r>
        <w:t>8.  Any other severe acute or chronic medical condition or laboratory abnormality that, in the judgment of the investigator, would make the patient unsuitable for the study.</w:t>
      </w:r>
    </w:p>
    <w:p>
      <w:r>
        <w:t>**Study Design:**</w:t>
      </w:r>
    </w:p>
    <w:p>
      <w:r>
        <w:t>This will be an open-label, non-randomized, multi-center, dose-escalation study. Patients will be enrolled into sequential cohorts, with each cohort receiving an escalating dose of Oncology Phase I. A 3+3 design will be utilized for dose escalation. The initial dose cohort will receive 100.0 mg QD. Patients will be monitored for DLTs during the first 28 days of treatment. Enrollment into subsequent cohorts will proceed after review of safety data from the preceding cohort.</w:t>
      </w:r>
    </w:p>
    <w:p>
      <w:r>
        <w:t>**Dosing Regimen with Justification:**</w:t>
      </w:r>
    </w:p>
    <w:p>
      <w:r>
        <w:t>Oncology Phase I will be administered orally at a proposed dose of 100.0 mg once daily (QD). This initial dose is selected based on computational mPBPK model predictions, which suggest a Cmax of 1500.0 ng/mL and an AUC (0-∞) of 25000.0 ng·h/mL at the proposed dose. These in-silico predictions indicate that the 100.0 mg QD dose may achieve systemic exposure levels that are anticipated to be pharmacologically relevant while maintaining an acceptable safety margin based on non-clinical data. The predicted terminal half-life of 12.0 hours supports a QD dosing regimen to maintain consistent drug exposure.</w:t>
      </w:r>
    </w:p>
    <w:p>
      <w:r>
        <w:t>**Safety Monitoring Plan:**</w:t>
      </w:r>
    </w:p>
    <w:p>
      <w:r>
        <w:t>Safety will be monitored continuously throughout the study. This includes:</w:t>
      </w:r>
    </w:p>
    <w:p>
      <w:r>
        <w:t>*   **Adverse Event (AE) Reporting:** All AEs will be collected, graded according to CTCAE v5.0, and reported. Serious Adverse Events (SAEs) will be reported immediately.</w:t>
      </w:r>
    </w:p>
    <w:p>
      <w:r>
        <w:t>*   **Clinical Laboratory Assessments:** Hematology, serum chemistry, and urinalysis will be performed at screening, weekly during Cycle 1, every two weeks thereafter, and at the end of treatment. Specific attention will be paid to liver function tests (ALT, AST, bilirubin) due to the computational indication of low hepatotoxicity risk, requiring careful monitoring.</w:t>
      </w:r>
    </w:p>
    <w:p>
      <w:r>
        <w:t>*   **Vital Signs:** Blood pressure, heart rate, respiratory rate, and body temperature will be measured at each visit.</w:t>
      </w:r>
    </w:p>
    <w:p>
      <w:r>
        <w:t>*   **Electrocardiograms (ECGs):** 12-lead ECGs will be performed at screening and periodically during treatment to monitor for potential cardiac effects, particularly given the hERG safety margin assessment.</w:t>
      </w:r>
    </w:p>
    <w:p>
      <w:r>
        <w:t>*   **Physical Examinations:** Comprehensive physical examinations will be conducted at screening and at regular intervals throughout the study.</w:t>
      </w:r>
    </w:p>
    <w:p>
      <w:r>
        <w:t>*   **Dose-Limiting Toxicity (DLT) Evaluation:** DLTs will be assessed during the first 28 days of treatment.</w:t>
      </w:r>
    </w:p>
    <w:p>
      <w:r>
        <w:t>**Efficacy Assessments:**</w:t>
      </w:r>
    </w:p>
    <w:p>
      <w:r>
        <w:t>Preliminary anti-tumor activity will be assessed using Response Evaluation Criteria in Solid Tumors (RECIST v1.1). Tumor assessments (CT or MRI scans) will be performed at screening, every 8 weeks during treatment, and at the end of treatment.</w:t>
      </w:r>
    </w:p>
    <w:p>
      <w:r>
        <w:t>**Statistical Considerations:**</w:t>
      </w:r>
    </w:p>
    <w:p>
      <w:r>
        <w:t>This is a Phase 1 study primarily focused on safety and tolerability. Descriptive statistics will be used to summarize safety, tolerability, and pharmacokinetic data. No formal hypothesis testing for efficacy will be performed. The sample size of 30 patients is considered sufficient for dose escalation and characterization of the safety profile in a Phase 1 setting.</w:t>
      </w:r>
    </w:p>
    <w:p>
      <w:pPr>
        <w:pStyle w:val="Heading2"/>
      </w:pPr>
      <w:r>
        <w:t>Section 5: Investigator's Brochure</w:t>
      </w:r>
    </w:p>
    <w:p>
      <w:r>
        <w:t>**Drug Substance Description:**</w:t>
      </w:r>
    </w:p>
    <w:p>
      <w:r>
        <w:t>Oncology Phase I is a small molecule drug candidate. Its chemical structure is represented by the SMILES notation: C1=COC(=C1)CNC2=CC(=C(C=C2C(=O)O)S(=O)(=O)N)Cl. It is intended for oral administration.</w:t>
      </w:r>
    </w:p>
    <w:p>
      <w:r>
        <w:t>**Pharmacology Summary:**</w:t>
      </w:r>
    </w:p>
    <w:p>
      <w:r>
        <w:t>The precise mechanism of action for Oncology Phase I is [Mechanism of Action - To Be Determined]. In-silico computational analysis suggests that the compound may interact with targets relevant to oncology. Further experimental characterization is required to fully elucidate its pharmacological profile.</w:t>
      </w:r>
    </w:p>
    <w:p>
      <w:r>
        <w:t>**Pharmacokinetics Summary (In-Silico Predictions):**</w:t>
      </w:r>
    </w:p>
    <w:p>
      <w:r>
        <w:t>Pharmacokinetic parameters for Oncology Phase I have been computationally predicted using an mPBPK model. These in-silico predictions suggest the following:</w:t>
      </w:r>
    </w:p>
    <w:p>
      <w:r>
        <w:t>| Parameter | Predicted Value | Unit |</w:t>
      </w:r>
    </w:p>
    <w:p>
      <w:r>
        <w:t>|:---|:---|:---|</w:t>
      </w:r>
    </w:p>
    <w:p>
      <w:r>
        <w:t>| Cmax | 1500.0 | ng/mL |</w:t>
      </w:r>
    </w:p>
    <w:p>
      <w:r>
        <w:t>| AUC (0-∞) | 25000.0 | ng·h/mL |</w:t>
      </w:r>
    </w:p>
    <w:p>
      <w:r>
        <w:t>| Terminal Half-life | 12.0 | hours |</w:t>
      </w:r>
    </w:p>
    <w:p>
      <w:r>
        <w:t>| Half-life | 12.0 | h |</w:t>
      </w:r>
    </w:p>
    <w:p>
      <w:r>
        <w:t>| Target Occupancy at Trough | 0.0 | % |</w:t>
      </w:r>
    </w:p>
    <w:p>
      <w:r>
        <w:t>| Volume of Distribution | 0.5 | L/kg |</w:t>
      </w:r>
    </w:p>
    <w:p>
      <w:r>
        <w:t>| Clearance | N/A | mL/min/kg |</w:t>
      </w:r>
    </w:p>
    <w:p>
      <w:r>
        <w:t>| Fraction Unbound | N/A% | |</w:t>
      </w:r>
    </w:p>
    <w:p>
      <w:r>
        <w:t>These values are based solely on computational modeling and require experimental validation in clinical studies.</w:t>
      </w:r>
    </w:p>
    <w:p>
      <w:r>
        <w:t>**Toxicology Summary (In-Silico Predictions):**</w:t>
      </w:r>
    </w:p>
    <w:p>
      <w:r>
        <w:t>In-silico toxicology assessments, primarily through QSAR models, indicate a generally favorable safety profile. No significant risks were identified through these computational predictions. Structural alert analysis suggests a low hepatotoxicity risk. In-silico genotoxicity (Ames) prediction was negative. The hERG IC50 safety margin is computationally predicted to be 30.0x, indicating an acceptable margin for cardiac safety. The overall computational risk score is 75.0/100, suggesting a low overall risk. These are predictive models and require confirmation through non-clinical and clinical studies.</w:t>
      </w:r>
    </w:p>
    <w:p>
      <w:r>
        <w:t>**Known Risks and Precautionary Measures:**</w:t>
      </w:r>
    </w:p>
    <w:p>
      <w:r>
        <w:t>Based on current in-silico safety assessments:</w:t>
      </w:r>
    </w:p>
    <w:p>
      <w:r>
        <w:t>*   **Hepatotoxicity:** Computational analysis indicates a low risk of hepatotoxicity. However, liver function tests (ALT, AST, bilirubin) will be closely monitored during clinical trials.</w:t>
      </w:r>
    </w:p>
    <w:p>
      <w:r>
        <w:t>*   **Genotoxicity:** In-silico predictions suggest a negative genotoxic potential.</w:t>
      </w:r>
    </w:p>
    <w:p>
      <w:r>
        <w:t>*   **Cardiac Safety:** The computational hERG IC50 safety margin of 30.0x suggests an acceptable risk for QT prolongation. Nevertheless, ECG monitoring will be included in clinical trials.</w:t>
      </w:r>
    </w:p>
    <w:p>
      <w:r>
        <w:t>*   **Overall Risk:** The overall computational risk score is low.</w:t>
      </w:r>
    </w:p>
    <w:p>
      <w:r>
        <w:t>Precautionary measures will include careful patient selection, comprehensive safety monitoring (including laboratory tests, vital signs, ECGs, and AE reporting), and adherence to dose-escalation protocols.</w:t>
      </w:r>
    </w:p>
    <w:p>
      <w:pPr>
        <w:pStyle w:val="Heading2"/>
      </w:pPr>
      <w:r>
        <w:t>Section 8: Pharmacology and Toxicology</w:t>
      </w:r>
    </w:p>
    <w:p>
      <w:r>
        <w:t>**8.1 Introduction:**</w:t>
      </w:r>
    </w:p>
    <w:p>
      <w:r>
        <w:t>Oncology Phase I is a small molecule drug candidate with the SMILES C1=COC(=C1)CNC2=CC(=C(C=C2C(=O)O)S(=O)(=O)N)Cl. It belongs to the drug class of small molecules and is being developed for oncology indications. The precise pharmacologic class and mechanism of action are currently [Mechanism of Action - To Be Determined].</w:t>
      </w:r>
    </w:p>
    <w:p>
      <w:r>
        <w:t>**8.2 Non-Clinical Pharmacology:**</w:t>
      </w:r>
    </w:p>
    <w:p>
      <w:r>
        <w:t>**Interspecies PK Comparison (Rat, Dog, Monkey vs Human):**</w:t>
      </w:r>
    </w:p>
    <w:p>
      <w:r>
        <w:t>No experimental non-clinical pharmacology data from animal models (Rat, Dog, Monkey) are available for direct interspecies PK comparison. The provided data indicates:</w:t>
      </w:r>
    </w:p>
    <w:p>
      <w:r>
        <w:t>| Species | Clearance (mL/min/kg) | Vss (L/kg) | Fup (%) |</w:t>
      </w:r>
    </w:p>
    <w:p>
      <w:r>
        <w:t>|:---|:---|:---|:---|</w:t>
      </w:r>
    </w:p>
    <w:p>
      <w:r>
        <w:t>| Rat | None | None | None% |</w:t>
      </w:r>
    </w:p>
    <w:p>
      <w:r>
        <w:t>| Dog | None | None | None |</w:t>
      </w:r>
    </w:p>
    <w:p>
      <w:r>
        <w:t>| Monkey | None | None | None |</w:t>
      </w:r>
    </w:p>
    <w:p>
      <w:r>
        <w:t>Due to the absence of experimental non-clinical data, a direct comparison of PK parameters across species is not possible at this time.</w:t>
      </w:r>
    </w:p>
    <w:p>
      <w:r>
        <w:t>**Allometric Scaling Justification:**</w:t>
      </w:r>
    </w:p>
    <w:p>
      <w:r>
        <w:t>Given the lack of experimental non-clinical pharmacokinetic data in animal species, allometric scaling for human dose prediction or interspecies comparison is not applicable. Human pharmacokinetic predictions are currently based solely on in-silico mPBPK modeling.</w:t>
      </w:r>
    </w:p>
    <w:p>
      <w:r>
        <w:t>**8.3 Pharmacokinetics (mPBPK predictions with appropriate caveats):**</w:t>
      </w:r>
    </w:p>
    <w:p>
      <w:r>
        <w:t>Human pharmacokinetic parameters for Oncology Phase I have been computationally predicted using an in-silico mPBPK model. These predictions are theoretical and require experimental validation in human clinical trials.</w:t>
      </w:r>
    </w:p>
    <w:p>
      <w:r>
        <w:t>| Parameter | Predicted Value | Unit |</w:t>
      </w:r>
    </w:p>
    <w:p>
      <w:r>
        <w:t>|:---|:---|:---|</w:t>
      </w:r>
    </w:p>
    <w:p>
      <w:r>
        <w:t>| Cmax | 1500.0 | ng/mL |</w:t>
      </w:r>
    </w:p>
    <w:p>
      <w:r>
        <w:t>| AUC (0-∞) | 25000.0 | ng·h/mL |</w:t>
      </w:r>
    </w:p>
    <w:p>
      <w:r>
        <w:t>| Terminal Half-life | 12.0 | hours |</w:t>
      </w:r>
    </w:p>
    <w:p>
      <w:r>
        <w:t>| Half-life | 12.0 | h |</w:t>
      </w:r>
    </w:p>
    <w:p>
      <w:r>
        <w:t>| Target Occupancy at Trough | 0.0 | % |</w:t>
      </w:r>
    </w:p>
    <w:p>
      <w:r>
        <w:t>| Volume of Distribution | 0.5 | L/kg |</w:t>
      </w:r>
    </w:p>
    <w:p>
      <w:r>
        <w:t>| Clearance | N/A | mL/min/kg |</w:t>
      </w:r>
    </w:p>
    <w:p>
      <w:r>
        <w:t>| Fraction Unbound | N/A% | |</w:t>
      </w:r>
    </w:p>
    <w:p>
      <w:r>
        <w:t>The predicted terminal half-life of 12.0 hours suggests suitability for a once-daily dosing regimen. The predicted Cmax and AUC (0-∞) values provide an initial estimate of systemic exposure at the proposed 100.0 mg dose.</w:t>
      </w:r>
    </w:p>
    <w:p>
      <w:r>
        <w:t>**8.4 Toxicology (QSAR predictions with risk interpretation):**</w:t>
      </w:r>
    </w:p>
    <w:p>
      <w:r>
        <w:t>Toxicology assessments for Oncology Phase I are currently based on in-silico QSAR model predictions. These computational analyses suggest a favorable safety profile.</w:t>
      </w:r>
    </w:p>
    <w:p>
      <w:r>
        <w:t>*   **Overall Risk:** QSAR models predict an overall risk score of 75.0/100, indicating a low risk profile.</w:t>
      </w:r>
    </w:p>
    <w:p>
      <w:r>
        <w:t>*   **Hepatotoxicity Risk:** Structural alert analysis computationally predicts a low risk of hepatotoxicity.</w:t>
      </w:r>
    </w:p>
    <w:p>
      <w:r>
        <w:t>*   **Genotoxicity:** In-silico prediction for genotoxicity (Ames test) was negative, suggesting no mutagenic potential.</w:t>
      </w:r>
    </w:p>
    <w:p>
      <w:r>
        <w:t>These predictions are derived from computational models and require confirmation through standard non-clinical toxicology studies.</w:t>
      </w:r>
    </w:p>
    <w:p>
      <w:r>
        <w:t>**8.5 Safety Pharmacology (hERG assessment, CV safety):**</w:t>
      </w:r>
    </w:p>
    <w:p>
      <w:r>
        <w:t>In-silico safety pharmacology assessment for Oncology Phase I includes a computational prediction of the hERG IC50 safety margin. The predicted hERG IC50 safety margin is 30.0x, which is considered acceptable and suggests a low risk of hERG channel inhibition and associated cardiac repolarization abnormalities. This computational finding indicates a favorable preliminary cardiovascular safety profile. Further experimental safety pharmacology studies are [PLACEHOLDER: description of required data].</w:t>
      </w:r>
    </w:p>
    <w:p>
      <w:r>
        <w:t>**8.6 GLP Compliance Statement:**</w:t>
      </w:r>
    </w:p>
    <w:p>
      <w:r>
        <w:t>[PLACEHOLDER: A statement confirming that all non-clinical laboratory studies were conducted in compliance with Good Laboratory Practice (GLP) regulations, or a justification for non-compliance.]</w:t>
      </w:r>
    </w:p>
    <w:p>
      <w:r>
        <w:t>**8.6 Evaluator Statement:**</w:t>
      </w:r>
    </w:p>
    <w:p>
      <w:r>
        <w:t>[PLACEHOLDER: A statement from the sponsor regarding the qualifications of the individuals who evaluated the non-clinical data.]</w:t>
      </w:r>
    </w:p>
    <w:p>
      <w:r>
        <w:t>**8.7 References:**</w:t>
      </w:r>
    </w:p>
    <w:p>
      <w:r>
        <w:t>[PLACEHOLDER: List of relevant references for non-clinical studies, computational models, and regulatory guidance.]</w:t>
      </w:r>
    </w:p>
    <w:p>
      <w:r>
        <w:br w:type="page"/>
      </w:r>
    </w:p>
    <w:p>
      <w:r>
        <w:rPr>
          <w:b/>
        </w:rPr>
        <w:t>DISCLAIMER: This document is an AI-generated draft for prototype demonstration purposes only. It does NOT replace experimental data or professional regulatory review. Verify all values against original study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