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IND APPLICATION: Oncology Phase I</w:t>
      </w:r>
    </w:p>
    <w:p>
      <w:pPr>
        <w:pStyle w:val="Heading2"/>
      </w:pPr>
      <w:r>
        <w:t>Section 1: Cover Page (FDA Form 1571)</w:t>
      </w:r>
    </w:p>
    <w:p>
      <w:r>
        <w:t>**DEPARTMENT OF HEALTH AND HUMAN SERVICES**</w:t>
      </w:r>
    </w:p>
    <w:p>
      <w:r>
        <w:t>**FOOD AND DRUG ADMINISTRATION**</w:t>
      </w:r>
    </w:p>
    <w:p>
      <w:r>
        <w:t>**CENTER FOR DRUG EVALUATION AND RESEARCH**</w:t>
      </w:r>
    </w:p>
    <w:p>
      <w:r>
        <w:t>**INVESTIGATIONAL NEW DRUG APPLICATION (IND)**</w:t>
      </w:r>
    </w:p>
    <w:p>
      <w:r>
        <w:t>**1. APPLICANT INFORMATION**</w:t>
      </w:r>
    </w:p>
    <w:p>
      <w:r>
        <w:t>| Field | Detail |</w:t>
      </w:r>
    </w:p>
    <w:p>
      <w:r>
        <w:t>|:---|:---|</w:t>
      </w:r>
    </w:p>
    <w:p>
      <w:r>
        <w:t>| Name | asd |</w:t>
      </w:r>
    </w:p>
    <w:p>
      <w:r>
        <w:t>| Address | asd |</w:t>
      </w:r>
    </w:p>
    <w:p>
      <w:r>
        <w:t>| Phone | fad |</w:t>
      </w:r>
    </w:p>
    <w:p>
      <w:r>
        <w:t>| Application Date | 2026-02-04 |</w:t>
      </w:r>
    </w:p>
    <w:p>
      <w:r>
        <w:t>**2. DRUG IDENTIFICATION**</w:t>
      </w:r>
    </w:p>
    <w:p>
      <w:r>
        <w:t>| Field | Detail |</w:t>
      </w:r>
    </w:p>
    <w:p>
      <w:r>
        <w:t>|:---|:---|</w:t>
      </w:r>
    </w:p>
    <w:p>
      <w:r>
        <w:t>| Drug Name | Oncology Phase I |</w:t>
      </w:r>
    </w:p>
    <w:p>
      <w:r>
        <w:t>| Drug Class | Small Molecule |</w:t>
      </w:r>
    </w:p>
    <w:p>
      <w:r>
        <w:t>| SMILES/Sequence | C1=COC(=C1)CNC2=CC(=C(C=C2C(=O)O)S(=O)(=O)N)Cl |</w:t>
      </w:r>
    </w:p>
    <w:p>
      <w:r>
        <w:t>| Therapeutic Indication | Oncology |</w:t>
      </w:r>
    </w:p>
    <w:p>
      <w:r>
        <w:t>**3. CLINICAL PHASE DECLARATION**</w:t>
      </w:r>
    </w:p>
    <w:p>
      <w:r>
        <w:t>| Field | Detail |</w:t>
      </w:r>
    </w:p>
    <w:p>
      <w:r>
        <w:t>|:---|:---|</w:t>
      </w:r>
    </w:p>
    <w:p>
      <w:r>
        <w:t>| Proposed Clinical Phase | Phase 1 |</w:t>
      </w:r>
    </w:p>
    <w:p>
      <w:r>
        <w:t>**4. SPONSOR COMMITMENTS (21 CFR 312.23)**</w:t>
      </w:r>
    </w:p>
    <w:p>
      <w:r>
        <w:t>The sponsor, asd, commits to:</w:t>
      </w:r>
    </w:p>
    <w:p>
      <w:r>
        <w:t>*   Not begin clinical investigations until 30 days after FDA's receipt of the IND, or upon earlier notification by FDA that studies may begin.</w:t>
      </w:r>
    </w:p>
    <w:p>
      <w:r>
        <w:t>*   Conduct the investigation in accordance with the protocols contained in this IND.</w:t>
      </w:r>
    </w:p>
    <w:p>
      <w:r>
        <w:t>*   Amend the IND as required by 21 CFR 312.30.</w:t>
      </w:r>
    </w:p>
    <w:p>
      <w:r>
        <w:t>*   Submit all safety reports as required by 21 CFR 312.32.</w:t>
      </w:r>
    </w:p>
    <w:p>
      <w:r>
        <w:t>*   Submit annual reports as required by 21 CFR 312.33.</w:t>
      </w:r>
    </w:p>
    <w:p>
      <w:r>
        <w:t>*   Ensure that any investigator conducting a clinical investigation under this IND is qualified by training and experience and will conduct the investigation in accordance with the protocol.</w:t>
      </w:r>
    </w:p>
    <w:p>
      <w:r>
        <w:t>*   Obtain a signed investigator statement (Form FDA 1572) from each investigator.</w:t>
      </w:r>
    </w:p>
    <w:p>
      <w:r>
        <w:t>*   Maintain adequate records and make them available for inspection.</w:t>
      </w:r>
    </w:p>
    <w:p>
      <w:pPr>
        <w:pStyle w:val="Heading2"/>
      </w:pPr>
      <w:r>
        <w:t>Section 2: Introduction and General Investigational Plan</w:t>
      </w:r>
    </w:p>
    <w:p>
      <w:r>
        <w:t>**2.1 Cover Sheet**</w:t>
      </w:r>
    </w:p>
    <w:p>
      <w:r>
        <w:t>| Field | Detail |</w:t>
      </w:r>
    </w:p>
    <w:p>
      <w:r>
        <w:t>|:---|:---|</w:t>
      </w:r>
    </w:p>
    <w:p>
      <w:r>
        <w:t>| Drug Name | Oncology Phase I |</w:t>
      </w:r>
    </w:p>
    <w:p>
      <w:r>
        <w:t>| Drug Class | Small Molecule |</w:t>
      </w:r>
    </w:p>
    <w:p>
      <w:r>
        <w:t>| Indication | Oncology |</w:t>
      </w:r>
    </w:p>
    <w:p>
      <w:r>
        <w:t>| Proposed Phase | Phase 1 |</w:t>
      </w:r>
    </w:p>
    <w:p>
      <w:r>
        <w:t>| Proposed Dose | 100.0 mg QD |</w:t>
      </w:r>
    </w:p>
    <w:p>
      <w:r>
        <w:t>| Target Population | Adult patients with advanced solid tumors |</w:t>
      </w:r>
    </w:p>
    <w:p>
      <w:r>
        <w:t>**2.2 Introductory Statement and Scientific Rationale**</w:t>
      </w:r>
    </w:p>
    <w:p>
      <w:r>
        <w:t>Oncology Phase I is a novel small molecule drug candidate proposed for the treatment of oncology. The precise mechanism of action is currently [Mechanism of Action - To Be Determined], but computational analysis suggests potential therapeutic utility in cancer. This IND application seeks to initiate a Phase 1 clinical trial to assess the safety, tolerability, and preliminary pharmacokinetic profile of Oncology Phase I in adult patients with advanced solid tumors.</w:t>
      </w:r>
    </w:p>
    <w:p>
      <w:r>
        <w:t>**2.3 Research Justification Based on Indication**</w:t>
      </w:r>
    </w:p>
    <w:p>
      <w:r>
        <w:t>Despite advances in cancer therapy, there remains an unmet medical need for new, effective, and well-tolerated treatments for various oncological indications. The in-silico predictions suggest that Oncology Phase I possesses characteristics that may contribute to an anti-tumor effect. Further investigation in a controlled clinical setting is warranted to evaluate its potential as a therapeutic agent.</w:t>
      </w:r>
    </w:p>
    <w:p>
      <w:r>
        <w:t>**2.4 General Approach to Evaluation**</w:t>
      </w:r>
    </w:p>
    <w:p>
      <w:r>
        <w:t>The general investigational plan for Oncology Phase I will proceed in a phased approach, beginning with a Phase 1 study to establish safety, tolerability, and pharmacokinetics. Subsequent phases will aim to determine preliminary efficacy, optimal dosing, and ultimately, confirm efficacy and safety in larger patient populations.</w:t>
      </w:r>
    </w:p>
    <w:p>
      <w:r>
        <w:t>**2.5 First-Year Study Summary**</w:t>
      </w:r>
    </w:p>
    <w:p>
      <w:r>
        <w:t>The initial clinical investigation will be a Phase 1, open-label, dose-escalation study in approximately 30 adult patients with advanced solid tumors. The study duration for each patient is anticipated to be 12 weeks. The primary objective is to assess the safety and tolerability of Oncology Phase I, with secondary objectives focused on pharmacokinetic characterization and preliminary anti-tumor activity.</w:t>
      </w:r>
    </w:p>
    <w:p>
      <w:r>
        <w:t>**2.6 Risk Assessment Based on Computational Predictions**</w:t>
      </w:r>
    </w:p>
    <w:p>
      <w:r>
        <w:t>Based on in-silico predictions:</w:t>
      </w:r>
    </w:p>
    <w:p>
      <w:r>
        <w:t>*   **hERG IC50 Safety Margin:** A safety margin of 30.0x suggests an acceptable risk for cardiac repolarization effects.</w:t>
      </w:r>
    </w:p>
    <w:p>
      <w:r>
        <w:t>*   **Hepatotoxicity Risk:** Structural alert analysis indicates a low risk of hepatotoxicity.</w:t>
      </w:r>
    </w:p>
    <w:p>
      <w:r>
        <w:t>*   **Genotoxicity (Ames):** In-silico prediction for genotoxicity (Ames test) is negative, suggesting a low risk of mutagenicity.</w:t>
      </w:r>
    </w:p>
    <w:p>
      <w:r>
        <w:t>*   **Overall Risk Score:** An overall risk score of 75.0/100 suggests a generally low risk profile for the compound based on computational models.</w:t>
      </w:r>
    </w:p>
    <w:p>
      <w:r>
        <w:t>These computational assessments suggest a favorable preliminary safety profile, supporting progression to human clinical trials under close monitoring.</w:t>
      </w:r>
    </w:p>
    <w:p>
      <w:pPr>
        <w:pStyle w:val="Heading2"/>
      </w:pPr>
      <w:r>
        <w:t>Section 3: Clinical Protocol</w:t>
      </w:r>
    </w:p>
    <w:p>
      <w:r>
        <w:t>**3.1 Protocol Synopsis**</w:t>
      </w:r>
    </w:p>
    <w:p>
      <w:r>
        <w:t>| Field | Detail |</w:t>
      </w:r>
    </w:p>
    <w:p>
      <w:r>
        <w:t>|:---|:---|</w:t>
      </w:r>
    </w:p>
    <w:p>
      <w:r>
        <w:t>| Protocol Title | A Phase 1, Open-Label, Dose-Escalation Study to Evaluate the Safety, Tolerability, and Pharmacokinetics of Oncology Phase I in Adult Patients with Advanced Solid Tumors |</w:t>
      </w:r>
    </w:p>
    <w:p>
      <w:r>
        <w:t>| Study Phase | Phase 1 |</w:t>
      </w:r>
    </w:p>
    <w:p>
      <w:r>
        <w:t>| Study Drug | Oncology Phase I |</w:t>
      </w:r>
    </w:p>
    <w:p>
      <w:r>
        <w:t>| Indication | Advanced Solid Tumors |</w:t>
      </w:r>
    </w:p>
    <w:p>
      <w:r>
        <w:t>| Study Design | Open-label, single-arm, dose-escalation |</w:t>
      </w:r>
    </w:p>
    <w:p>
      <w:r>
        <w:t>| Target Enrollment | 30 patients |</w:t>
      </w:r>
    </w:p>
    <w:p>
      <w:r>
        <w:t>| Study Duration | 12 weeks per patient |</w:t>
      </w:r>
    </w:p>
    <w:p>
      <w:r>
        <w:t>| Primary Objective | Assess safety and tolerability |</w:t>
      </w:r>
    </w:p>
    <w:p>
      <w:r>
        <w:t>| Secondary Objectives | Evaluate PK profile; Assess preliminary anti-tumor activity |</w:t>
      </w:r>
    </w:p>
    <w:p>
      <w:r>
        <w:t>| Dosing Regimen | Oral, 100.0 mg QD (starting dose), dose-escalation |</w:t>
      </w:r>
    </w:p>
    <w:p>
      <w:r>
        <w:t>**3.2 Primary and Secondary Objectives**</w:t>
      </w:r>
    </w:p>
    <w:p>
      <w:r>
        <w:t>**Primary Objective:**</w:t>
      </w:r>
    </w:p>
    <w:p>
      <w:r>
        <w:t>*   To assess the safety and tolerability of escalating doses of Oncology Phase I in adult patients with advanced solid tumors.</w:t>
      </w:r>
    </w:p>
    <w:p>
      <w:r>
        <w:t>*   To determine the maximum tolerated dose (MTD) and/or recommended Phase 2 dose (RP2D).</w:t>
      </w:r>
    </w:p>
    <w:p>
      <w:r>
        <w:t>**Secondary Objectives:**</w:t>
      </w:r>
    </w:p>
    <w:p>
      <w:r>
        <w:t>*   To characterize the pharmacokinetic (PK) profile of Oncology Phase I following single and multiple oral doses.</w:t>
      </w:r>
    </w:p>
    <w:p>
      <w:r>
        <w:t>*   To evaluate preliminary evidence of anti-tumor activity using RECIST 1.1 criteria.</w:t>
      </w:r>
    </w:p>
    <w:p>
      <w:r>
        <w:t>*   To identify potential pharmacodynamic markers (if applicable, [PLACEHOLDER: description of required data]).</w:t>
      </w:r>
    </w:p>
    <w:p>
      <w:r>
        <w:t>**3.3 Investigator Information**</w:t>
      </w:r>
    </w:p>
    <w:p>
      <w:r>
        <w:t>| Field | Detail |</w:t>
      </w:r>
    </w:p>
    <w:p>
      <w:r>
        <w:t>|:---|:---|</w:t>
      </w:r>
    </w:p>
    <w:p>
      <w:r>
        <w:t>| Principal Investigator | [Principal Investigator Name - To Be Filled] |</w:t>
      </w:r>
    </w:p>
    <w:p>
      <w:r>
        <w:t>| Credentials | [Credentials - To Be Filled] |</w:t>
      </w:r>
    </w:p>
    <w:p>
      <w:r>
        <w:t>| Institution | [Research Institution - To Be Filled] |</w:t>
      </w:r>
    </w:p>
    <w:p>
      <w:r>
        <w:t>| Institution Address | [Institution Address - To Be Filled] |</w:t>
      </w:r>
    </w:p>
    <w:p>
      <w:r>
        <w:t>| IRB/Ethics Committee | [IRB Name - To Be Filled] |</w:t>
      </w:r>
    </w:p>
    <w:p>
      <w:r>
        <w:t>**3.4 Patient Selection Criteria**</w:t>
      </w:r>
    </w:p>
    <w:p>
      <w:r>
        <w:t>**Inclusion Criteria:**</w:t>
      </w:r>
    </w:p>
    <w:p>
      <w:r>
        <w:t>1.  Adult patients, male or female, ≥18 years of age.</w:t>
      </w:r>
    </w:p>
    <w:p>
      <w:r>
        <w:t>2.  Histologically or cytologically confirmed advanced solid tumor that is metastatic or unresectable and for which standard curative or life-prolonging therapies are not available or are no longer effective.</w:t>
      </w:r>
    </w:p>
    <w:p>
      <w:r>
        <w:t>3.  Measurable disease as defined by RECIST 1.1 criteria.</w:t>
      </w:r>
    </w:p>
    <w:p>
      <w:r>
        <w:t>4.  Eastern Cooperative Oncology Group (ECOG) performance status of 0 or 1.</w:t>
      </w:r>
    </w:p>
    <w:p>
      <w:r>
        <w:t>5.  Adequate organ function defined as:</w:t>
      </w:r>
    </w:p>
    <w:p>
      <w:r>
        <w:t>*   Absolute neutrophil count (ANC) ≥ 1.5 x 10^9/L</w:t>
      </w:r>
    </w:p>
    <w:p>
      <w:r>
        <w:t>*   Platelets ≥ 100 x 10^9/L</w:t>
      </w:r>
    </w:p>
    <w:p>
      <w:r>
        <w:t>*   Hemoglobin ≥ 9 g/dL</w:t>
      </w:r>
    </w:p>
    <w:p>
      <w:r>
        <w:t>*   Total bilirubin ≤ 1.5 x upper limit of normal (ULN) (≤ 3.0 x ULN for patients with Gilbert's syndrome)</w:t>
      </w:r>
    </w:p>
    <w:p>
      <w:r>
        <w:t>*   Aspartate aminotransferase (AST) and Alanine aminotransferase (ALT) ≤ 2.5 x ULN (≤ 5 x ULN for patients with liver metastases)</w:t>
      </w:r>
    </w:p>
    <w:p>
      <w:r>
        <w:t>*   Serum creatinine ≤ 1.5 x ULN or creatinine clearance ≥ 60 mL/min (calculated by Cockcroft-Gault formula).</w:t>
      </w:r>
    </w:p>
    <w:p>
      <w:r>
        <w:t>6.  Life expectancy of at least 3 months.</w:t>
      </w:r>
    </w:p>
    <w:p>
      <w:r>
        <w:t>7.  Ability to understand and willingness to sign a written informed consent form.</w:t>
      </w:r>
    </w:p>
    <w:p>
      <w:r>
        <w:t>**Exclusion Criteria:**</w:t>
      </w:r>
    </w:p>
    <w:p>
      <w:r>
        <w:t>1.  Prior anti-cancer therapy (chemotherapy, radiation, immunotherapy, or investigational agents) within 4 weeks or 5 half-lives (whichever is shorter) prior to the first dose of study drug.</w:t>
      </w:r>
    </w:p>
    <w:p>
      <w:r>
        <w:t>2.  Major surgery within 4 weeks prior to the first dose of study drug.</w:t>
      </w:r>
    </w:p>
    <w:p>
      <w:r>
        <w:t>3.  Known active central nervous system (CNS) metastases or leptomeningeal disease requiring immediate treatment.</w:t>
      </w:r>
    </w:p>
    <w:p>
      <w:r>
        <w:t>4.  Known history of human immunodeficiency virus (HIV) infection, active Hepatitis B or C infection.</w:t>
      </w:r>
    </w:p>
    <w:p>
      <w:r>
        <w:t>5.  Significant cardiovascular disease (e.g., uncontrolled hypertension, unstable angina, myocardial infarction within 6 months, New York Heart Association Class III or IV congestive heart failure, or uncontrolled arrhythmias).</w:t>
      </w:r>
    </w:p>
    <w:p>
      <w:r>
        <w:t>6.  QTc interval &gt; 470 ms (for females) or &gt; 450 ms (for males) based on triplicate electrocardiograms (ECGs).</w:t>
      </w:r>
    </w:p>
    <w:p>
      <w:r>
        <w:t>7.  Pregnant or lactating women. Women of childbearing potential and men must agree to use highly effective contraception during the study and for at least 3 months after the last dose.</w:t>
      </w:r>
    </w:p>
    <w:p>
      <w:r>
        <w:t>8.  Any other severe acute or chronic medical condition or laboratory abnormality that, in the opinion of the investigator, would make the patient unsuitable for the study.</w:t>
      </w:r>
    </w:p>
    <w:p>
      <w:r>
        <w:t>**3.5 Study Design**</w:t>
      </w:r>
    </w:p>
    <w:p>
      <w:r>
        <w:t>This will be an open-label, single-arm, dose-escalation study. Patients will be enrolled in cohorts of 3-6 patients. The initial dose will be 100.0 mg QD. Dose escalation will follow a 3+3 design, with predefined dose levels. Patients will receive Oncology Phase I orally once daily until disease progression, unacceptable toxicity, or withdrawal of consent. Safety will be monitored continuously, and dose-limiting toxicities (DLTs) will be evaluated during the first 28 days of treatment.</w:t>
      </w:r>
    </w:p>
    <w:p>
      <w:r>
        <w:t>**3.6 Dosing Regimen with Justification from PK Predictions**</w:t>
      </w:r>
    </w:p>
    <w:p>
      <w:r>
        <w:t>The proposed starting dose for Oncology Phase I is 100.0 mg administered orally once daily (QD). This dosing regimen is supported by in-silico pharmacokinetic predictions:</w:t>
      </w:r>
    </w:p>
    <w:p>
      <w:r>
        <w:t>*   Computational analysis predicts a terminal half-life of 12.0 hours, suggesting that once-daily dosing may be sufficient to maintain therapeutic concentrations.</w:t>
      </w:r>
    </w:p>
    <w:p>
      <w:r>
        <w:t>*   The predicted Cmax of 1500.0 ng/mL and AUC (0-∞) of 25000.0 ng·h/mL for a 100 mg dose suggest that this dose may achieve systemic exposure levels that are potentially pharmacologically active, while allowing for dose escalation to explore higher exposures safely.</w:t>
      </w:r>
    </w:p>
    <w:p>
      <w:r>
        <w:t>*   The predicted volume of distribution of 0.5 L/kg indicates moderate tissue distribution.</w:t>
      </w:r>
    </w:p>
    <w:p>
      <w:r>
        <w:t>The starting dose of 100.0 mg QD is considered conservative for a Phase 1 oncology study, allowing for careful assessment of safety and tolerability during dose escalation.</w:t>
      </w:r>
    </w:p>
    <w:p>
      <w:r>
        <w:t>**3.7 Safety Monitoring Plan**</w:t>
      </w:r>
    </w:p>
    <w:p>
      <w:r>
        <w:t>Safety will be monitored throughout the study by:</w:t>
      </w:r>
    </w:p>
    <w:p>
      <w:r>
        <w:t>*   **Adverse Event (AE) Reporting:** All AEs will be collected, graded according to CTCAE v5.0, and reported.</w:t>
      </w:r>
    </w:p>
    <w:p>
      <w:r>
        <w:t>*   **Clinical Laboratory Assessments:** Hematology, serum chemistry (including liver and renal function tests), and urinalysis will be performed at screening, weekly during the first cycle, and then every 2-4 weeks.</w:t>
      </w:r>
    </w:p>
    <w:p>
      <w:r>
        <w:t>*   **Vital Signs:** Blood pressure, heart rate, respiratory rate, and body temperature will be measured at each visit.</w:t>
      </w:r>
    </w:p>
    <w:p>
      <w:r>
        <w:t>*   **Electrocardiograms (ECGs):** 12-lead ECGs will be performed at screening and periodically during the study to monitor for cardiac abnormalities, particularly QTc prolongation, given the hERG safety margin assessment.</w:t>
      </w:r>
    </w:p>
    <w:p>
      <w:r>
        <w:t>*   **Physical Examinations:** Comprehensive physical examinations will be conducted at screening and regularly throughout the study.</w:t>
      </w:r>
    </w:p>
    <w:p>
      <w:r>
        <w:t>*   **Hepatotoxicity Monitoring:** Given the in-silico low risk of hepatotoxicity, close monitoring of liver function tests (ALT, AST, bilirubin) will be maintained.</w:t>
      </w:r>
    </w:p>
    <w:p>
      <w:r>
        <w:t>*   **Dose-Limiting Toxicity (DLT) Evaluation:** DLTs will be assessed during the first 28 days of treatment.</w:t>
      </w:r>
    </w:p>
    <w:p>
      <w:r>
        <w:t>**3.8 Efficacy Assessments**</w:t>
      </w:r>
    </w:p>
    <w:p>
      <w:r>
        <w:t>Preliminary anti-tumor activity will be assessed using Response Evaluation Criteria in Solid Tumors (RECIST 1.1) based on imaging studies (CT/MRI) performed at screening and every 6-8 weeks thereafter. Tumor measurements will be reviewed by the investigator.</w:t>
      </w:r>
    </w:p>
    <w:p>
      <w:r>
        <w:t>**3.9 Statistical Considerations**</w:t>
      </w:r>
    </w:p>
    <w:p>
      <w:r>
        <w:t>This Phase 1 study is primarily descriptive and exploratory. No formal statistical hypothesis testing is planned for efficacy endpoints.</w:t>
      </w:r>
    </w:p>
    <w:p>
      <w:r>
        <w:t>*   **Sample Size:** Approximately 30 patients are planned to adequately characterize the safety, tolerability, and PK profile across dose levels.</w:t>
      </w:r>
    </w:p>
    <w:p>
      <w:r>
        <w:t>*   **Safety Analysis:** Safety data will be summarized using descriptive statistics (frequency, percentage for categorical data; mean, standard deviation, median, range for continuous data).</w:t>
      </w:r>
    </w:p>
    <w:p>
      <w:r>
        <w:t>*   **Pharmacokinetic Analysis:** PK parameters (Cmax, AUC, T1/2, Vd) will be calculated using non-compartmental analysis and summarized descriptively.</w:t>
      </w:r>
    </w:p>
    <w:p>
      <w:r>
        <w:t>*   **Efficacy Analysis:** Anti-tumor activity will be summarized descriptively, including objective response rate (ORR), disease control rate (DCR), and duration of response (DOR) where applicable.</w:t>
      </w:r>
    </w:p>
    <w:p>
      <w:pPr>
        <w:pStyle w:val="Heading2"/>
      </w:pPr>
      <w:r>
        <w:t>Section 5: Investigator's Brochure</w:t>
      </w:r>
    </w:p>
    <w:p>
      <w:r>
        <w:t>**5.1 Drug Substance Description**</w:t>
      </w:r>
    </w:p>
    <w:p>
      <w:r>
        <w:t>Oncology Phase I is a small molecule drug candidate with the chemical structure represented by the SMILES string: C1=COC(=C1)CNC2=CC(=C(C=C2C(=O)O)S(=O)(=O)N)Cl. It is intended for oral administration.</w:t>
      </w:r>
    </w:p>
    <w:p>
      <w:r>
        <w:t>**5.2 Pharmacology Summary**</w:t>
      </w:r>
    </w:p>
    <w:p>
      <w:r>
        <w:t>The therapeutic indication for Oncology Phase I is oncology. The precise mechanism of action is currently [Mechanism of Action - To Be Determined]. Computational analysis predicts potential anti-tumor activity.</w:t>
      </w:r>
    </w:p>
    <w:p>
      <w:r>
        <w:t>**5.3 Pharmacokinetics Summary**</w:t>
      </w:r>
    </w:p>
    <w:p>
      <w:r>
        <w:t>Pharmacokinetic parameters for Oncology Phase I have been primarily derived from in-silico mPBPK modeling.</w:t>
      </w:r>
    </w:p>
    <w:p>
      <w:r>
        <w:t>| Parameter | Predicted Value | Unit |</w:t>
      </w:r>
    </w:p>
    <w:p>
      <w:r>
        <w:t>|:---|:---|:---|</w:t>
      </w:r>
    </w:p>
    <w:p>
      <w:r>
        <w:t>| Cmax | 1500.0 | ng/mL |</w:t>
      </w:r>
    </w:p>
    <w:p>
      <w:r>
        <w:t>| AUC (0-∞) | 25000.0 | ng·h/mL |</w:t>
      </w:r>
    </w:p>
    <w:p>
      <w:r>
        <w:t>| Terminal Half-life | 12.0 | hours |</w:t>
      </w:r>
    </w:p>
    <w:p>
      <w:r>
        <w:t>| Target Occupancy at Trough | 0.0 | % |</w:t>
      </w:r>
    </w:p>
    <w:p>
      <w:r>
        <w:t>| Volume of Distribution | 0.5 | L/kg |</w:t>
      </w:r>
    </w:p>
    <w:p>
      <w:r>
        <w:t>| Clearance | N/A | mL/min/kg |</w:t>
      </w:r>
    </w:p>
    <w:p>
      <w:r>
        <w:t>| Half-life | 12.0 | h |</w:t>
      </w:r>
    </w:p>
    <w:p>
      <w:r>
        <w:t>| Fraction Unbound | N/A% | |</w:t>
      </w:r>
    </w:p>
    <w:p>
      <w:r>
        <w:t>These in-silico predictions suggest a moderate half-life suitable for once-daily dosing and a moderate volume of distribution. Experimental data are required to confirm these computational predictions.</w:t>
      </w:r>
    </w:p>
    <w:p>
      <w:r>
        <w:t>**5.4 Toxicology Summary**</w:t>
      </w:r>
    </w:p>
    <w:p>
      <w:r>
        <w:t>Toxicology assessments for Oncology Phase I have been primarily conducted through in-silico QSAR modeling.</w:t>
      </w:r>
    </w:p>
    <w:p>
      <w:r>
        <w:t>*   **Overall Risk:** QSAR modeling predicts no significant risks identified from a general toxicology perspective.</w:t>
      </w:r>
    </w:p>
    <w:p>
      <w:r>
        <w:t>*   **Genotoxicity:** In-silico prediction for the Ames test was negative, suggesting a low risk of genotoxicity.</w:t>
      </w:r>
    </w:p>
    <w:p>
      <w:r>
        <w:t>*   **Hepatotoxicity:** Structural alert analysis indicates a low risk of hepatotoxicity.</w:t>
      </w:r>
    </w:p>
    <w:p>
      <w:r>
        <w:t>**5.5 Known Risks and Precautionary Measures**</w:t>
      </w:r>
    </w:p>
    <w:p>
      <w:r>
        <w:t>Based on in-silico safety assessments:</w:t>
      </w:r>
    </w:p>
    <w:p>
      <w:r>
        <w:t>*   **Cardiac Safety:** The hERG IC50 safety margin of 30.0x suggests an acceptable risk for cardiac repolarization effects. However, standard ECG monitoring will be implemented in clinical trials.</w:t>
      </w:r>
    </w:p>
    <w:p>
      <w:r>
        <w:t>*   **Hepatotoxicity:** While computational analysis indicates a low risk, liver function tests will be closely monitored during clinical trials.</w:t>
      </w:r>
    </w:p>
    <w:p>
      <w:r>
        <w:t>*   **Genotoxicity:** In-silico predictions suggest a negative genotoxic profile.</w:t>
      </w:r>
    </w:p>
    <w:p>
      <w:r>
        <w:t>*   **Overall Risk:** The overall risk score of 75.0/100 suggests a generally low risk profile based on computational models.</w:t>
      </w:r>
    </w:p>
    <w:p>
      <w:r>
        <w:t>Precautionary measures in the clinical trial will include:</w:t>
      </w:r>
    </w:p>
    <w:p>
      <w:r>
        <w:t>*   Careful patient selection based on inclusion/exclusion criteria.</w:t>
      </w:r>
    </w:p>
    <w:p>
      <w:r>
        <w:t>*   Close monitoring of adverse events, vital signs, clinical laboratory parameters, and ECGs.</w:t>
      </w:r>
    </w:p>
    <w:p>
      <w:r>
        <w:t>*   Dose escalation guided by safety and tolerability.</w:t>
      </w:r>
    </w:p>
    <w:p>
      <w:pPr>
        <w:pStyle w:val="Heading2"/>
      </w:pPr>
      <w:r>
        <w:t>Section 8: Pharmacology and Toxicology</w:t>
      </w:r>
    </w:p>
    <w:p>
      <w:r>
        <w:t>**8.1 Introduction**</w:t>
      </w:r>
    </w:p>
    <w:p>
      <w:r>
        <w:t>Oncology Phase I is a small molecule drug candidate with the chemical structure C1=COC(=C1)CNC2=CC(=C(C=C2C(=O)O)S(=O)(=O)N)Cl. It belongs to the drug class of small molecules and is being developed for oncology indications. The precise pharmacologic class and mechanism of action are [Mechanism of Action - To Be Determined].</w:t>
      </w:r>
    </w:p>
    <w:p>
      <w:r>
        <w:t>**8.2 Non-Clinical Pharmacology**</w:t>
      </w:r>
    </w:p>
    <w:p>
      <w:r>
        <w:t>**Interspecies PK Comparison (Rat, Dog, Monkey vs Human):**</w:t>
      </w:r>
    </w:p>
    <w:p>
      <w:r>
        <w:t>No experimental non-clinical pharmacokinetic data are available for interspecies comparison.</w:t>
      </w:r>
    </w:p>
    <w:p>
      <w:r>
        <w:t>| Species | Clearance (mL/min/kg) | Vss (L/kg) | Fup (%) |</w:t>
      </w:r>
    </w:p>
    <w:p>
      <w:r>
        <w:t>|:---|:---|:---|:---|</w:t>
      </w:r>
    </w:p>
    <w:p>
      <w:r>
        <w:t>| Rat | None | None | None% |</w:t>
      </w:r>
    </w:p>
    <w:p>
      <w:r>
        <w:t>| Dog | None | None | None% |</w:t>
      </w:r>
    </w:p>
    <w:p>
      <w:r>
        <w:t>| Monkey | None | None | None% |</w:t>
      </w:r>
    </w:p>
    <w:p>
      <w:r>
        <w:t>**Allometric Scaling Justification:**</w:t>
      </w:r>
    </w:p>
    <w:p>
      <w:r>
        <w:t>Due to the absence of experimental non-clinical pharmacokinetic data across species, allometric scaling for human dose prediction is not feasible at this time. The initial human dose of 100.0 mg QD is based on in-silico mPBPK predictions and is considered a conservative starting dose for a Phase 1 study. [PLACEHOLDER: description of required non-clinical PK data for allometric scaling]</w:t>
      </w:r>
    </w:p>
    <w:p>
      <w:r>
        <w:t>**8.3 Pharmacokinetics**</w:t>
      </w:r>
    </w:p>
    <w:p>
      <w:r>
        <w:t>Pharmacokinetic parameters for Oncology Phase I have been primarily derived from in-silico mPBPK modeling. These computational predictions suggest the following profile:</w:t>
      </w:r>
    </w:p>
    <w:p>
      <w:r>
        <w:t>| Parameter | Predicted Value | Unit |</w:t>
      </w:r>
    </w:p>
    <w:p>
      <w:r>
        <w:t>|:---|:---|:---|</w:t>
      </w:r>
    </w:p>
    <w:p>
      <w:r>
        <w:t>| Cmax | 1500.0 | ng/mL |</w:t>
      </w:r>
    </w:p>
    <w:p>
      <w:r>
        <w:t>| AUC (0-∞) | 25000.0 | ng·h/mL |</w:t>
      </w:r>
    </w:p>
    <w:p>
      <w:r>
        <w:t>| Terminal Half-life | 12.0 | hours |</w:t>
      </w:r>
    </w:p>
    <w:p>
      <w:r>
        <w:t>| Target Occupancy at Trough | 0.0 | % |</w:t>
      </w:r>
    </w:p>
    <w:p>
      <w:r>
        <w:t>| Volume of Distribution | 0.5 | L/kg |</w:t>
      </w:r>
    </w:p>
    <w:p>
      <w:r>
        <w:t>| Clearance | N/A | mL/min/kg |</w:t>
      </w:r>
    </w:p>
    <w:p>
      <w:r>
        <w:t>| Half-life | 12.0 | h |</w:t>
      </w:r>
    </w:p>
    <w:p>
      <w:r>
        <w:t>| Fraction Unbound | N/A% | |</w:t>
      </w:r>
    </w:p>
    <w:p>
      <w:r>
        <w:t>Computational analysis predicts a terminal half-life of 12.0 hours, which suggests suitability for once-daily dosing. The predicted volume of distribution of 0.5 L/kg indicates moderate distribution into tissues. These in-silico predictions will be validated through clinical pharmacokinetic assessments in the proposed Phase 1 study.</w:t>
      </w:r>
    </w:p>
    <w:p>
      <w:r>
        <w:t>**8.4 Toxicology**</w:t>
      </w:r>
    </w:p>
    <w:p>
      <w:r>
        <w:t>Toxicology assessments for Oncology Phase I have been primarily conducted through in-silico QSAR modeling.</w:t>
      </w:r>
    </w:p>
    <w:p>
      <w:r>
        <w:t>*   **Overall Risk:** QSAR modeling predicts no significant risks identified. This computational analysis suggests a favorable toxicological profile.</w:t>
      </w:r>
    </w:p>
    <w:p>
      <w:r>
        <w:t>*   **Genotoxicity:** In-silico prediction for the Ames test was negative, indicating a low computational risk of genotoxicity.</w:t>
      </w:r>
    </w:p>
    <w:p>
      <w:r>
        <w:t>*   **Hepatotoxicity:** Structural alert analysis indicates a low computational risk of hepatotoxicity.</w:t>
      </w:r>
    </w:p>
    <w:p>
      <w:r>
        <w:t>These in-silico predictions suggest a generally low toxicological risk profile for Oncology Phase I. [PLACEHOLDER: description of required in-vitro and in-vivo toxicology studies]</w:t>
      </w:r>
    </w:p>
    <w:p>
      <w:r>
        <w:t>**8.5 Safety Pharmacology**</w:t>
      </w:r>
    </w:p>
    <w:p>
      <w:r>
        <w:t>*   **hERG Assessment:** In-silico assessment of hERG inhibition indicates a safety margin of 30.0x. This computational prediction suggests an acceptable risk for cardiac repolarization effects.</w:t>
      </w:r>
    </w:p>
    <w:p>
      <w:r>
        <w:t>*   **Cardiovascular Safety:** Based on the hERG assessment, the computational analysis suggests a low risk for significant cardiovascular safety concerns. However, clinical monitoring of ECGs will be performed during the Phase 1 study. [PLACEHOLDER: description of required in-vitro and in-vivo safety pharmacology studies]</w:t>
      </w:r>
    </w:p>
    <w:p>
      <w:r>
        <w:t>**8.6 GLP Compliance Statement**</w:t>
      </w:r>
    </w:p>
    <w:p>
      <w:r>
        <w:t>[PLACEHOLDER: Statement regarding GLP compliance of non-clinical studies, if applicable. If no GLP studies were conducted, a statement to that effect.]</w:t>
      </w:r>
    </w:p>
    <w:p>
      <w:r>
        <w:t>**8.7 Evaluator Statement**</w:t>
      </w:r>
    </w:p>
    <w:p>
      <w:r>
        <w:t>[PLACEHOLDER: Statement from an independent evaluator, if applicable.]</w:t>
      </w:r>
    </w:p>
    <w:p>
      <w:r>
        <w:t>**8.8 References**</w:t>
      </w:r>
    </w:p>
    <w:p>
      <w:r>
        <w:t>[PLACEHOLDER: List of all relevant references cited in the Pharmacology and Toxicology section.]</w:t>
      </w:r>
    </w:p>
    <w:p>
      <w:r>
        <w:br w:type="page"/>
      </w:r>
    </w:p>
    <w:p>
      <w:r>
        <w:rPr>
          <w:b/>
        </w:rPr>
        <w:t>DISCLAIMER: This document is an AI-generated draft for prototype demonstration purposes only. It does NOT replace experimental data or professional regulatory review. Verify all values against original study reports.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