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AFA80"/>
    <w:p w14:paraId="1072DF06"/>
    <w:p w14:paraId="6503A4F3"/>
    <w:p w14:paraId="7A95BB84"/>
    <w:p w14:paraId="16668B47"/>
    <w:p w14:paraId="76A7AEB4"/>
    <w:p w14:paraId="69A4E9B6"/>
    <w:p w14:paraId="417CCA3E"/>
    <w:p w14:paraId="28DF910C"/>
    <w:p w14:paraId="57BADEB9"/>
    <w:p w14:paraId="04FFB585">
      <w:bookmarkStart w:id="0" w:name="_GoBack"/>
      <w:bookmarkEnd w:id="0"/>
    </w:p>
    <w:p w14:paraId="78626DD7"/>
    <w:p w14:paraId="381299C3"/>
    <w:p w14:paraId="6A17D581"/>
    <w:p w14:paraId="682EF46A"/>
    <w:p w14:paraId="65B4A900"/>
    <w:p w14:paraId="68FB5CA8"/>
    <w:p w14:paraId="697F299A"/>
    <w:p w14:paraId="1AE16038"/>
    <w:p w14:paraId="5DF01A29"/>
    <w:p w14:paraId="3B98B9B9"/>
    <w:p w14:paraId="3A9949DE"/>
    <w:p w14:paraId="2D0E05CC"/>
    <w:p w14:paraId="295A3DF6"/>
    <w:p w14:paraId="2E49E730"/>
    <w:p w14:paraId="76475297"/>
    <w:p w14:paraId="27216CD5">
      <w:pPr>
        <w:rPr>
          <w:rFonts w:hint="default" w:ascii="Times New Roman" w:hAnsi="Times New Roman" w:cs="Times New Roman"/>
          <w:b/>
          <w:bCs/>
          <w:sz w:val="36"/>
          <w:szCs w:val="36"/>
        </w:rPr>
      </w:pPr>
      <w:r>
        <w:rPr>
          <w:rFonts w:hint="default" w:ascii="Times New Roman" w:hAnsi="Times New Roman"/>
          <w:b/>
          <w:bCs/>
          <w:sz w:val="36"/>
          <w:szCs w:val="36"/>
        </w:rPr>
        <w:t>Case briefing and evidence acquisition protocol</w:t>
      </w:r>
    </w:p>
    <w:p w14:paraId="13694010">
      <w:pPr>
        <w:rPr>
          <w:rFonts w:hint="default" w:ascii="Times New Roman" w:hAnsi="Times New Roman" w:cs="Times New Roman"/>
          <w:b/>
          <w:bCs/>
          <w:sz w:val="36"/>
          <w:szCs w:val="36"/>
        </w:rPr>
      </w:pPr>
    </w:p>
    <w:p w14:paraId="0C943268">
      <w:pPr>
        <w:rPr>
          <w:rFonts w:hint="default" w:ascii="Times New Roman" w:hAnsi="Times New Roman" w:cs="Times New Roman"/>
          <w:b/>
          <w:bCs/>
          <w:sz w:val="36"/>
          <w:szCs w:val="36"/>
        </w:rPr>
      </w:pPr>
    </w:p>
    <w:p w14:paraId="7086AEBC">
      <w:pPr>
        <w:rPr>
          <w:rFonts w:hint="default" w:ascii="Times New Roman" w:hAnsi="Times New Roman" w:cs="Times New Roman"/>
          <w:b/>
          <w:bCs/>
          <w:sz w:val="36"/>
          <w:szCs w:val="36"/>
        </w:rPr>
      </w:pPr>
    </w:p>
    <w:p w14:paraId="2F7E22DA">
      <w:pPr>
        <w:rPr>
          <w:rFonts w:hint="default" w:ascii="Times New Roman" w:hAnsi="Times New Roman" w:cs="Times New Roman"/>
          <w:b/>
          <w:bCs/>
          <w:sz w:val="36"/>
          <w:szCs w:val="36"/>
        </w:rPr>
      </w:pPr>
    </w:p>
    <w:p w14:paraId="57B0B07F">
      <w:pPr>
        <w:rPr>
          <w:rFonts w:hint="default" w:ascii="Times New Roman" w:hAnsi="Times New Roman" w:cs="Times New Roman"/>
          <w:b/>
          <w:bCs/>
          <w:sz w:val="36"/>
          <w:szCs w:val="36"/>
        </w:rPr>
      </w:pPr>
    </w:p>
    <w:p w14:paraId="007C88C0">
      <w:pPr>
        <w:rPr>
          <w:rFonts w:hint="default" w:ascii="Times New Roman" w:hAnsi="Times New Roman" w:cs="Times New Roman"/>
          <w:b/>
          <w:bCs/>
          <w:sz w:val="36"/>
          <w:szCs w:val="36"/>
        </w:rPr>
      </w:pPr>
    </w:p>
    <w:p w14:paraId="39A78813">
      <w:pPr>
        <w:rPr>
          <w:rFonts w:hint="default" w:ascii="Times New Roman" w:hAnsi="Times New Roman" w:cs="Times New Roman"/>
          <w:b/>
          <w:bCs/>
          <w:sz w:val="36"/>
          <w:szCs w:val="36"/>
        </w:rPr>
      </w:pPr>
    </w:p>
    <w:p w14:paraId="6DEF47E8">
      <w:pPr>
        <w:rPr>
          <w:rFonts w:hint="default" w:ascii="Times New Roman" w:hAnsi="Times New Roman" w:cs="Times New Roman"/>
          <w:b/>
          <w:bCs/>
          <w:sz w:val="36"/>
          <w:szCs w:val="36"/>
        </w:rPr>
      </w:pPr>
    </w:p>
    <w:p w14:paraId="676AE7E5">
      <w:pPr>
        <w:rPr>
          <w:rFonts w:hint="default" w:ascii="Times New Roman" w:hAnsi="Times New Roman" w:cs="Times New Roman"/>
          <w:b/>
          <w:bCs/>
          <w:sz w:val="36"/>
          <w:szCs w:val="36"/>
        </w:rPr>
      </w:pPr>
    </w:p>
    <w:p w14:paraId="6C57DA2C">
      <w:pPr>
        <w:rPr>
          <w:rFonts w:hint="default" w:ascii="Times New Roman" w:hAnsi="Times New Roman" w:cs="Times New Roman"/>
          <w:b/>
          <w:bCs/>
          <w:sz w:val="36"/>
          <w:szCs w:val="36"/>
        </w:rPr>
      </w:pPr>
    </w:p>
    <w:p w14:paraId="21344AD9">
      <w:pPr>
        <w:rPr>
          <w:rFonts w:hint="default" w:ascii="Times New Roman" w:hAnsi="Times New Roman" w:cs="Times New Roman"/>
          <w:b/>
          <w:bCs/>
          <w:sz w:val="36"/>
          <w:szCs w:val="36"/>
        </w:rPr>
      </w:pPr>
    </w:p>
    <w:p w14:paraId="17738A06">
      <w:pPr>
        <w:rPr>
          <w:rFonts w:hint="default" w:ascii="Times New Roman" w:hAnsi="Times New Roman" w:cs="Times New Roman"/>
          <w:b/>
          <w:bCs/>
          <w:sz w:val="36"/>
          <w:szCs w:val="36"/>
        </w:rPr>
      </w:pPr>
    </w:p>
    <w:p w14:paraId="43BF1DAC">
      <w:pPr>
        <w:rPr>
          <w:rFonts w:hint="default" w:ascii="Times New Roman" w:hAnsi="Times New Roman" w:cs="Times New Roman"/>
          <w:b/>
          <w:bCs/>
          <w:sz w:val="36"/>
          <w:szCs w:val="36"/>
        </w:rPr>
      </w:pPr>
    </w:p>
    <w:p w14:paraId="5966B559">
      <w:pPr>
        <w:rPr>
          <w:rFonts w:hint="default" w:ascii="Times New Roman" w:hAnsi="Times New Roman" w:cs="Times New Roman"/>
          <w:b/>
          <w:bCs/>
          <w:sz w:val="36"/>
          <w:szCs w:val="36"/>
        </w:rPr>
      </w:pPr>
    </w:p>
    <w:p w14:paraId="01AC4D43">
      <w:pPr>
        <w:rPr>
          <w:rFonts w:hint="default" w:ascii="Times New Roman" w:hAnsi="Times New Roman" w:cs="Times New Roman"/>
          <w:b/>
          <w:bCs/>
          <w:sz w:val="36"/>
          <w:szCs w:val="36"/>
        </w:rPr>
      </w:pPr>
    </w:p>
    <w:p w14:paraId="7E6C909B">
      <w:pPr>
        <w:rPr>
          <w:rFonts w:hint="default" w:ascii="Times New Roman" w:hAnsi="Times New Roman" w:cs="Times New Roman"/>
          <w:b/>
          <w:bCs/>
          <w:sz w:val="36"/>
          <w:szCs w:val="36"/>
        </w:rPr>
      </w:pPr>
    </w:p>
    <w:p w14:paraId="0181044B">
      <w:pPr>
        <w:rPr>
          <w:rFonts w:hint="default" w:ascii="Times New Roman" w:hAnsi="Times New Roman" w:eastAsia="SimSun" w:cs="Times New Roman"/>
          <w:b/>
          <w:bCs/>
          <w:sz w:val="36"/>
          <w:szCs w:val="36"/>
        </w:rPr>
      </w:pPr>
    </w:p>
    <w:p w14:paraId="7D2133AD">
      <w:pPr>
        <w:rPr>
          <w:rFonts w:hint="default" w:ascii="Times New Roman" w:hAnsi="Times New Roman" w:cs="Times New Roman"/>
          <w:b/>
          <w:bCs/>
          <w:sz w:val="36"/>
          <w:szCs w:val="36"/>
        </w:rPr>
      </w:pPr>
      <w:r>
        <w:rPr>
          <w:rFonts w:hint="default" w:ascii="Times New Roman" w:hAnsi="Times New Roman" w:eastAsia="SimSun" w:cs="Times New Roman"/>
          <w:b/>
          <w:bCs/>
          <w:sz w:val="36"/>
          <w:szCs w:val="36"/>
        </w:rPr>
        <w:t>Case Scenario Overview</w:t>
      </w:r>
    </w:p>
    <w:p w14:paraId="65CC1A5C">
      <w:pPr>
        <w:rPr>
          <w:rFonts w:hint="default" w:ascii="Times New Roman" w:hAnsi="Times New Roman" w:cs="Times New Roman"/>
          <w:b/>
          <w:bCs/>
          <w:sz w:val="36"/>
          <w:szCs w:val="36"/>
        </w:rPr>
      </w:pPr>
    </w:p>
    <w:p w14:paraId="1E4C738A">
      <w:pPr>
        <w:pStyle w:val="4"/>
        <w:keepNext w:val="0"/>
        <w:keepLines w:val="0"/>
        <w:widowControl/>
        <w:suppressLineNumbers w:val="0"/>
        <w:rPr>
          <w:sz w:val="28"/>
          <w:szCs w:val="28"/>
        </w:rPr>
      </w:pPr>
      <w:r>
        <w:rPr>
          <w:rStyle w:val="5"/>
          <w:sz w:val="28"/>
          <w:szCs w:val="28"/>
        </w:rPr>
        <w:t>Incident Type:</w:t>
      </w:r>
    </w:p>
    <w:p w14:paraId="6FC867C7">
      <w:pPr>
        <w:pStyle w:val="4"/>
        <w:keepNext w:val="0"/>
        <w:keepLines w:val="0"/>
        <w:widowControl/>
        <w:numPr>
          <w:ilvl w:val="0"/>
          <w:numId w:val="1"/>
        </w:numPr>
        <w:suppressLineNumbers w:val="0"/>
        <w:ind w:left="420" w:leftChars="0" w:hanging="420" w:firstLineChars="0"/>
      </w:pPr>
      <w:r>
        <w:t>Suspicious system compromise / possible malware incident</w:t>
      </w:r>
    </w:p>
    <w:p w14:paraId="17E493EE">
      <w:pPr>
        <w:pStyle w:val="4"/>
        <w:keepNext w:val="0"/>
        <w:keepLines w:val="0"/>
        <w:widowControl/>
        <w:suppressLineNumbers w:val="0"/>
      </w:pPr>
      <w:r>
        <w:rPr>
          <w:rStyle w:val="5"/>
          <w:sz w:val="28"/>
          <w:szCs w:val="28"/>
        </w:rPr>
        <w:t>Incident Summary:</w:t>
      </w:r>
      <w:r>
        <w:rPr>
          <w:sz w:val="28"/>
          <w:szCs w:val="28"/>
        </w:rPr>
        <w:br w:type="textWrapping"/>
      </w:r>
      <w:r>
        <w:t>On a morning in 2015, an IT department employee logged into their workstation and discovered a text file on the desktop containing a mysterious message. No other immediate signs of compromise were observed. The IT security team was notified, and an initial investigation was launched to determine whether the system had been compromised by malware or insider activity.</w:t>
      </w:r>
    </w:p>
    <w:p w14:paraId="293D8DED">
      <w:pPr>
        <w:pStyle w:val="4"/>
        <w:keepNext w:val="0"/>
        <w:keepLines w:val="0"/>
        <w:widowControl/>
        <w:suppressLineNumbers w:val="0"/>
        <w:rPr>
          <w:b/>
          <w:bCs/>
          <w:sz w:val="28"/>
          <w:szCs w:val="28"/>
        </w:rPr>
      </w:pPr>
      <w:r>
        <w:rPr>
          <w:rStyle w:val="5"/>
          <w:b/>
          <w:bCs/>
          <w:sz w:val="28"/>
          <w:szCs w:val="28"/>
        </w:rPr>
        <w:t>Impact Assessment:</w:t>
      </w:r>
    </w:p>
    <w:p w14:paraId="37253942">
      <w:pPr>
        <w:pStyle w:val="4"/>
        <w:keepNext w:val="0"/>
        <w:keepLines w:val="0"/>
        <w:widowControl/>
        <w:numPr>
          <w:ilvl w:val="0"/>
          <w:numId w:val="1"/>
        </w:numPr>
        <w:suppressLineNumbers w:val="0"/>
        <w:ind w:left="420" w:leftChars="0" w:hanging="420" w:firstLineChars="0"/>
      </w:pPr>
      <w:r>
        <w:rPr>
          <w:rStyle w:val="5"/>
        </w:rPr>
        <w:t>Affected Host:</w:t>
      </w:r>
      <w:r>
        <w:t xml:space="preserve"> Single workstation of the reporting IT staff</w:t>
      </w:r>
    </w:p>
    <w:p w14:paraId="6B17A621">
      <w:pPr>
        <w:pStyle w:val="4"/>
        <w:keepNext w:val="0"/>
        <w:keepLines w:val="0"/>
        <w:widowControl/>
        <w:numPr>
          <w:ilvl w:val="0"/>
          <w:numId w:val="1"/>
        </w:numPr>
        <w:suppressLineNumbers w:val="0"/>
        <w:ind w:left="420" w:leftChars="0" w:hanging="420" w:firstLineChars="0"/>
      </w:pPr>
      <w:r>
        <w:rPr>
          <w:rStyle w:val="5"/>
        </w:rPr>
        <w:t>User:</w:t>
      </w:r>
      <w:r>
        <w:t xml:space="preserve"> Internal IT employee</w:t>
      </w:r>
    </w:p>
    <w:p w14:paraId="55C46E44">
      <w:pPr>
        <w:pStyle w:val="4"/>
        <w:keepNext w:val="0"/>
        <w:keepLines w:val="0"/>
        <w:widowControl/>
        <w:numPr>
          <w:ilvl w:val="0"/>
          <w:numId w:val="1"/>
        </w:numPr>
        <w:suppressLineNumbers w:val="0"/>
        <w:ind w:left="420" w:leftChars="0" w:hanging="420" w:firstLineChars="0"/>
      </w:pPr>
      <w:r>
        <w:rPr>
          <w:rStyle w:val="5"/>
        </w:rPr>
        <w:t>Timeline:</w:t>
      </w:r>
    </w:p>
    <w:p w14:paraId="4A8B2A5E">
      <w:pPr>
        <w:pStyle w:val="4"/>
        <w:keepNext w:val="0"/>
        <w:keepLines w:val="0"/>
        <w:widowControl/>
        <w:suppressLineNumbers w:val="0"/>
        <w:ind w:firstLine="720" w:firstLineChars="0"/>
      </w:pPr>
      <w:r>
        <w:rPr>
          <w:rFonts w:hint="default"/>
          <w:lang w:val="en-US"/>
        </w:rPr>
        <w:t>08</w:t>
      </w:r>
      <w:r>
        <w:t>:30 AM – Employee logs in and discovers the message</w:t>
      </w:r>
    </w:p>
    <w:p w14:paraId="2B939037">
      <w:pPr>
        <w:pStyle w:val="4"/>
        <w:keepNext w:val="0"/>
        <w:keepLines w:val="0"/>
        <w:widowControl/>
        <w:suppressLineNumbers w:val="0"/>
        <w:ind w:firstLine="720" w:firstLineChars="0"/>
      </w:pPr>
      <w:r>
        <w:t>08:45 AM – Incident reported to IT security team</w:t>
      </w:r>
    </w:p>
    <w:p w14:paraId="12378FB0">
      <w:pPr>
        <w:pStyle w:val="4"/>
        <w:keepNext w:val="0"/>
        <w:keepLines w:val="0"/>
        <w:widowControl/>
        <w:suppressLineNumbers w:val="0"/>
        <w:ind w:firstLine="720" w:firstLineChars="0"/>
      </w:pPr>
      <w:r>
        <w:t xml:space="preserve">09:00–11:00 AM – Preliminary investigation conducted using system logs and </w:t>
      </w:r>
      <w:r>
        <w:rPr>
          <w:rFonts w:hint="default"/>
          <w:lang w:val="en-US"/>
        </w:rPr>
        <w:tab/>
      </w:r>
      <w:r>
        <w:t>file inspection</w:t>
      </w:r>
    </w:p>
    <w:p w14:paraId="10B0F9B8">
      <w:pPr>
        <w:pStyle w:val="4"/>
        <w:keepNext w:val="0"/>
        <w:keepLines w:val="0"/>
        <w:widowControl/>
        <w:suppressLineNumbers w:val="0"/>
        <w:ind w:firstLine="720" w:firstLineChars="0"/>
      </w:pPr>
      <w:r>
        <w:t xml:space="preserve">Initial investigation was inconclusive, and the case was later reopened for </w:t>
      </w:r>
      <w:r>
        <w:rPr>
          <w:rFonts w:hint="default"/>
          <w:lang w:val="en-US"/>
        </w:rPr>
        <w:tab/>
      </w:r>
      <w:r>
        <w:t>further forensic analysis</w:t>
      </w:r>
    </w:p>
    <w:p w14:paraId="5B74074A">
      <w:pPr>
        <w:pStyle w:val="4"/>
        <w:keepNext w:val="0"/>
        <w:keepLines w:val="0"/>
        <w:widowControl/>
        <w:suppressLineNumbers w:val="0"/>
        <w:ind w:firstLine="720" w:firstLineChars="0"/>
      </w:pPr>
    </w:p>
    <w:p w14:paraId="6DC31F96">
      <w:pPr>
        <w:pStyle w:val="4"/>
        <w:keepNext w:val="0"/>
        <w:keepLines w:val="0"/>
        <w:widowControl/>
        <w:suppressLineNumbers w:val="0"/>
      </w:pPr>
      <w:r>
        <w:rPr>
          <w:rStyle w:val="5"/>
          <w:sz w:val="28"/>
          <w:szCs w:val="28"/>
        </w:rPr>
        <w:t>Evidence Collection:</w:t>
      </w:r>
      <w:r>
        <w:rPr>
          <w:sz w:val="28"/>
          <w:szCs w:val="28"/>
        </w:rPr>
        <w:br w:type="textWrapping"/>
      </w:r>
      <w:r>
        <w:t>A comprehensive set of digital evidence was collected for analysis, including:</w:t>
      </w:r>
    </w:p>
    <w:p w14:paraId="3DED6272">
      <w:pPr>
        <w:pStyle w:val="4"/>
        <w:keepNext w:val="0"/>
        <w:keepLines w:val="0"/>
        <w:widowControl/>
        <w:numPr>
          <w:ilvl w:val="0"/>
          <w:numId w:val="1"/>
        </w:numPr>
        <w:suppressLineNumbers w:val="0"/>
        <w:ind w:left="420" w:leftChars="0" w:hanging="420" w:firstLineChars="0"/>
      </w:pPr>
      <w:r>
        <w:rPr>
          <w:rStyle w:val="5"/>
        </w:rPr>
        <w:t>Security logs</w:t>
      </w:r>
      <w:r>
        <w:t xml:space="preserve"> from the Windows Event Viewer</w:t>
      </w:r>
    </w:p>
    <w:p w14:paraId="6A286235">
      <w:pPr>
        <w:pStyle w:val="4"/>
        <w:keepNext w:val="0"/>
        <w:keepLines w:val="0"/>
        <w:widowControl/>
        <w:numPr>
          <w:ilvl w:val="0"/>
          <w:numId w:val="1"/>
        </w:numPr>
        <w:suppressLineNumbers w:val="0"/>
        <w:ind w:left="420" w:leftChars="0" w:hanging="420" w:firstLineChars="0"/>
      </w:pPr>
      <w:r>
        <w:rPr>
          <w:rStyle w:val="5"/>
        </w:rPr>
        <w:t>Amache files</w:t>
      </w:r>
      <w:r>
        <w:t xml:space="preserve"> (indicating execution history and system activity)</w:t>
      </w:r>
    </w:p>
    <w:p w14:paraId="4CC68553">
      <w:pPr>
        <w:pStyle w:val="4"/>
        <w:keepNext w:val="0"/>
        <w:keepLines w:val="0"/>
        <w:widowControl/>
        <w:numPr>
          <w:ilvl w:val="0"/>
          <w:numId w:val="1"/>
        </w:numPr>
        <w:suppressLineNumbers w:val="0"/>
        <w:ind w:left="420" w:leftChars="0" w:hanging="420" w:firstLineChars="0"/>
      </w:pPr>
      <w:r>
        <w:t xml:space="preserve">A </w:t>
      </w:r>
      <w:r>
        <w:rPr>
          <w:rStyle w:val="5"/>
        </w:rPr>
        <w:t>malicious replaced executable</w:t>
      </w:r>
    </w:p>
    <w:p w14:paraId="1A26C031">
      <w:pPr>
        <w:pStyle w:val="4"/>
        <w:keepNext w:val="0"/>
        <w:keepLines w:val="0"/>
        <w:widowControl/>
        <w:numPr>
          <w:ilvl w:val="0"/>
          <w:numId w:val="1"/>
        </w:numPr>
        <w:suppressLineNumbers w:val="0"/>
        <w:ind w:left="420" w:leftChars="0" w:hanging="420" w:firstLineChars="0"/>
      </w:pPr>
      <w:r>
        <w:rPr>
          <w:rStyle w:val="5"/>
        </w:rPr>
        <w:t>LNK files</w:t>
      </w:r>
      <w:r>
        <w:t xml:space="preserve"> (Windows shortcut artifacts)</w:t>
      </w:r>
    </w:p>
    <w:p w14:paraId="0092319D">
      <w:pPr>
        <w:pStyle w:val="4"/>
        <w:keepNext w:val="0"/>
        <w:keepLines w:val="0"/>
        <w:widowControl/>
        <w:numPr>
          <w:ilvl w:val="0"/>
          <w:numId w:val="1"/>
        </w:numPr>
        <w:suppressLineNumbers w:val="0"/>
        <w:ind w:left="420" w:leftChars="0" w:hanging="420" w:firstLineChars="0"/>
        <w:rPr>
          <w:rFonts w:hint="default"/>
        </w:rPr>
      </w:pPr>
      <w:r>
        <w:rPr>
          <w:rStyle w:val="5"/>
        </w:rPr>
        <w:t>Registry hives</w:t>
      </w:r>
      <w:r>
        <w:t xml:space="preserve"> relevant to recent user activity and executed applications</w:t>
      </w:r>
    </w:p>
    <w:p w14:paraId="304ED93A">
      <w:pPr>
        <w:pStyle w:val="4"/>
        <w:keepNext w:val="0"/>
        <w:keepLines w:val="0"/>
        <w:widowControl/>
        <w:numPr>
          <w:ilvl w:val="0"/>
          <w:numId w:val="0"/>
        </w:numPr>
        <w:suppressLineNumbers w:val="0"/>
        <w:spacing w:before="0" w:beforeAutospacing="1" w:after="0" w:afterAutospacing="1"/>
        <w:ind w:right="0" w:rightChars="0"/>
        <w:jc w:val="left"/>
      </w:pPr>
    </w:p>
    <w:p w14:paraId="3A4F3F5C">
      <w:pPr>
        <w:pStyle w:val="4"/>
        <w:keepNext w:val="0"/>
        <w:keepLines w:val="0"/>
        <w:widowControl/>
        <w:numPr>
          <w:ilvl w:val="0"/>
          <w:numId w:val="0"/>
        </w:numPr>
        <w:suppressLineNumbers w:val="0"/>
        <w:spacing w:before="0" w:beforeAutospacing="1" w:after="0" w:afterAutospacing="1"/>
        <w:ind w:right="0" w:rightChars="0"/>
        <w:jc w:val="left"/>
      </w:pPr>
    </w:p>
    <w:p w14:paraId="233B594A">
      <w:pPr>
        <w:pStyle w:val="4"/>
        <w:keepNext w:val="0"/>
        <w:keepLines w:val="0"/>
        <w:widowControl/>
        <w:numPr>
          <w:ilvl w:val="0"/>
          <w:numId w:val="0"/>
        </w:numPr>
        <w:suppressLineNumbers w:val="0"/>
        <w:spacing w:before="0" w:beforeAutospacing="1" w:after="0" w:afterAutospacing="1"/>
        <w:ind w:right="0" w:rightChars="0"/>
        <w:jc w:val="left"/>
      </w:pPr>
    </w:p>
    <w:p w14:paraId="715B1ECE">
      <w:pPr>
        <w:pStyle w:val="4"/>
        <w:keepNext w:val="0"/>
        <w:keepLines w:val="0"/>
        <w:widowControl/>
        <w:numPr>
          <w:ilvl w:val="0"/>
          <w:numId w:val="0"/>
        </w:numPr>
        <w:suppressLineNumbers w:val="0"/>
        <w:spacing w:before="0" w:beforeAutospacing="1" w:after="0" w:afterAutospacing="1"/>
        <w:ind w:right="0" w:rightChars="0"/>
        <w:jc w:val="left"/>
      </w:pPr>
    </w:p>
    <w:p w14:paraId="5B16883D">
      <w:pPr>
        <w:pStyle w:val="4"/>
        <w:keepNext w:val="0"/>
        <w:keepLines w:val="0"/>
        <w:widowControl/>
        <w:suppressLineNumbers w:val="0"/>
        <w:rPr>
          <w:sz w:val="28"/>
          <w:szCs w:val="28"/>
        </w:rPr>
      </w:pPr>
      <w:r>
        <w:rPr>
          <w:rStyle w:val="5"/>
          <w:sz w:val="28"/>
          <w:szCs w:val="28"/>
        </w:rPr>
        <w:t>Forensic Tools Utilized:</w:t>
      </w:r>
    </w:p>
    <w:p w14:paraId="5E91451F">
      <w:pPr>
        <w:pStyle w:val="4"/>
        <w:keepNext w:val="0"/>
        <w:keepLines w:val="0"/>
        <w:widowControl/>
        <w:numPr>
          <w:ilvl w:val="0"/>
          <w:numId w:val="1"/>
        </w:numPr>
        <w:suppressLineNumbers w:val="0"/>
        <w:ind w:left="420" w:leftChars="0" w:hanging="420" w:firstLineChars="0"/>
      </w:pPr>
      <w:r>
        <w:rPr>
          <w:rStyle w:val="5"/>
        </w:rPr>
        <w:t>FTK Imager</w:t>
      </w:r>
      <w:r>
        <w:t xml:space="preserve"> – for imaging and hashing (SHA1 and FTK hashing)</w:t>
      </w:r>
    </w:p>
    <w:p w14:paraId="2573E56B">
      <w:pPr>
        <w:pStyle w:val="4"/>
        <w:keepNext w:val="0"/>
        <w:keepLines w:val="0"/>
        <w:widowControl/>
        <w:numPr>
          <w:ilvl w:val="0"/>
          <w:numId w:val="1"/>
        </w:numPr>
        <w:suppressLineNumbers w:val="0"/>
        <w:ind w:left="420" w:leftChars="0" w:hanging="420" w:firstLineChars="0"/>
      </w:pPr>
      <w:r>
        <w:rPr>
          <w:rStyle w:val="5"/>
        </w:rPr>
        <w:t>MFTECmd</w:t>
      </w:r>
      <w:r>
        <w:t xml:space="preserve"> – for parsing Amache files</w:t>
      </w:r>
    </w:p>
    <w:p w14:paraId="4C236BF4">
      <w:pPr>
        <w:pStyle w:val="4"/>
        <w:keepNext w:val="0"/>
        <w:keepLines w:val="0"/>
        <w:widowControl/>
        <w:numPr>
          <w:ilvl w:val="0"/>
          <w:numId w:val="1"/>
        </w:numPr>
        <w:suppressLineNumbers w:val="0"/>
        <w:ind w:left="420" w:leftChars="0" w:hanging="420" w:firstLineChars="0"/>
      </w:pPr>
      <w:r>
        <w:rPr>
          <w:rStyle w:val="5"/>
        </w:rPr>
        <w:t>MFT Explorer</w:t>
      </w:r>
      <w:r>
        <w:t xml:space="preserve"> – for analyzing the Master File Tabl</w:t>
      </w:r>
    </w:p>
    <w:p w14:paraId="481C93AC">
      <w:pPr>
        <w:pStyle w:val="4"/>
        <w:keepNext w:val="0"/>
        <w:keepLines w:val="0"/>
        <w:widowControl/>
        <w:numPr>
          <w:ilvl w:val="0"/>
          <w:numId w:val="1"/>
        </w:numPr>
        <w:suppressLineNumbers w:val="0"/>
        <w:ind w:left="420" w:leftChars="0" w:hanging="420" w:firstLineChars="0"/>
      </w:pPr>
      <w:r>
        <w:rPr>
          <w:rStyle w:val="5"/>
        </w:rPr>
        <w:t>Timeline Explorer</w:t>
      </w:r>
      <w:r>
        <w:t xml:space="preserve"> – for constructing a detailed activity timeline</w:t>
      </w:r>
    </w:p>
    <w:p w14:paraId="7DD05A25">
      <w:pPr>
        <w:pStyle w:val="4"/>
        <w:keepNext w:val="0"/>
        <w:keepLines w:val="0"/>
        <w:widowControl/>
        <w:numPr>
          <w:ilvl w:val="0"/>
          <w:numId w:val="1"/>
        </w:numPr>
        <w:suppressLineNumbers w:val="0"/>
        <w:ind w:left="420" w:leftChars="0" w:hanging="420" w:firstLineChars="0"/>
      </w:pPr>
      <w:r>
        <w:rPr>
          <w:rStyle w:val="5"/>
        </w:rPr>
        <w:t>Event Viewer</w:t>
      </w:r>
      <w:r>
        <w:t xml:space="preserve"> – for reviewing Windows event logs</w:t>
      </w:r>
    </w:p>
    <w:p w14:paraId="0EFD9B46">
      <w:pPr>
        <w:pStyle w:val="4"/>
        <w:keepNext w:val="0"/>
        <w:keepLines w:val="0"/>
        <w:widowControl/>
        <w:numPr>
          <w:ilvl w:val="0"/>
          <w:numId w:val="1"/>
        </w:numPr>
        <w:suppressLineNumbers w:val="0"/>
        <w:ind w:left="420" w:leftChars="0" w:hanging="420" w:firstLineChars="0"/>
      </w:pPr>
      <w:r>
        <w:rPr>
          <w:rStyle w:val="5"/>
        </w:rPr>
        <w:t>Amache Parser</w:t>
      </w:r>
      <w:r>
        <w:t xml:space="preserve"> – for in-depth Amache artifact analysis</w:t>
      </w:r>
    </w:p>
    <w:p w14:paraId="0C0252A3">
      <w:pPr>
        <w:pStyle w:val="4"/>
        <w:keepNext w:val="0"/>
        <w:keepLines w:val="0"/>
        <w:widowControl/>
        <w:numPr>
          <w:ilvl w:val="0"/>
          <w:numId w:val="1"/>
        </w:numPr>
        <w:suppressLineNumbers w:val="0"/>
        <w:ind w:left="420" w:leftChars="0" w:hanging="420" w:firstLineChars="0"/>
      </w:pPr>
      <w:r>
        <w:rPr>
          <w:rStyle w:val="5"/>
        </w:rPr>
        <w:t>EaseUS</w:t>
      </w:r>
      <w:r>
        <w:t xml:space="preserve"> – for data recovery and deleted file retrieval</w:t>
      </w:r>
    </w:p>
    <w:p w14:paraId="3DE583D2">
      <w:pPr>
        <w:pStyle w:val="4"/>
        <w:keepNext w:val="0"/>
        <w:keepLines w:val="0"/>
        <w:widowControl/>
        <w:numPr>
          <w:ilvl w:val="0"/>
          <w:numId w:val="1"/>
        </w:numPr>
        <w:suppressLineNumbers w:val="0"/>
        <w:ind w:left="420" w:leftChars="0" w:hanging="420" w:firstLineChars="0"/>
        <w:rPr>
          <w:rFonts w:hint="default"/>
        </w:rPr>
      </w:pPr>
      <w:r>
        <w:rPr>
          <w:rStyle w:val="5"/>
        </w:rPr>
        <w:t>LECmd</w:t>
      </w:r>
      <w:r>
        <w:t xml:space="preserve"> – for analyzing security log and LNK artifacts</w:t>
      </w:r>
    </w:p>
    <w:p w14:paraId="5949FC8D">
      <w:pPr>
        <w:pStyle w:val="4"/>
        <w:keepNext w:val="0"/>
        <w:keepLines w:val="0"/>
        <w:widowControl/>
        <w:numPr>
          <w:ilvl w:val="0"/>
          <w:numId w:val="0"/>
        </w:numPr>
        <w:suppressLineNumbers w:val="0"/>
        <w:spacing w:before="0" w:beforeAutospacing="1" w:after="0" w:afterAutospacing="1"/>
        <w:ind w:right="0" w:rightChars="0"/>
        <w:jc w:val="left"/>
      </w:pPr>
    </w:p>
    <w:p w14:paraId="72E4929C">
      <w:pPr>
        <w:pStyle w:val="4"/>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Style w:val="5"/>
          <w:rFonts w:hint="default" w:ascii="Times New Roman" w:hAnsi="Times New Roman" w:eastAsia="SimSun" w:cs="Times New Roman"/>
          <w:sz w:val="28"/>
          <w:szCs w:val="28"/>
        </w:rPr>
        <w:t>Hashing and Verification:</w:t>
      </w:r>
      <w:r>
        <w:rPr>
          <w:rFonts w:ascii="SimSun" w:hAnsi="SimSun" w:eastAsia="SimSun" w:cs="SimSun"/>
          <w:sz w:val="24"/>
          <w:szCs w:val="24"/>
        </w:rPr>
        <w:br w:type="textWrapping"/>
      </w:r>
      <w:r>
        <w:rPr>
          <w:rFonts w:hint="default" w:ascii="Times New Roman" w:hAnsi="Times New Roman" w:eastAsia="SimSun" w:cs="Times New Roman"/>
          <w:sz w:val="24"/>
          <w:szCs w:val="24"/>
        </w:rPr>
        <w:t xml:space="preserve">All collected evidence was hashed to ensure integrity using </w:t>
      </w:r>
      <w:r>
        <w:rPr>
          <w:rStyle w:val="5"/>
          <w:rFonts w:hint="default" w:ascii="Times New Roman" w:hAnsi="Times New Roman" w:eastAsia="SimSun" w:cs="Times New Roman"/>
          <w:sz w:val="24"/>
          <w:szCs w:val="24"/>
        </w:rPr>
        <w:t>FTK Imager hashing</w:t>
      </w:r>
      <w:r>
        <w:rPr>
          <w:rFonts w:hint="default" w:ascii="Times New Roman" w:hAnsi="Times New Roman" w:eastAsia="SimSun" w:cs="Times New Roman"/>
          <w:sz w:val="24"/>
          <w:szCs w:val="24"/>
        </w:rPr>
        <w:t xml:space="preserve"> and </w:t>
      </w:r>
      <w:r>
        <w:rPr>
          <w:rFonts w:hint="default" w:ascii="Times New Roman" w:hAnsi="Times New Roman" w:eastAsia="SimSun" w:cs="Times New Roman"/>
          <w:sz w:val="24"/>
          <w:szCs w:val="24"/>
          <w:lang w:val="en-US"/>
        </w:rPr>
        <w:t>MD5</w:t>
      </w:r>
      <w:r>
        <w:rPr>
          <w:rFonts w:hint="default" w:cs="Times New Roman"/>
          <w:sz w:val="24"/>
          <w:szCs w:val="24"/>
          <w:lang w:val="en-GB"/>
        </w:rPr>
        <w:t>, SHA1</w:t>
      </w:r>
      <w:r>
        <w:rPr>
          <w:rFonts w:hint="default" w:ascii="Times New Roman" w:hAnsi="Times New Roman" w:eastAsia="SimSun" w:cs="Times New Roman"/>
          <w:sz w:val="24"/>
          <w:szCs w:val="24"/>
        </w:rPr>
        <w:t xml:space="preserve"> algorithms. Hash values were recorded to maintain forensic soundness and chain-of-custody compliance.</w:t>
      </w:r>
    </w:p>
    <w:p w14:paraId="6097BECA">
      <w:pPr>
        <w:pStyle w:val="4"/>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p>
    <w:p w14:paraId="40641A5C">
      <w:pPr>
        <w:pStyle w:val="4"/>
        <w:keepNext w:val="0"/>
        <w:keepLines w:val="0"/>
        <w:widowControl/>
        <w:suppressLineNumbers w:val="0"/>
        <w:rPr>
          <w:sz w:val="28"/>
          <w:szCs w:val="28"/>
        </w:rPr>
      </w:pPr>
      <w:r>
        <w:rPr>
          <w:rStyle w:val="5"/>
          <w:sz w:val="28"/>
          <w:szCs w:val="28"/>
        </w:rPr>
        <w:t>Objective of Investigation:</w:t>
      </w:r>
    </w:p>
    <w:p w14:paraId="5E6344E8">
      <w:pPr>
        <w:pStyle w:val="4"/>
        <w:keepNext w:val="0"/>
        <w:keepLines w:val="0"/>
        <w:widowControl/>
        <w:numPr>
          <w:ilvl w:val="0"/>
          <w:numId w:val="1"/>
        </w:numPr>
        <w:suppressLineNumbers w:val="0"/>
        <w:ind w:left="420" w:leftChars="0" w:hanging="420" w:firstLineChars="0"/>
      </w:pPr>
      <w:r>
        <w:t>Identify any malicious or unauthorized activity on the affected system</w:t>
      </w:r>
    </w:p>
    <w:p w14:paraId="787D96BA">
      <w:pPr>
        <w:pStyle w:val="4"/>
        <w:keepNext w:val="0"/>
        <w:keepLines w:val="0"/>
        <w:widowControl/>
        <w:numPr>
          <w:ilvl w:val="0"/>
          <w:numId w:val="1"/>
        </w:numPr>
        <w:suppressLineNumbers w:val="0"/>
        <w:ind w:left="420" w:leftChars="0" w:hanging="420" w:firstLineChars="0"/>
      </w:pPr>
      <w:r>
        <w:t>Reconstruct a timeline of user and system activity to correlate with the discovered artifacts</w:t>
      </w:r>
    </w:p>
    <w:p w14:paraId="06FA24F9">
      <w:pPr>
        <w:pStyle w:val="4"/>
        <w:keepNext w:val="0"/>
        <w:keepLines w:val="0"/>
        <w:widowControl/>
        <w:numPr>
          <w:ilvl w:val="0"/>
          <w:numId w:val="1"/>
        </w:numPr>
        <w:suppressLineNumbers w:val="0"/>
        <w:ind w:left="420" w:leftChars="0" w:hanging="420" w:firstLineChars="0"/>
      </w:pPr>
      <w:r>
        <w:t>Produce a legally defensible forensic report documenting all findings</w:t>
      </w:r>
    </w:p>
    <w:p w14:paraId="0C06B36D">
      <w:pPr>
        <w:pStyle w:val="4"/>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8A10A4"/>
    <w:multiLevelType w:val="singleLevel"/>
    <w:tmpl w:val="768A10A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EC3230"/>
    <w:rsid w:val="575C1E54"/>
    <w:rsid w:val="60EC3230"/>
    <w:rsid w:val="7FD0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2025-11-29T16:57:00Z</dcterms:created>
  <dc:creator>Hazem</dc:creator>
  <cp:lastModifiedBy>Hazem</cp:lastModifiedBy>
  <dcterms:modified xsi:type="dcterms:W3CDTF">2025-11-30T17:45:42Z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99F96A40194B4476882290B1ED3C1B4E_13</vt:lpwstr>
  </property>
</Properties>
</file>