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ackground w:color="FFFFFF"/>
  <w:body>
    <w:p>
      <w:r>
        <w:drawing>
          <wp:inline distT="0" distB="0" distL="0" distR="0">
            <wp:extent cx="5981700" cy="3361715"/>
            <wp:effectExtent l="0" t="0" r="0" b="0"/>
            <wp:docPr id="1" name="Picture 1" descr=""/>
            <wp:cNvGraphicFramePr/>
            <a:graphic>
              <a:graphicData uri="http://schemas.openxmlformats.org/drawingml/2006/picture">
                <pic:pic>
                  <pic:nvPicPr>
                    <pic:cNvPr id="0" name="image1.jpeg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3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/>
        <w:jc w:val="left"/>
        <w:rPr>
          <w:rFonts w:ascii="Libre Franklin" w:hAnsi="Libre Franklin" w:cs="Libre Franklin"/>
          <w:b/>
          <w:bCs/>
          <w:color w:val="0A1628"/>
          <w:sz w:val="20"/>
          <w:szCs w:val="20"/>
        </w:rPr>
      </w:pPr>
      <w:r>
        <w:rPr>
          <w:rFonts w:ascii="Libre Franklin" w:hAnsi="Libre Franklin" w:cs="Libre Franklin"/>
          <w:b/>
          <w:bCs/>
          <w:color w:val="0A1628"/>
          <w:sz w:val="20"/>
          <w:szCs w:val="20"/>
        </w:rPr>
        <w:t xml:space="preserve">ARAB REPUBLIC OF EGYPT   |   WSIS+10 REVIEW</w:t>
      </w:r>
    </w:p>
    <w:p>
      <w:pPr>
        <w:spacing w:after="240"/>
        <w:jc w:val="left"/>
        <w:rPr>
          <w:rFonts w:ascii="Nohemi" w:hAnsi="Nohemi" w:cs="Nohemi"/>
          <w:b/>
          <w:bCs/>
          <w:color w:val="0A1628"/>
          <w:sz w:val="84"/>
          <w:szCs w:val="84"/>
        </w:rPr>
      </w:pPr>
      <w:r>
        <w:rPr>
          <w:rFonts w:ascii="Nohemi" w:hAnsi="Nohemi" w:cs="Nohemi"/>
          <w:b/>
          <w:bCs/>
          <w:color w:val="0A1628"/>
          <w:sz w:val="84"/>
          <w:szCs w:val="84"/>
        </w:rPr>
        <w:t xml:space="preserve">Egypt's Digital Decade</w:t>
      </w:r>
    </w:p>
    <w:p>
      <w:pPr>
        <w:spacing w:after="800"/>
        <w:jc w:val="left"/>
        <w:rPr>
          <w:rFonts w:ascii="Libre Franklin" w:hAnsi="Libre Franklin" w:cs="Libre Franklin"/>
          <w:b w:val="0"/>
          <w:bCs w:val="0"/>
          <w:color w:val="5A6B82"/>
          <w:sz w:val="28"/>
          <w:szCs w:val="28"/>
        </w:rPr>
      </w:pPr>
      <w:r>
        <w:rPr>
          <w:rFonts w:ascii="Libre Franklin" w:hAnsi="Libre Franklin" w:cs="Libre Franklin"/>
          <w:b w:val="0"/>
          <w:bCs w:val="0"/>
          <w:color w:val="5A6B82"/>
          <w:sz w:val="28"/>
          <w:szCs w:val="28"/>
        </w:rPr>
        <w:t xml:space="preserve">Overall review of the implementation of the WSIS outcomes, 1999 to 2014</w:t>
      </w:r>
    </w:p>
    <w:p>
      <w:pPr>
        <w:spacing w:after="80"/>
        <w:jc w:val="left"/>
        <w:rPr>
          <w:rFonts w:ascii="Libre Franklin" w:hAnsi="Libre Franklin" w:cs="Libre Franklin"/>
          <w:b w:val="0"/>
          <w:bCs w:val="0"/>
          <w:color w:val="5A6B82"/>
          <w:sz w:val="18"/>
          <w:szCs w:val="18"/>
        </w:rPr>
      </w:pPr>
      <w:r>
        <w:rPr>
          <w:rFonts w:ascii="Libre Franklin" w:hAnsi="Libre Franklin" w:cs="Libre Franklin"/>
          <w:b w:val="0"/>
          <w:bCs w:val="0"/>
          <w:color w:val="5A6B82"/>
          <w:sz w:val="18"/>
          <w:szCs w:val="18"/>
        </w:rPr>
        <w:t xml:space="preserve">Ministry of Communications and Information Technology</w:t>
      </w:r>
    </w:p>
    <w:p>
      <w:pPr>
        <w:spacing w:after="160"/>
        <w:jc w:val="left"/>
        <w:rPr>
          <w:rFonts w:ascii="Libre Franklin" w:hAnsi="Libre Franklin" w:cs="Libre Franklin"/>
          <w:b/>
          <w:bCs/>
          <w:color w:val="1E507A"/>
          <w:sz w:val="18"/>
          <w:szCs w:val="18"/>
        </w:rPr>
      </w:pPr>
      <w:hyperlink r:id="rId2" w:history="1">
        <w:r>
          <w:rPr>
            <w:rStyle w:val="Hyperlink"/>
            <w:rFonts w:ascii="Libre Franklin" w:hAnsi="Libre Franklin" w:cs="Libre Franklin"/>
            <w:b/>
            <w:bCs/>
            <w:color w:val="1E507A"/>
            <w:sz w:val="18"/>
            <w:szCs w:val="18"/>
          </w:rPr>
          <w:t xml:space="preserve">www.mcit.gov.eg</w:t>
        </w:r>
      </w:hyperlink>
    </w:p>
    <w:p>
      <w:pPr>
        <w:spacing w:after="200"/>
        <w:jc w:val="left"/>
        <w:rPr>
          <w:rFonts w:ascii="Libre Franklin" w:hAnsi="Libre Franklin" w:cs="Libre Franklin"/>
          <w:b/>
          <w:bCs/>
          <w:color w:val="1E507A"/>
          <w:sz w:val="18"/>
          <w:szCs w:val="18"/>
        </w:rPr>
      </w:pPr>
      <w:r>
        <w:rPr>
          <w:rFonts w:ascii="Libre Franklin" w:hAnsi="Libre Franklin" w:cs="Libre Franklin"/>
          <w:b/>
          <w:bCs/>
          <w:color w:val="1E507A"/>
          <w:sz w:val="18"/>
          <w:szCs w:val="18"/>
        </w:rPr>
        <w:br w:type="page"/>
        <w:t xml:space="preserve">INSIDE THIS REVIEW</w:t>
      </w:r>
    </w:p>
    <w:p>
      <w:pPr>
        <w:pBdr>
          <w:bottom w:val="single" w:sz="24" w:space="1" w:color="1E507A"/>
        </w:pBdr>
        <w:spacing w:after="280"/>
        <w:jc w:val="left"/>
        <w:rPr>
          <w:rFonts w:ascii="Nohemi" w:hAnsi="Nohemi" w:cs="Nohemi"/>
          <w:b/>
          <w:bCs/>
          <w:color w:val="0A1628"/>
          <w:sz w:val="56"/>
          <w:szCs w:val="56"/>
        </w:rPr>
      </w:pPr>
      <w:r>
        <w:rPr>
          <w:rFonts w:ascii="Nohemi" w:hAnsi="Nohemi" w:cs="Nohemi"/>
          <w:b/>
          <w:bCs/>
          <w:color w:val="0A1628"/>
          <w:sz w:val="56"/>
          <w:szCs w:val="56"/>
        </w:rPr>
        <w:t xml:space="preserve">Contents</w:t>
      </w:r>
    </w:p>
    <w:p>
      <w:pPr>
        <w:pBdr/>
        <w:spacing w:after="280"/>
        <w:jc w:val="left"/>
        <w:rPr>
          <w:rFonts w:ascii="Nohemi" w:hAnsi="Nohemi" w:cs="Nohemi"/>
          <w:b/>
          <w:bCs/>
          <w:color w:val="0A1628"/>
          <w:sz w:val="56"/>
          <w:szCs w:val="56"/>
        </w:rPr>
      </w:pPr>
    </w:p>
    <w:tbl>
      <w:tblPr>
        <w:tblStyle w:val="TableGrid"/>
        <w:tblW w:w="0" w:type="auto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ook w:val="04A0" w:firstRow="1" w:lastRow="0" w:firstColumn="1" w:lastColumn="0" w:noHBand="0" w:noVBand="1"/>
      </w:tblPr>
      <w:tblGrid>
        <w:gridCol w:w="4880"/>
        <w:gridCol w:w="4880"/>
      </w:tblGrid>
      <w:tr>
        <w:tc>
          <w:tcPr>
            <w:tcW w:w="4880" w:type="dxa"/>
          </w:tcPr>
          <w:p>
            <w:pPr>
              <w:rPr>
                <w:rFonts w:ascii="Libre Franklin" w:hAnsi="Libre Franklin" w:cs="Libre Franklin"/>
                <w:b/>
                <w:bCs/>
                <w:color w:val="0A1628"/>
                <w:sz w:val="26"/>
                <w:szCs w:val="26"/>
              </w:rPr>
            </w:pPr>
            <w:r>
              <w:rPr>
                <w:rFonts w:ascii="Libre Franklin" w:hAnsi="Libre Franklin" w:cs="Libre Franklin"/>
                <w:b/>
                <w:bCs/>
                <w:color w:val="0A1628"/>
                <w:sz w:val="26"/>
                <w:szCs w:val="26"/>
              </w:rPr>
              <w:t xml:space="preserve">AT A GLANCE</w:t>
            </w:r>
          </w:p>
        </w:tc>
        <w:tc>
          <w:tcPr>
            <w:tcW w:w="4880" w:type="dxa"/>
          </w:tcPr>
          <w:p>
            <w:pPr>
              <w:rPr>
                <w:b w:val="0"/>
                <w:bCs w:val="0"/>
                <w:color w:val="5A6B82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5A6B82"/>
                <w:sz w:val="26"/>
                <w:szCs w:val="26"/>
              </w:rPr>
              <w:t xml:space="preserve">03</w:t>
            </w:r>
          </w:p>
        </w:tc>
      </w:tr>
      <w:tr>
        <w:tc>
          <w:tcPr>
            <w:tcW w:w="4880" w:type="dxa"/>
          </w:tcPr>
          <w:p>
            <w:pPr>
              <w:rPr>
                <w:rFonts w:ascii="Libre Franklin" w:hAnsi="Libre Franklin" w:cs="Libre Franklin"/>
                <w:b/>
                <w:bCs/>
                <w:color w:val="0A1628"/>
                <w:sz w:val="26"/>
                <w:szCs w:val="26"/>
              </w:rPr>
            </w:pPr>
            <w:r>
              <w:rPr>
                <w:rFonts w:ascii="Libre Franklin" w:hAnsi="Libre Franklin" w:cs="Libre Franklin"/>
                <w:b/>
                <w:bCs/>
                <w:color w:val="0A1628"/>
                <w:sz w:val="26"/>
                <w:szCs w:val="26"/>
              </w:rPr>
              <w:t xml:space="preserve">A DECADE IN REVIEW</w:t>
            </w:r>
          </w:p>
        </w:tc>
        <w:tc>
          <w:tcPr>
            <w:tcW w:w="4880" w:type="dxa"/>
          </w:tcPr>
          <w:p>
            <w:pPr>
              <w:rPr>
                <w:b w:val="0"/>
                <w:bCs w:val="0"/>
                <w:color w:val="5A6B82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5A6B82"/>
                <w:sz w:val="26"/>
                <w:szCs w:val="26"/>
              </w:rPr>
              <w:t xml:space="preserve">04</w:t>
            </w:r>
          </w:p>
        </w:tc>
      </w:tr>
      <w:tr>
        <w:tc>
          <w:tcPr>
            <w:tcW w:w="4880" w:type="dxa"/>
          </w:tcPr>
          <w:p>
            <w:pPr>
              <w:rPr>
                <w:rFonts w:ascii="Libre Franklin" w:hAnsi="Libre Franklin" w:cs="Libre Franklin"/>
                <w:b/>
                <w:bCs/>
                <w:color w:val="0A1628"/>
                <w:sz w:val="26"/>
                <w:szCs w:val="26"/>
              </w:rPr>
            </w:pPr>
            <w:r>
              <w:rPr>
                <w:rFonts w:ascii="Libre Franklin" w:hAnsi="Libre Franklin" w:cs="Libre Franklin"/>
                <w:b/>
                <w:bCs/>
                <w:color w:val="0A1628"/>
                <w:sz w:val="26"/>
                <w:szCs w:val="26"/>
              </w:rPr>
              <w:t xml:space="preserve">CONNECTIVITY AND ACCESS</w:t>
            </w:r>
          </w:p>
        </w:tc>
        <w:tc>
          <w:tcPr>
            <w:tcW w:w="4880" w:type="dxa"/>
          </w:tcPr>
          <w:p>
            <w:pPr>
              <w:rPr>
                <w:b w:val="0"/>
                <w:bCs w:val="0"/>
                <w:color w:val="5A6B82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5A6B82"/>
                <w:sz w:val="26"/>
                <w:szCs w:val="26"/>
              </w:rPr>
              <w:t xml:space="preserve">05</w:t>
            </w:r>
          </w:p>
        </w:tc>
      </w:tr>
      <w:tr>
        <w:tc>
          <w:tcPr>
            <w:tcW w:w="4880" w:type="dxa"/>
          </w:tcPr>
          <w:p>
            <w:pPr>
              <w:rPr>
                <w:rFonts w:ascii="Libre Franklin" w:hAnsi="Libre Franklin" w:cs="Libre Franklin"/>
                <w:b/>
                <w:bCs/>
                <w:color w:val="0A1628"/>
                <w:sz w:val="26"/>
                <w:szCs w:val="26"/>
              </w:rPr>
            </w:pPr>
            <w:r>
              <w:rPr>
                <w:rFonts w:ascii="Libre Franklin" w:hAnsi="Libre Franklin" w:cs="Libre Franklin"/>
                <w:b/>
                <w:bCs/>
                <w:color w:val="0A1628"/>
                <w:sz w:val="26"/>
                <w:szCs w:val="26"/>
              </w:rPr>
              <w:t xml:space="preserve">KEY FINDINGS AND WAY FORWARD</w:t>
            </w:r>
          </w:p>
        </w:tc>
        <w:tc>
          <w:tcPr>
            <w:tcW w:w="4880" w:type="dxa"/>
          </w:tcPr>
          <w:p>
            <w:pPr>
              <w:rPr>
                <w:b w:val="0"/>
                <w:bCs w:val="0"/>
                <w:color w:val="5A6B82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5A6B82"/>
                <w:sz w:val="26"/>
                <w:szCs w:val="26"/>
              </w:rPr>
              <w:t xml:space="preserve">06</w:t>
            </w:r>
          </w:p>
        </w:tc>
      </w:tr>
    </w:tbl>
    <w:p>
      <w:pPr>
        <w:pBdr/>
        <w:spacing w:after="200"/>
        <w:jc w:val="left"/>
        <w:rPr>
          <w:rFonts w:ascii="Nohemi" w:hAnsi="Nohemi" w:cs="Nohemi"/>
          <w:b/>
          <w:bCs/>
          <w:color w:val="0A1628"/>
          <w:sz w:val="56"/>
          <w:szCs w:val="56"/>
        </w:rPr>
      </w:pPr>
      <w:r>
        <w:rPr>
          <w:rFonts w:ascii="Nohemi" w:hAnsi="Nohemi" w:cs="Nohemi"/>
          <w:b/>
          <w:bCs/>
          <w:color w:val="0A1628"/>
          <w:sz w:val="56"/>
          <w:szCs w:val="56"/>
        </w:rPr>
        <w:br w:type="page"/>
      </w:r>
      <w:r>
        <w:rPr>
          <w:rFonts w:ascii="Libre Franklin" w:hAnsi="Libre Franklin" w:cs="Libre Franklin"/>
          <w:b/>
          <w:bCs/>
          <w:color w:val="1E507A"/>
          <w:sz w:val="18"/>
          <w:szCs w:val="18"/>
        </w:rPr>
        <w:t xml:space="preserve">HEADLINES</w:t>
      </w:r>
    </w:p>
    <w:p>
      <w:pPr>
        <w:pBdr>
          <w:bottom w:val="single" w:sz="24" w:space="1" w:color="1E507A"/>
        </w:pBdr>
        <w:spacing w:after="280"/>
        <w:jc w:val="left"/>
        <w:rPr>
          <w:rFonts w:ascii="Nohemi" w:hAnsi="Nohemi" w:cs="Nohemi"/>
          <w:b/>
          <w:bCs/>
          <w:color w:val="0A1628"/>
          <w:sz w:val="56"/>
          <w:szCs w:val="56"/>
        </w:rPr>
      </w:pPr>
      <w:r>
        <w:rPr>
          <w:rFonts w:ascii="Nohemi" w:hAnsi="Nohemi" w:cs="Nohemi"/>
          <w:b/>
          <w:bCs/>
          <w:color w:val="0A1628"/>
          <w:sz w:val="56"/>
          <w:szCs w:val="56"/>
        </w:rPr>
        <w:t xml:space="preserve">At a Glance</w:t>
      </w:r>
    </w:p>
    <w:p>
      <w:pPr>
        <w:pBdr/>
        <w:spacing w:after="280"/>
        <w:jc w:val="left"/>
        <w:rPr>
          <w:rFonts w:ascii="Nohemi" w:hAnsi="Nohemi" w:cs="Nohemi"/>
          <w:b/>
          <w:bCs/>
          <w:color w:val="0A1628"/>
          <w:sz w:val="56"/>
          <w:szCs w:val="5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3"/>
        <w:gridCol w:w="3253"/>
        <w:gridCol w:w="3253"/>
      </w:tblGrid>
      <w:tr>
        <w:tc>
          <w:tcPr>
            <w:tcW w:w="3253" w:type="dxa"/>
          </w:tcPr>
          <w:p>
            <w:pPr>
              <w:rPr>
                <w:rFonts w:ascii="Libre Franklin" w:hAnsi="Libre Franklin" w:cs="Libre Franklin"/>
                <w:b/>
                <w:bCs/>
                <w:color w:val="1E507A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/>
                <w:bCs/>
                <w:color w:val="1E507A"/>
                <w:sz w:val="20"/>
                <w:szCs w:val="20"/>
              </w:rPr>
              <w:t xml:space="preserve">INDICATOR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/>
                <w:bCs/>
                <w:color w:val="1E507A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/>
                <w:bCs/>
                <w:color w:val="1E507A"/>
                <w:sz w:val="20"/>
                <w:szCs w:val="20"/>
              </w:rPr>
              <w:t xml:space="preserve">2013 VALUE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/>
                <w:bCs/>
                <w:color w:val="1E507A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/>
                <w:bCs/>
                <w:color w:val="1E507A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  <w:t xml:space="preserve">Mobile subscriptions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  <w:t xml:space="preserve">99.7M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  <w:t xml:space="preserve">from 13.63M in 2005</w:t>
            </w:r>
          </w:p>
        </w:tc>
      </w:tr>
      <w:tr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  <w:t xml:space="preserve">Internet users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  <w:t xml:space="preserve">38.75M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  <w:t xml:space="preserve">from 0.65M in 2000</w:t>
            </w:r>
          </w:p>
        </w:tc>
      </w:tr>
      <w:tr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  <w:t xml:space="preserve">ICT real GDP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  <w:t xml:space="preserve">EGP 52.3B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  <w:t xml:space="preserve">3.4% of national GDP</w:t>
            </w:r>
          </w:p>
        </w:tc>
      </w:tr>
      <w:tr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  <w:t xml:space="preserve">A.T. Kearney rank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  <w:t xml:space="preserve">No. 4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  <w:t xml:space="preserve">from No. 12 in 2005</w:t>
            </w:r>
          </w:p>
        </w:tc>
      </w:tr>
      <w:tr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  <w:t xml:space="preserve">International bandwidth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  <w:t xml:space="preserve">181,854 Mbps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  <w:t xml:space="preserve">97.32% yearly growth since 2001</w:t>
            </w:r>
          </w:p>
        </w:tc>
      </w:tr>
      <w:tr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  <w:t xml:space="preserve">Mobile penetration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  <w:t xml:space="preserve">118.19%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  <w:t xml:space="preserve">three competing operators</w:t>
            </w:r>
          </w:p>
        </w:tc>
      </w:tr>
    </w:tbl>
    <w:p>
      <w:pPr>
        <w:pBdr/>
        <w:spacing w:after="160" w:line="360" w:lineRule="auto"/>
        <w:jc w:val="left"/>
        <w:rPr>
          <w:rFonts w:ascii="Libre Franklin" w:hAnsi="Libre Franklin" w:cs="Libre Franklin"/>
          <w:b w:val="0"/>
          <w:bCs w:val="0"/>
          <w:color w:val="1B2C45"/>
          <w:sz w:val="22"/>
          <w:szCs w:val="22"/>
        </w:rPr>
      </w:pPr>
      <w:r>
        <w:rPr>
          <w:rFonts w:ascii="Libre Franklin" w:hAnsi="Libre Franklin" w:cs="Libre Franklin"/>
          <w:b w:val="0"/>
          <w:bCs w:val="0"/>
          <w:color w:val="1B2C45"/>
          <w:sz w:val="22"/>
          <w:szCs w:val="22"/>
        </w:rPr>
        <w:t xml:space="preserve">Between 1999 and 2014 Egypt built one of the region's most dynamic information societies, moving from a newly founded ministry to a constitutional right to information access.</w:t>
      </w:r>
    </w:p>
    <w:p>
      <w:pPr>
        <w:pBdr/>
        <w:spacing w:after="200" w:line="360" w:lineRule="auto"/>
        <w:jc w:val="left"/>
        <w:rPr>
          <w:rFonts w:ascii="Libre Franklin" w:hAnsi="Libre Franklin" w:cs="Libre Franklin"/>
          <w:b w:val="0"/>
          <w:bCs w:val="0"/>
          <w:color w:val="1B2C45"/>
          <w:sz w:val="22"/>
          <w:szCs w:val="22"/>
        </w:rPr>
      </w:pPr>
      <w:r>
        <w:rPr>
          <w:rFonts w:ascii="Libre Franklin" w:hAnsi="Libre Franklin" w:cs="Libre Franklin"/>
          <w:b w:val="0"/>
          <w:bCs w:val="0"/>
          <w:color w:val="1B2C45"/>
          <w:sz w:val="22"/>
          <w:szCs w:val="22"/>
        </w:rPr>
        <w:br w:type="page"/>
      </w:r>
      <w:r>
        <w:rPr>
          <w:rFonts w:ascii="Libre Franklin" w:hAnsi="Libre Franklin" w:cs="Libre Franklin"/>
          <w:b/>
          <w:bCs/>
          <w:color w:val="1E507A"/>
          <w:sz w:val="18"/>
          <w:szCs w:val="18"/>
        </w:rPr>
        <w:t xml:space="preserve">C2 INFRASTRUCTURE</w:t>
      </w:r>
    </w:p>
    <w:p>
      <w:pPr>
        <w:pBdr>
          <w:bottom w:val="single" w:sz="24" w:space="1" w:color="1E507A"/>
        </w:pBdr>
        <w:spacing w:after="280" w:line="360" w:lineRule="auto"/>
        <w:jc w:val="left"/>
        <w:rPr>
          <w:rFonts w:ascii="Nohemi" w:hAnsi="Nohemi" w:cs="Nohemi"/>
          <w:b/>
          <w:bCs/>
          <w:color w:val="0A1628"/>
          <w:sz w:val="48"/>
          <w:szCs w:val="48"/>
        </w:rPr>
      </w:pPr>
      <w:r>
        <w:rPr>
          <w:rFonts w:ascii="Nohemi" w:hAnsi="Nohemi" w:cs="Nohemi"/>
          <w:b/>
          <w:bCs/>
          <w:color w:val="0A1628"/>
          <w:sz w:val="48"/>
          <w:szCs w:val="48"/>
        </w:rPr>
        <w:t xml:space="preserve">The Mobile Leap</w:t>
      </w:r>
    </w:p>
    <w:p>
      <w:pPr>
        <w:pBdr/>
        <w:spacing w:after="280" w:line="360" w:lineRule="auto"/>
        <w:jc w:val="left"/>
        <w:rPr>
          <w:rFonts w:ascii="Nohemi" w:hAnsi="Nohemi" w:cs="Nohemi"/>
          <w:b/>
          <w:bCs/>
          <w:color w:val="0A1628"/>
          <w:sz w:val="48"/>
          <w:szCs w:val="48"/>
        </w:rPr>
      </w:pPr>
    </w:p>
    <w:p>
      <w:pPr>
        <w:pBdr/>
        <w:spacing w:after="160" w:line="360" w:lineRule="auto"/>
        <w:jc w:val="left"/>
        <w:rPr>
          <w:rFonts w:ascii="Libre Franklin" w:hAnsi="Libre Franklin" w:cs="Libre Franklin"/>
          <w:b w:val="0"/>
          <w:bCs w:val="0"/>
          <w:color w:val="1B2C45"/>
          <w:sz w:val="22"/>
          <w:szCs w:val="22"/>
        </w:rPr>
      </w:pPr>
      <w:r>
        <w:rPr>
          <w:rFonts w:ascii="Libre Franklin" w:hAnsi="Libre Franklin" w:cs="Libre Franklin"/>
          <w:b w:val="0"/>
          <w:bCs w:val="0"/>
          <w:color w:val="1B2C45"/>
          <w:sz w:val="22"/>
          <w:szCs w:val="22"/>
        </w:rPr>
        <w:t xml:space="preserve">Mobile subscriptions jumped from 13.63M in 2005 to 99.7M in 2013, and mobile penetration hit 118.19% as three competing operators drove prices down.</w:t>
      </w:r>
    </w:p>
    <w:p>
      <w:pPr>
        <w:pBdr/>
        <w:spacing w:after="280" w:line="360" w:lineRule="auto"/>
        <w:jc w:val="left"/>
        <w:rPr>
          <w:rFonts w:ascii="Libre Franklin" w:hAnsi="Libre Franklin" w:cs="Libre Franklin"/>
          <w:b w:val="0"/>
          <w:bCs w:val="0"/>
          <w:color w:val="1B2C45"/>
          <w:sz w:val="22"/>
          <w:szCs w:val="22"/>
        </w:rPr>
      </w:pPr>
      <w:r>
        <w:rPr>
          <w:rFonts w:ascii="Libre Franklin" w:hAnsi="Libre Franklin" w:cs="Libre Franklin"/>
          <w:b w:val="0"/>
          <w:bCs w:val="0"/>
          <w:color w:val="1B2C45"/>
          <w:sz w:val="22"/>
          <w:szCs w:val="22"/>
        </w:rPr>
        <w:t xml:space="preserve">The low usage mobile basket fell from USD 4.57 in late 2007 to USD 2.90 in 2010, while mobile broadband in households grew about 80% per year.</w:t>
      </w:r>
    </w:p>
    <w:p>
      <w:pPr>
        <w:pBdr/>
        <w:spacing w:after="280" w:line="360" w:lineRule="auto"/>
        <w:jc w:val="left"/>
        <w:rPr>
          <w:rFonts w:ascii="Libre Franklin" w:hAnsi="Libre Franklin" w:cs="Libre Franklin"/>
          <w:b w:val="0"/>
          <w:bCs w:val="0"/>
          <w:color w:val="1B2C45"/>
          <w:sz w:val="22"/>
          <w:szCs w:val="22"/>
        </w:rPr>
      </w:pPr>
      <w:r>
        <w:rPr>
          <w:rFonts w:ascii="Libre Franklin" w:hAnsi="Libre Franklin" w:cs="Libre Franklin"/>
          <w:b w:val="0"/>
          <w:bCs w:val="0"/>
          <w:color w:val="1B2C45"/>
          <w:sz w:val="22"/>
          <w:szCs w:val="22"/>
        </w:rPr>
        <w:drawing>
          <wp:inline distT="0" distB="0" distL="0" distR="0">
            <wp:extent cx="5981700" cy="2042323"/>
            <wp:effectExtent l="0" t="0" r="0" b="0"/>
            <wp:docPr id="2" name="Picture 2" descr=""/>
            <wp:cNvGraphicFramePr/>
            <a:graphic>
              <a:graphicData uri="http://schemas.openxmlformats.org/drawingml/2006/picture">
                <pic:pic>
                  <pic:nvPicPr>
                    <pic:cNvPr id="0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04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80" w:line="360" w:lineRule="auto"/>
        <w:jc w:val="left"/>
        <w:rPr>
          <w:rFonts w:ascii="Libre Franklin" w:hAnsi="Libre Franklin" w:cs="Libre Franklin"/>
          <w:b/>
          <w:bCs/>
          <w:color w:val="1E507A"/>
          <w:sz w:val="18"/>
          <w:szCs w:val="18"/>
        </w:rPr>
      </w:pPr>
      <w:r>
        <w:rPr>
          <w:rFonts w:ascii="Libre Franklin" w:hAnsi="Libre Franklin" w:cs="Libre Franklin"/>
          <w:b/>
          <w:bCs/>
          <w:color w:val="1E507A"/>
          <w:sz w:val="18"/>
          <w:szCs w:val="18"/>
        </w:rPr>
        <w:t xml:space="preserve">FIGURE 1</w:t>
      </w:r>
    </w:p>
    <w:p>
      <w:pPr>
        <w:pBdr/>
        <w:spacing w:after="160" w:line="360" w:lineRule="auto"/>
        <w:jc w:val="left"/>
        <w:rPr>
          <w:rFonts w:ascii="Libre Franklin" w:hAnsi="Libre Franklin" w:cs="Libre Franklin"/>
          <w:b w:val="0"/>
          <w:bCs w:val="0"/>
          <w:color w:val="5A6B82"/>
          <w:sz w:val="20"/>
          <w:szCs w:val="20"/>
        </w:rPr>
      </w:pPr>
      <w:r>
        <w:rPr>
          <w:rFonts w:ascii="Libre Franklin" w:hAnsi="Libre Franklin" w:cs="Libre Franklin"/>
          <w:b w:val="0"/>
          <w:bCs w:val="0"/>
          <w:color w:val="5A6B82"/>
          <w:sz w:val="20"/>
          <w:szCs w:val="20"/>
        </w:rPr>
        <w:t xml:space="preserve">Internet users in millions, 2000 to 2013. From under a million to nearly forty million in thirteen years.</w:t>
      </w:r>
    </w:p>
    <w:p>
      <w:pPr>
        <w:pBdr/>
        <w:spacing w:after="200" w:line="360" w:lineRule="auto"/>
        <w:jc w:val="left"/>
        <w:rPr>
          <w:rFonts w:ascii="Libre Franklin" w:hAnsi="Libre Franklin" w:cs="Libre Franklin"/>
          <w:b w:val="0"/>
          <w:bCs w:val="0"/>
          <w:color w:val="5A6B82"/>
          <w:sz w:val="20"/>
          <w:szCs w:val="20"/>
        </w:rPr>
      </w:pPr>
      <w:r>
        <w:rPr>
          <w:rFonts w:ascii="Libre Franklin" w:hAnsi="Libre Franklin" w:cs="Libre Franklin"/>
          <w:b w:val="0"/>
          <w:bCs w:val="0"/>
          <w:color w:val="5A6B82"/>
          <w:sz w:val="20"/>
          <w:szCs w:val="20"/>
        </w:rPr>
        <w:br w:type="page"/>
      </w:r>
      <w:r>
        <w:rPr>
          <w:rFonts w:ascii="Libre Franklin" w:hAnsi="Libre Franklin" w:cs="Libre Franklin"/>
          <w:b/>
          <w:bCs/>
          <w:color w:val="1E507A"/>
          <w:sz w:val="18"/>
          <w:szCs w:val="18"/>
        </w:rPr>
        <w:t xml:space="preserve">C1 GOVERNANCE</w:t>
      </w:r>
    </w:p>
    <w:p>
      <w:pPr>
        <w:pBdr>
          <w:bottom w:val="single" w:sz="24" w:space="1" w:color="1E507A"/>
        </w:pBdr>
        <w:spacing w:after="280" w:line="360" w:lineRule="auto"/>
        <w:jc w:val="left"/>
        <w:rPr>
          <w:rFonts w:ascii="Nohemi" w:hAnsi="Nohemi" w:cs="Nohemi"/>
          <w:b/>
          <w:bCs/>
          <w:color w:val="0A1628"/>
          <w:sz w:val="48"/>
          <w:szCs w:val="48"/>
        </w:rPr>
      </w:pPr>
      <w:r>
        <w:rPr>
          <w:rFonts w:ascii="Nohemi" w:hAnsi="Nohemi" w:cs="Nohemi"/>
          <w:b/>
          <w:bCs/>
          <w:color w:val="0A1628"/>
          <w:sz w:val="48"/>
          <w:szCs w:val="48"/>
        </w:rPr>
        <w:t xml:space="preserve">Climbing the Outsourcing Ranks</w:t>
      </w:r>
    </w:p>
    <w:p>
      <w:pPr>
        <w:pBdr/>
        <w:spacing w:after="280" w:line="360" w:lineRule="auto"/>
        <w:jc w:val="left"/>
        <w:rPr>
          <w:rFonts w:ascii="Nohemi" w:hAnsi="Nohemi" w:cs="Nohemi"/>
          <w:b/>
          <w:bCs/>
          <w:color w:val="0A1628"/>
          <w:sz w:val="48"/>
          <w:szCs w:val="48"/>
        </w:rPr>
      </w:pPr>
    </w:p>
    <w:p>
      <w:pPr>
        <w:pBdr/>
        <w:spacing w:after="160" w:line="360" w:lineRule="auto"/>
        <w:jc w:val="left"/>
        <w:rPr>
          <w:rFonts w:ascii="Libre Franklin" w:hAnsi="Libre Franklin" w:cs="Libre Franklin"/>
          <w:b w:val="0"/>
          <w:bCs w:val="0"/>
          <w:color w:val="1B2C45"/>
          <w:sz w:val="22"/>
          <w:szCs w:val="22"/>
        </w:rPr>
      </w:pPr>
      <w:r>
        <w:rPr>
          <w:rFonts w:ascii="Libre Franklin" w:hAnsi="Libre Franklin" w:cs="Libre Franklin"/>
          <w:b w:val="0"/>
          <w:bCs w:val="0"/>
          <w:color w:val="1B2C45"/>
          <w:sz w:val="22"/>
          <w:szCs w:val="22"/>
        </w:rPr>
        <w:t xml:space="preserve">Multistakeholder committees shape every strategy, and post-2011 community dialogue produced about 55 amendments to the Telecommunication Regulation Law.</w:t>
      </w:r>
    </w:p>
    <w:p>
      <w:pPr>
        <w:pBdr/>
        <w:spacing w:after="280" w:line="360" w:lineRule="auto"/>
        <w:jc w:val="left"/>
        <w:rPr>
          <w:rFonts w:ascii="Libre Franklin" w:hAnsi="Libre Franklin" w:cs="Libre Franklin"/>
          <w:b w:val="0"/>
          <w:bCs w:val="0"/>
          <w:color w:val="1B2C45"/>
          <w:sz w:val="22"/>
          <w:szCs w:val="22"/>
        </w:rPr>
      </w:pPr>
      <w:r>
        <w:rPr>
          <w:rFonts w:ascii="Libre Franklin" w:hAnsi="Libre Franklin" w:cs="Libre Franklin"/>
          <w:b w:val="0"/>
          <w:bCs w:val="0"/>
          <w:color w:val="1B2C45"/>
          <w:sz w:val="22"/>
          <w:szCs w:val="22"/>
        </w:rPr>
        <w:t xml:space="preserve">Outsourcing exports hit USD 1.487B a year by end 2011, with a target of USD 2.5B plus USD 1B from intellectual property.</w:t>
      </w:r>
    </w:p>
    <w:p>
      <w:pPr>
        <w:pBdr/>
        <w:spacing w:after="280" w:line="360" w:lineRule="auto"/>
        <w:jc w:val="left"/>
        <w:rPr>
          <w:rFonts w:ascii="Libre Franklin" w:hAnsi="Libre Franklin" w:cs="Libre Franklin"/>
          <w:b w:val="0"/>
          <w:bCs w:val="0"/>
          <w:color w:val="1B2C45"/>
          <w:sz w:val="22"/>
          <w:szCs w:val="22"/>
        </w:rPr>
      </w:pPr>
      <w:r>
        <w:rPr>
          <w:rFonts w:ascii="Libre Franklin" w:hAnsi="Libre Franklin" w:cs="Libre Franklin"/>
          <w:b w:val="0"/>
          <w:bCs w:val="0"/>
          <w:color w:val="1B2C45"/>
          <w:sz w:val="22"/>
          <w:szCs w:val="22"/>
        </w:rPr>
        <w:drawing>
          <wp:inline distT="0" distB="0" distL="0" distR="0">
            <wp:extent cx="5981700" cy="3295373"/>
            <wp:effectExtent l="0" t="0" r="0" b="0"/>
            <wp:docPr id="3" name="Picture 3" descr=""/>
            <wp:cNvGraphicFramePr/>
            <a:graphic>
              <a:graphicData uri="http://schemas.openxmlformats.org/drawingml/2006/picture">
                <pic:pic>
                  <pic:nvPicPr>
                    <pic:cNvPr id="0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29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80" w:line="360" w:lineRule="auto"/>
        <w:jc w:val="left"/>
        <w:rPr>
          <w:rFonts w:ascii="Libre Franklin" w:hAnsi="Libre Franklin" w:cs="Libre Franklin"/>
          <w:b/>
          <w:bCs/>
          <w:color w:val="1E507A"/>
          <w:sz w:val="18"/>
          <w:szCs w:val="18"/>
        </w:rPr>
      </w:pPr>
      <w:r>
        <w:rPr>
          <w:rFonts w:ascii="Libre Franklin" w:hAnsi="Libre Franklin" w:cs="Libre Franklin"/>
          <w:b/>
          <w:bCs/>
          <w:color w:val="1E507A"/>
          <w:sz w:val="18"/>
          <w:szCs w:val="18"/>
        </w:rPr>
        <w:t xml:space="preserve">FIGURE 2</w:t>
      </w:r>
    </w:p>
    <w:p>
      <w:pPr>
        <w:pBdr/>
        <w:spacing w:after="160" w:line="360" w:lineRule="auto"/>
        <w:jc w:val="left"/>
        <w:rPr>
          <w:rFonts w:ascii="Libre Franklin" w:hAnsi="Libre Franklin" w:cs="Libre Franklin"/>
          <w:b w:val="0"/>
          <w:bCs w:val="0"/>
          <w:color w:val="5A6B82"/>
          <w:sz w:val="20"/>
          <w:szCs w:val="20"/>
        </w:rPr>
      </w:pPr>
      <w:r>
        <w:rPr>
          <w:rFonts w:ascii="Libre Franklin" w:hAnsi="Libre Franklin" w:cs="Libre Franklin"/>
          <w:b w:val="0"/>
          <w:bCs w:val="0"/>
          <w:color w:val="5A6B82"/>
          <w:sz w:val="20"/>
          <w:szCs w:val="20"/>
        </w:rPr>
        <w:t xml:space="preserve">A.T. Kearney Global Services Location Index rank, 2005 to 2011 (lower is better). Egypt climbed from 12th to 4th.</w:t>
      </w:r>
    </w:p>
    <w:p>
      <w:pPr>
        <w:pBdr/>
        <w:spacing w:after="200" w:line="360" w:lineRule="auto"/>
        <w:jc w:val="left"/>
        <w:rPr>
          <w:rFonts w:ascii="Libre Franklin" w:hAnsi="Libre Franklin" w:cs="Libre Franklin"/>
          <w:b w:val="0"/>
          <w:bCs w:val="0"/>
          <w:color w:val="5A6B82"/>
          <w:sz w:val="20"/>
          <w:szCs w:val="20"/>
        </w:rPr>
      </w:pPr>
      <w:r>
        <w:rPr>
          <w:rFonts w:ascii="Libre Franklin" w:hAnsi="Libre Franklin" w:cs="Libre Franklin"/>
          <w:b w:val="0"/>
          <w:bCs w:val="0"/>
          <w:color w:val="5A6B82"/>
          <w:sz w:val="20"/>
          <w:szCs w:val="20"/>
        </w:rPr>
        <w:br w:type="page"/>
      </w:r>
      <w:r>
        <w:rPr>
          <w:rFonts w:ascii="Libre Franklin" w:hAnsi="Libre Franklin" w:cs="Libre Franklin"/>
          <w:b/>
          <w:bCs/>
          <w:color w:val="1E507A"/>
          <w:sz w:val="18"/>
          <w:szCs w:val="18"/>
        </w:rPr>
        <w:t xml:space="preserve">FINDINGS</w:t>
      </w:r>
    </w:p>
    <w:p>
      <w:pPr>
        <w:pBdr>
          <w:bottom w:val="single" w:sz="24" w:space="1" w:color="1E507A"/>
        </w:pBdr>
        <w:spacing w:after="280" w:line="360" w:lineRule="auto"/>
        <w:jc w:val="left"/>
        <w:rPr>
          <w:rFonts w:ascii="Nohemi" w:hAnsi="Nohemi" w:cs="Nohemi"/>
          <w:b/>
          <w:bCs/>
          <w:color w:val="0A1628"/>
          <w:sz w:val="64"/>
          <w:szCs w:val="64"/>
        </w:rPr>
      </w:pPr>
      <w:r>
        <w:rPr>
          <w:rFonts w:ascii="Nohemi" w:hAnsi="Nohemi" w:cs="Nohemi"/>
          <w:b/>
          <w:bCs/>
          <w:color w:val="0A1628"/>
          <w:sz w:val="64"/>
          <w:szCs w:val="64"/>
        </w:rPr>
        <w:t xml:space="preserve">Key Findings</w:t>
      </w:r>
    </w:p>
    <w:p>
      <w:pPr>
        <w:pBdr/>
        <w:spacing w:after="280" w:line="360" w:lineRule="auto"/>
        <w:jc w:val="left"/>
        <w:rPr>
          <w:rFonts w:ascii="Nohemi" w:hAnsi="Nohemi" w:cs="Nohemi"/>
          <w:b/>
          <w:bCs/>
          <w:color w:val="0A1628"/>
          <w:sz w:val="64"/>
          <w:szCs w:val="64"/>
        </w:rPr>
      </w:pPr>
    </w:p>
    <w:p>
      <w:pPr>
        <w:pBdr/>
        <w:spacing w:after="200" w:line="360" w:lineRule="auto"/>
        <w:jc w:val="left"/>
        <w:rPr>
          <w:rFonts w:ascii="Libre Franklin" w:hAnsi="Libre Franklin" w:cs="Libre Franklin"/>
          <w:b w:val="0"/>
          <w:bCs w:val="0"/>
          <w:color w:val="1B2C45"/>
          <w:sz w:val="22"/>
          <w:szCs w:val="22"/>
        </w:rPr>
      </w:pPr>
      <w:r>
        <w:rPr>
          <w:rFonts w:ascii="Libre Franklin" w:hAnsi="Libre Franklin" w:cs="Libre Franklin"/>
          <w:b w:val="0"/>
          <w:bCs w:val="0"/>
          <w:color w:val="1B2C45"/>
          <w:sz w:val="22"/>
          <w:szCs w:val="22"/>
        </w:rPr>
        <w:t xml:space="preserve">Mobile leapfrogged fixed lines: subscriptions rose from 13.63M to 99.7M while fixed lines fell to 6.82M.</w:t>
      </w:r>
    </w:p>
    <w:p>
      <w:pPr>
        <w:pBdr/>
        <w:spacing w:after="200" w:line="360" w:lineRule="auto"/>
        <w:jc w:val="left"/>
        <w:rPr>
          <w:rFonts w:ascii="Libre Franklin" w:hAnsi="Libre Franklin" w:cs="Libre Franklin"/>
          <w:b w:val="0"/>
          <w:bCs w:val="0"/>
          <w:color w:val="1B2C45"/>
          <w:sz w:val="22"/>
          <w:szCs w:val="22"/>
        </w:rPr>
      </w:pPr>
      <w:r>
        <w:rPr>
          <w:rFonts w:ascii="Libre Franklin" w:hAnsi="Libre Franklin" w:cs="Libre Franklin"/>
          <w:b w:val="0"/>
          <w:bCs w:val="0"/>
          <w:color w:val="1B2C45"/>
          <w:sz w:val="22"/>
          <w:szCs w:val="22"/>
        </w:rPr>
        <w:t xml:space="preserve">Broadband became national policy: the eMisr plan targets 75% of households at 2 Mbps by 2016.</w:t>
      </w:r>
    </w:p>
    <w:p>
      <w:pPr>
        <w:pBdr/>
        <w:spacing w:after="200" w:line="360" w:lineRule="auto"/>
        <w:jc w:val="left"/>
        <w:rPr>
          <w:rFonts w:ascii="Libre Franklin" w:hAnsi="Libre Franklin" w:cs="Libre Franklin"/>
          <w:b w:val="0"/>
          <w:bCs w:val="0"/>
          <w:color w:val="1B2C45"/>
          <w:sz w:val="22"/>
          <w:szCs w:val="22"/>
        </w:rPr>
      </w:pPr>
      <w:r>
        <w:rPr>
          <w:rFonts w:ascii="Libre Franklin" w:hAnsi="Libre Franklin" w:cs="Libre Franklin"/>
          <w:b w:val="0"/>
          <w:bCs w:val="0"/>
          <w:color w:val="1B2C45"/>
          <w:sz w:val="22"/>
          <w:szCs w:val="22"/>
        </w:rPr>
        <w:t xml:space="preserve">Outsourcing put Egypt on the world map: from 12th to 4th in the Kearney index between 2005 and 2011.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3"/>
        <w:gridCol w:w="3253"/>
        <w:gridCol w:w="3253"/>
      </w:tblGrid>
      <w:tr>
        <w:tc>
          <w:tcPr>
            <w:tcW w:w="3253" w:type="dxa"/>
          </w:tcPr>
          <w:p>
            <w:pPr>
              <w:rPr>
                <w:rFonts w:ascii="Libre Franklin" w:hAnsi="Libre Franklin" w:cs="Libre Franklin"/>
                <w:b/>
                <w:bCs/>
                <w:color w:val="1E507A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/>
                <w:bCs/>
                <w:color w:val="1E507A"/>
                <w:sz w:val="20"/>
                <w:szCs w:val="20"/>
              </w:rPr>
              <w:t xml:space="preserve">INDICATOR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/>
                <w:bCs/>
                <w:color w:val="1E507A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/>
                <w:bCs/>
                <w:color w:val="1E507A"/>
                <w:sz w:val="20"/>
                <w:szCs w:val="20"/>
              </w:rPr>
              <w:t xml:space="preserve">VALUE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/>
                <w:bCs/>
                <w:color w:val="1E507A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/>
                <w:bCs/>
                <w:color w:val="1E507A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  <w:t xml:space="preserve">Households online at home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  <w:t xml:space="preserve">44.24%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  <w:t xml:space="preserve">from 18.59% in 2007</w:t>
            </w:r>
          </w:p>
        </w:tc>
      </w:tr>
      <w:tr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  <w:t xml:space="preserve">3G equipped mobiles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  <w:t xml:space="preserve">27.3%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  <w:t xml:space="preserve">from 20.4% in 2011</w:t>
            </w:r>
          </w:p>
        </w:tc>
      </w:tr>
      <w:tr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  <w:t xml:space="preserve">Facebook users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  <w:t xml:space="preserve">16.4M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  <w:t xml:space="preserve">from 4.2M in 2010</w:t>
            </w:r>
          </w:p>
        </w:tc>
      </w:tr>
      <w:tr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  <w:t xml:space="preserve">IT Clubs nationwide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  <w:t xml:space="preserve">2,000+</w:t>
            </w:r>
          </w:p>
        </w:tc>
        <w:tc>
          <w:tcPr>
            <w:tcW w:w="3253" w:type="dxa"/>
          </w:tcPr>
          <w:p>
            <w:pP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</w:pPr>
            <w:r>
              <w:rPr>
                <w:rFonts w:ascii="Libre Franklin" w:hAnsi="Libre Franklin" w:cs="Libre Franklin"/>
                <w:b w:val="0"/>
                <w:bCs w:val="0"/>
                <w:color w:val="1B2C45"/>
                <w:sz w:val="20"/>
                <w:szCs w:val="20"/>
              </w:rPr>
              <w:t xml:space="preserve">36% in Upper Egypt</w:t>
            </w:r>
          </w:p>
        </w:tc>
      </w:tr>
    </w:tbl>
    <w:p>
      <w:pPr>
        <w:pBdr/>
        <w:spacing w:after="160" w:line="360" w:lineRule="auto"/>
        <w:jc w:val="left"/>
        <w:rPr>
          <w:rFonts w:ascii="Nohemi" w:hAnsi="Nohemi" w:cs="Nohemi"/>
          <w:b/>
          <w:bCs/>
          <w:color w:val="0A1628"/>
          <w:sz w:val="34"/>
          <w:szCs w:val="34"/>
        </w:rPr>
      </w:pPr>
      <w:r>
        <w:rPr>
          <w:rFonts w:ascii="Nohemi" w:hAnsi="Nohemi" w:cs="Nohemi"/>
          <w:b/>
          <w:bCs/>
          <w:color w:val="0A1628"/>
          <w:sz w:val="34"/>
          <w:szCs w:val="34"/>
        </w:rPr>
        <w:t xml:space="preserve">A fifteen year run from a new ministry to a constitutional right to information.</w:t>
      </w:r>
    </w:p>
    <w:p>
      <w:pPr>
        <w:pBdr/>
        <w:spacing w:after="160" w:line="360" w:lineRule="auto"/>
        <w:jc w:val="left"/>
        <w:rPr>
          <w:rFonts w:ascii="Nohemi" w:hAnsi="Nohemi" w:cs="Nohemi"/>
          <w:b/>
          <w:bCs/>
          <w:color w:val="0A1628"/>
          <w:sz w:val="34"/>
          <w:szCs w:val="34"/>
        </w:rPr>
      </w:pPr>
      <w:r>
        <w:rPr>
          <w:rFonts w:ascii="Nohemi" w:hAnsi="Nohemi" w:cs="Nohemi"/>
          <w:b/>
          <w:bCs/>
          <w:color w:val="0A1628"/>
          <w:sz w:val="34"/>
          <w:szCs w:val="34"/>
        </w:rPr>
        <w:br w:type="page"/>
      </w:r>
      <w:r>
        <w:rPr>
          <w:rFonts w:ascii="Nohemi" w:hAnsi="Nohemi" w:cs="Nohemi"/>
          <w:b/>
          <w:bCs/>
          <w:color w:val="0A1628"/>
          <w:sz w:val="34"/>
          <w:szCs w:val="34"/>
        </w:rPr>
        <w:drawing>
          <wp:inline distT="0" distB="0" distL="0" distR="0">
            <wp:extent cx="5981700" cy="3361715"/>
            <wp:effectExtent l="0" t="0" r="0" b="0"/>
            <wp:docPr id="4" name="Picture 4" descr=""/>
            <wp:cNvGraphicFramePr/>
            <a:graphic>
              <a:graphicData uri="http://schemas.openxmlformats.org/drawingml/2006/picture">
                <pic:pic>
                  <pic:nvPicPr>
                    <pic:cNvPr id="0" name="image4.jpe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3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240" w:line="360" w:lineRule="auto"/>
        <w:jc w:val="center"/>
        <w:rPr>
          <w:rFonts w:ascii="Nohemi" w:hAnsi="Nohemi" w:cs="Nohemi"/>
          <w:b/>
          <w:bCs/>
          <w:color w:val="FFFFFF"/>
          <w:sz w:val="108"/>
          <w:szCs w:val="108"/>
        </w:rPr>
      </w:pPr>
      <w:r>
        <w:rPr>
          <w:rFonts w:ascii="Nohemi" w:hAnsi="Nohemi" w:cs="Nohemi"/>
          <w:b/>
          <w:bCs/>
          <w:color w:val="FFFFFF"/>
          <w:sz w:val="108"/>
          <w:szCs w:val="108"/>
        </w:rPr>
        <w:t xml:space="preserve">Thank You</w:t>
      </w:r>
    </w:p>
    <w:p>
      <w:pPr>
        <w:pBdr/>
        <w:spacing w:after="120" w:line="360" w:lineRule="auto"/>
        <w:jc w:val="center"/>
        <w:rPr>
          <w:rFonts w:ascii="Libre Franklin" w:hAnsi="Libre Franklin" w:cs="Libre Franklin"/>
          <w:b w:val="0"/>
          <w:bCs w:val="0"/>
          <w:color w:val="B9C2CE"/>
          <w:sz w:val="24"/>
          <w:szCs w:val="24"/>
        </w:rPr>
      </w:pPr>
      <w:r>
        <w:rPr>
          <w:rFonts w:ascii="Libre Franklin" w:hAnsi="Libre Franklin" w:cs="Libre Franklin"/>
          <w:b w:val="0"/>
          <w:bCs w:val="0"/>
          <w:color w:val="B9C2CE"/>
          <w:sz w:val="24"/>
          <w:szCs w:val="24"/>
        </w:rPr>
        <w:t xml:space="preserve">Ministry of Communications and Information Technology</w:t>
      </w:r>
    </w:p>
    <w:p>
      <w:pPr>
        <w:pBdr/>
        <w:spacing w:after="160" w:line="360" w:lineRule="auto"/>
        <w:jc w:val="center"/>
        <w:rPr>
          <w:rFonts w:ascii="Libre Franklin" w:hAnsi="Libre Franklin" w:cs="Libre Franklin"/>
          <w:b/>
          <w:bCs/>
          <w:color w:val="F7EF8A"/>
          <w:sz w:val="24"/>
          <w:szCs w:val="24"/>
        </w:rPr>
      </w:pPr>
      <w:hyperlink r:id="rId2" w:history="1">
        <w:r>
          <w:rPr>
            <w:rStyle w:val="Hyperlink"/>
            <w:rFonts w:ascii="Libre Franklin" w:hAnsi="Libre Franklin" w:cs="Libre Franklin"/>
            <w:b/>
            <w:bCs/>
            <w:color w:val="F7EF8A"/>
            <w:sz w:val="24"/>
            <w:szCs w:val="24"/>
          </w:rPr>
          <w:t xml:space="preserve">www.mcit.gov.eg</w:t>
        </w:r>
      </w:hyperlink>
    </w:p>
    <w:p>
      <w:pPr>
        <w:pBdr/>
        <w:spacing w:after="160" w:line="360" w:lineRule="auto"/>
        <w:jc w:val="center"/>
        <w:rPr>
          <w:rFonts w:ascii="Libre Franklin" w:hAnsi="Libre Franklin" w:cs="Libre Franklin"/>
          <w:b/>
          <w:bCs/>
          <w:color w:val="F7EF8A"/>
          <w:sz w:val="24"/>
          <w:szCs w:val="24"/>
        </w:rPr>
      </w:pPr>
    </w:p>
    <w:sectPr>
      <w:type w:val="nextPage"/>
      <w:pgSz w:w="12240" w:h="15840"/>
      <w:pgMar w:top="1080" w:right="1240" w:bottom="1080" w:left="12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isplayBackgroundShape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mcit.gov.eg" TargetMode="External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styles" Target="styles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388</Words>
  <Paragraphs>85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2026-10-14T00:47:41Z</dcterms:created>
  <dcterms:modified xsi:type="dcterms:W3CDTF">2026-10-14T00:47:41Z</dcterms:modified>
</cp:coreProperties>
</file>