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228BF" w14:textId="313F949E" w:rsidR="00677A57" w:rsidRDefault="00677A57" w:rsidP="00677A57">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362E8650" wp14:editId="31E3764B">
            <wp:extent cx="2573079" cy="1634787"/>
            <wp:effectExtent l="0" t="0" r="5080" b="3810"/>
            <wp:docPr id="135237216" name="Picture 1" descr="A red blu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7216" name="Picture 1" descr="A red blue and black flag&#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93749" cy="1647919"/>
                    </a:xfrm>
                    <a:prstGeom prst="rect">
                      <a:avLst/>
                    </a:prstGeom>
                  </pic:spPr>
                </pic:pic>
              </a:graphicData>
            </a:graphic>
          </wp:inline>
        </w:drawing>
      </w:r>
    </w:p>
    <w:p w14:paraId="6A019B6D" w14:textId="04753A24" w:rsidR="00677A57" w:rsidRDefault="00677A57" w:rsidP="00677A57">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Group 7 </w:t>
      </w:r>
    </w:p>
    <w:p w14:paraId="3BA3B314" w14:textId="44BDC291" w:rsidR="00677A57" w:rsidRPr="00677A57" w:rsidRDefault="00677A57" w:rsidP="00677A57">
      <w:pPr>
        <w:pStyle w:val="Heading1"/>
        <w:jc w:val="center"/>
        <w:rPr>
          <w:sz w:val="28"/>
          <w:szCs w:val="28"/>
        </w:rPr>
      </w:pPr>
      <w:r w:rsidRPr="00677A57">
        <w:rPr>
          <w:sz w:val="28"/>
          <w:szCs w:val="28"/>
        </w:rPr>
        <w:t xml:space="preserve">Parameter-Efficient Fine-Tuning of </w:t>
      </w:r>
      <w:r>
        <w:rPr>
          <w:sz w:val="28"/>
          <w:szCs w:val="28"/>
        </w:rPr>
        <w:t>SLM</w:t>
      </w:r>
      <w:r w:rsidRPr="00677A57">
        <w:rPr>
          <w:sz w:val="28"/>
          <w:szCs w:val="28"/>
        </w:rPr>
        <w:t xml:space="preserve"> for Medical Question Answering:</w:t>
      </w:r>
    </w:p>
    <w:p w14:paraId="1219E5CD" w14:textId="77777777" w:rsidR="00677A57" w:rsidRPr="00677A57" w:rsidRDefault="00677A57" w:rsidP="00677A57">
      <w:pPr>
        <w:jc w:val="center"/>
        <w:rPr>
          <w:sz w:val="28"/>
          <w:szCs w:val="28"/>
        </w:rPr>
      </w:pPr>
      <w:r w:rsidRPr="00677A57">
        <w:rPr>
          <w:rFonts w:ascii="Times New Roman" w:hAnsi="Times New Roman"/>
          <w:sz w:val="28"/>
          <w:szCs w:val="28"/>
        </w:rPr>
        <w:t xml:space="preserve">A Comparative Study of </w:t>
      </w:r>
      <w:proofErr w:type="spellStart"/>
      <w:r w:rsidRPr="00677A57">
        <w:rPr>
          <w:rFonts w:ascii="Times New Roman" w:hAnsi="Times New Roman"/>
          <w:sz w:val="28"/>
          <w:szCs w:val="28"/>
        </w:rPr>
        <w:t>LoRA</w:t>
      </w:r>
      <w:proofErr w:type="spellEnd"/>
      <w:r w:rsidRPr="00677A57">
        <w:rPr>
          <w:rFonts w:ascii="Times New Roman" w:hAnsi="Times New Roman"/>
          <w:sz w:val="28"/>
          <w:szCs w:val="28"/>
        </w:rPr>
        <w:t xml:space="preserve"> and Prompt Tuning on Microsoft Phi-3.5-mini</w:t>
      </w:r>
    </w:p>
    <w:p w14:paraId="08D3AD15" w14:textId="77777777" w:rsidR="00677A57" w:rsidRDefault="00677A57" w:rsidP="00677A57">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p>
    <w:tbl>
      <w:tblPr>
        <w:tblStyle w:val="TableGrid"/>
        <w:tblW w:w="0" w:type="auto"/>
        <w:tblLook w:val="04A0" w:firstRow="1" w:lastRow="0" w:firstColumn="1" w:lastColumn="0" w:noHBand="0" w:noVBand="1"/>
      </w:tblPr>
      <w:tblGrid>
        <w:gridCol w:w="4597"/>
        <w:gridCol w:w="4419"/>
      </w:tblGrid>
      <w:tr w:rsidR="00677A57" w14:paraId="0BA7FF60" w14:textId="77777777" w:rsidTr="006C3A52">
        <w:tc>
          <w:tcPr>
            <w:tcW w:w="5395" w:type="dxa"/>
          </w:tcPr>
          <w:p w14:paraId="08F1ECB3"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Name</w:t>
            </w:r>
          </w:p>
        </w:tc>
        <w:tc>
          <w:tcPr>
            <w:tcW w:w="5395" w:type="dxa"/>
          </w:tcPr>
          <w:p w14:paraId="4412432D"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ID</w:t>
            </w:r>
          </w:p>
        </w:tc>
      </w:tr>
      <w:tr w:rsidR="00677A57" w14:paraId="70461355" w14:textId="77777777" w:rsidTr="006C3A52">
        <w:tc>
          <w:tcPr>
            <w:tcW w:w="5395" w:type="dxa"/>
          </w:tcPr>
          <w:p w14:paraId="46FCBA2D"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Jana Mostafa</w:t>
            </w:r>
          </w:p>
        </w:tc>
        <w:tc>
          <w:tcPr>
            <w:tcW w:w="5395" w:type="dxa"/>
          </w:tcPr>
          <w:p w14:paraId="687F21F1"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232789</w:t>
            </w:r>
          </w:p>
        </w:tc>
      </w:tr>
      <w:tr w:rsidR="00677A57" w14:paraId="1F05652B" w14:textId="77777777" w:rsidTr="006C3A52">
        <w:tc>
          <w:tcPr>
            <w:tcW w:w="5395" w:type="dxa"/>
          </w:tcPr>
          <w:p w14:paraId="4B609C97"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Seif Emad</w:t>
            </w:r>
          </w:p>
        </w:tc>
        <w:tc>
          <w:tcPr>
            <w:tcW w:w="5395" w:type="dxa"/>
          </w:tcPr>
          <w:p w14:paraId="5464184F"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236467</w:t>
            </w:r>
          </w:p>
        </w:tc>
      </w:tr>
      <w:tr w:rsidR="00677A57" w14:paraId="3847FD2C" w14:textId="77777777" w:rsidTr="006C3A52">
        <w:tc>
          <w:tcPr>
            <w:tcW w:w="5395" w:type="dxa"/>
          </w:tcPr>
          <w:p w14:paraId="2D06EDA0"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Abdelrahman Hossam</w:t>
            </w:r>
          </w:p>
        </w:tc>
        <w:tc>
          <w:tcPr>
            <w:tcW w:w="5395" w:type="dxa"/>
          </w:tcPr>
          <w:p w14:paraId="7DD6E624"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235091</w:t>
            </w:r>
          </w:p>
        </w:tc>
      </w:tr>
      <w:tr w:rsidR="00677A57" w14:paraId="2B9D00AA" w14:textId="77777777" w:rsidTr="006C3A52">
        <w:tc>
          <w:tcPr>
            <w:tcW w:w="5395" w:type="dxa"/>
          </w:tcPr>
          <w:p w14:paraId="3CC851D5"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Marwan Soliman</w:t>
            </w:r>
          </w:p>
        </w:tc>
        <w:tc>
          <w:tcPr>
            <w:tcW w:w="5395" w:type="dxa"/>
          </w:tcPr>
          <w:p w14:paraId="6BF831D7"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237451</w:t>
            </w:r>
          </w:p>
        </w:tc>
      </w:tr>
      <w:tr w:rsidR="00677A57" w14:paraId="124C0B77" w14:textId="77777777" w:rsidTr="006C3A52">
        <w:tc>
          <w:tcPr>
            <w:tcW w:w="5395" w:type="dxa"/>
          </w:tcPr>
          <w:p w14:paraId="412F4177"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Hazem Zidan</w:t>
            </w:r>
          </w:p>
        </w:tc>
        <w:tc>
          <w:tcPr>
            <w:tcW w:w="5395" w:type="dxa"/>
          </w:tcPr>
          <w:p w14:paraId="4CEF458D" w14:textId="77777777" w:rsidR="00677A57" w:rsidRPr="009D6258" w:rsidRDefault="00677A57" w:rsidP="006C3A52">
            <w:pPr>
              <w:spacing w:before="100" w:beforeAutospacing="1" w:after="100" w:afterAutospacing="1"/>
              <w:jc w:val="center"/>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237347</w:t>
            </w:r>
          </w:p>
        </w:tc>
      </w:tr>
    </w:tbl>
    <w:p w14:paraId="0A609486" w14:textId="77777777" w:rsidR="00677A57" w:rsidRDefault="00677A57" w:rsidP="00677A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1688489" w14:textId="77777777" w:rsidR="00677A57" w:rsidRDefault="00677A57"/>
    <w:p w14:paraId="655BCC98" w14:textId="77777777" w:rsidR="00677A57" w:rsidRDefault="00677A57"/>
    <w:p w14:paraId="4FE076C2" w14:textId="77777777" w:rsidR="00677A57" w:rsidRDefault="00677A57"/>
    <w:p w14:paraId="2BD5CA2B" w14:textId="77777777" w:rsidR="00677A57" w:rsidRDefault="00677A57"/>
    <w:p w14:paraId="40EACB76" w14:textId="77777777" w:rsidR="00677A57" w:rsidRDefault="00677A57"/>
    <w:p w14:paraId="3F82E0A3" w14:textId="77777777" w:rsidR="00677A57" w:rsidRDefault="00677A57"/>
    <w:p w14:paraId="1DA7515D" w14:textId="77777777" w:rsidR="00677A57" w:rsidRDefault="00677A57"/>
    <w:p w14:paraId="281015C5" w14:textId="77777777" w:rsidR="00677A57" w:rsidRDefault="00677A57"/>
    <w:p w14:paraId="3FEDC7C9" w14:textId="77777777" w:rsidR="00677A57" w:rsidRDefault="00677A57"/>
    <w:p w14:paraId="10502AF1" w14:textId="77777777" w:rsidR="00677A57" w:rsidRDefault="00677A57"/>
    <w:p w14:paraId="121B5EAE" w14:textId="77777777" w:rsidR="00677A57" w:rsidRDefault="00677A57"/>
    <w:p w14:paraId="47616F29" w14:textId="77777777" w:rsidR="00677A57" w:rsidRDefault="00677A57"/>
    <w:p w14:paraId="0F58A1EB" w14:textId="77777777" w:rsidR="00677A57" w:rsidRDefault="00677A57" w:rsidP="00677A57">
      <w:pPr>
        <w:pStyle w:val="Heading1"/>
      </w:pPr>
      <w:r>
        <w:lastRenderedPageBreak/>
        <w:t>Abstract</w:t>
      </w:r>
    </w:p>
    <w:p w14:paraId="0FCE989C" w14:textId="4DB0561D" w:rsidR="00677A57" w:rsidRDefault="00677A57">
      <w:r w:rsidRPr="00677A57">
        <w:t xml:space="preserve">This study examines the use of parameter-efficient fine-tuning methods to modify small language models for use in medical fields. We performed fine-tuning on Microsoft's Phi-3.5-mini-instruct model which contains 3.8B parameters using the Medical Meadow Medical Flashcards dataset through Low-Rank Adaptation and Prompt Tuning methods. The two techniques used 4-bit quantization to achieve better resource saving. The ROUGE-L </w:t>
      </w:r>
      <w:proofErr w:type="spellStart"/>
      <w:r w:rsidRPr="00677A57">
        <w:t>BERTScore</w:t>
      </w:r>
      <w:proofErr w:type="spellEnd"/>
      <w:r w:rsidRPr="00677A57">
        <w:t xml:space="preserve"> F1 and perplexity tests showed both PEFT methods surpassed the baseline results while </w:t>
      </w:r>
      <w:proofErr w:type="spellStart"/>
      <w:r w:rsidRPr="00677A57">
        <w:t>LoRA</w:t>
      </w:r>
      <w:proofErr w:type="spellEnd"/>
      <w:r w:rsidRPr="00677A57">
        <w:t xml:space="preserve"> achieved the highest performance through a 45% ROUGE-L increase and 38% </w:t>
      </w:r>
      <w:proofErr w:type="spellStart"/>
      <w:r w:rsidRPr="00677A57">
        <w:t>BERTScore</w:t>
      </w:r>
      <w:proofErr w:type="spellEnd"/>
      <w:r w:rsidRPr="00677A57">
        <w:t xml:space="preserve"> F1 improvement and 62% perplexity decrease. The results showed Prompt Tuning achieved comparable results while using 90% fewer parameters for training. The results prove that PEFT methods effectively adapt to medical domains while </w:t>
      </w:r>
      <w:proofErr w:type="spellStart"/>
      <w:r w:rsidRPr="00677A57">
        <w:t>LoRA</w:t>
      </w:r>
      <w:proofErr w:type="spellEnd"/>
      <w:r w:rsidRPr="00677A57">
        <w:t xml:space="preserve"> provides an ideal solution which maximizes performance through 0.17% trainable parameter usage. The training process took less than 3 hours to complete on standard consumer equipment which proves that clinical AI systems can be practically implemented.</w:t>
      </w:r>
    </w:p>
    <w:p w14:paraId="559D47F7" w14:textId="77777777" w:rsidR="00677A57" w:rsidRDefault="00677A57" w:rsidP="00677A57">
      <w:pPr>
        <w:pStyle w:val="Heading1"/>
      </w:pPr>
      <w:r>
        <w:t>1. Introduction</w:t>
      </w:r>
    </w:p>
    <w:p w14:paraId="56534912" w14:textId="74094425" w:rsidR="00677A57" w:rsidRDefault="00677A57" w:rsidP="00677A57">
      <w:r w:rsidRPr="00677A57">
        <w:t xml:space="preserve">Small language models (SLMs) successfully provided an effective solution </w:t>
      </w:r>
      <w:proofErr w:type="gramStart"/>
      <w:r w:rsidRPr="00677A57">
        <w:t>due to the fact that</w:t>
      </w:r>
      <w:proofErr w:type="gramEnd"/>
      <w:r w:rsidRPr="00677A57">
        <w:t xml:space="preserve"> Microsoft's Phi-3.5-mini with 3.8 billion parameters delivers output that rivals bigger models while requiring less processing power.</w:t>
      </w:r>
      <w:r w:rsidRPr="00677A57">
        <w:br/>
      </w:r>
      <w:r w:rsidRPr="00677A57">
        <w:br/>
        <w:t xml:space="preserve">Medical question-answering systems need precise and trustworthy data </w:t>
      </w:r>
      <w:proofErr w:type="spellStart"/>
      <w:r w:rsidRPr="00677A57">
        <w:t>butthey</w:t>
      </w:r>
      <w:proofErr w:type="spellEnd"/>
      <w:r w:rsidRPr="00677A57">
        <w:t xml:space="preserve"> usually function in environments that have insufficient resources. The process of traditional fine-tuning needs extensive computational resources because it requires changes to all billions of parameters. Parameter-efficient fine-tuning (PEFT) methods address this by enabling adaptation through minimal parameter changes. Low-Rank Adaptation (</w:t>
      </w:r>
      <w:proofErr w:type="spellStart"/>
      <w:r w:rsidRPr="00677A57">
        <w:t>LoRA</w:t>
      </w:r>
      <w:proofErr w:type="spellEnd"/>
      <w:r w:rsidRPr="00677A57">
        <w:t>) decomposes weight updates into low-rank matrices, while Prompt Tuning prepends learnable soft prompts to inputs.</w:t>
      </w:r>
      <w:r w:rsidRPr="00677A57">
        <w:br/>
      </w:r>
      <w:r w:rsidRPr="00677A57">
        <w:br/>
        <w:t xml:space="preserve">The research study compares </w:t>
      </w:r>
      <w:proofErr w:type="spellStart"/>
      <w:r w:rsidRPr="00677A57">
        <w:t>LoRA</w:t>
      </w:r>
      <w:proofErr w:type="spellEnd"/>
      <w:r w:rsidRPr="00677A57">
        <w:t xml:space="preserve"> and Prompt Tuning methods in Phi-3.5-mini adaptation for medical question-answering through Medical Meadow Medical Flashcards dataset which contains 33,955 medical QA pairs. The research team used ROUGE-L, </w:t>
      </w:r>
      <w:proofErr w:type="spellStart"/>
      <w:r w:rsidRPr="00677A57">
        <w:t>BERTScore</w:t>
      </w:r>
      <w:proofErr w:type="spellEnd"/>
      <w:r w:rsidRPr="00677A57">
        <w:t xml:space="preserve"> F1, and perplexity metrics to measure performance while they conducted qualitative analysis.</w:t>
      </w:r>
    </w:p>
    <w:p w14:paraId="064BDD0C" w14:textId="77777777" w:rsidR="00677A57" w:rsidRDefault="00677A57" w:rsidP="00677A57">
      <w:pPr>
        <w:pStyle w:val="Heading1"/>
      </w:pPr>
      <w:r>
        <w:t>2. Literature Review</w:t>
      </w:r>
    </w:p>
    <w:p w14:paraId="599F8DE5" w14:textId="77777777" w:rsidR="00677A57" w:rsidRPr="00677A57" w:rsidRDefault="00677A57" w:rsidP="00677A57">
      <w:pPr>
        <w:rPr>
          <w:color w:val="0070C0"/>
        </w:rPr>
      </w:pPr>
      <w:r w:rsidRPr="00677A57">
        <w:rPr>
          <w:color w:val="0070C0"/>
        </w:rPr>
        <w:t>2.1 Small Language Models</w:t>
      </w:r>
    </w:p>
    <w:p w14:paraId="3EDEB398" w14:textId="6CB7936C" w:rsidR="00677A57" w:rsidRDefault="00677A57" w:rsidP="00677A57">
      <w:r>
        <w:lastRenderedPageBreak/>
        <w:t xml:space="preserve"> The Phi-3 family was introduced by </w:t>
      </w:r>
      <w:proofErr w:type="spellStart"/>
      <w:r>
        <w:t>Abdin</w:t>
      </w:r>
      <w:proofErr w:type="spellEnd"/>
      <w:r>
        <w:t xml:space="preserve"> et al. in their 2024 research which showed that smaller models can achieve performance equal to their larger counterparts when trained on specific data sets. The mobile device </w:t>
      </w:r>
      <w:proofErr w:type="spellStart"/>
      <w:r>
        <w:t>deployability</w:t>
      </w:r>
      <w:proofErr w:type="spellEnd"/>
      <w:r>
        <w:t xml:space="preserve"> of Phi-3-mini which contains 3.8 billion parameters reaches an MMLU score of 69 percent. The Phi series uses filtered web data together with synthetic data to create educational content which has more value than its total data volume.</w:t>
      </w:r>
    </w:p>
    <w:p w14:paraId="009C9B06" w14:textId="77777777" w:rsidR="00677A57" w:rsidRDefault="00677A57" w:rsidP="00677A57"/>
    <w:p w14:paraId="586A1325" w14:textId="77777777" w:rsidR="00677A57" w:rsidRPr="00677A57" w:rsidRDefault="00677A57" w:rsidP="00677A57">
      <w:pPr>
        <w:rPr>
          <w:color w:val="0070C0"/>
        </w:rPr>
      </w:pPr>
      <w:r w:rsidRPr="00677A57">
        <w:rPr>
          <w:color w:val="0070C0"/>
        </w:rPr>
        <w:t xml:space="preserve">2.2 Parameter-Efficient Fine-Tuning </w:t>
      </w:r>
    </w:p>
    <w:p w14:paraId="12F3EFA0" w14:textId="5913672D" w:rsidR="00677A57" w:rsidRDefault="00677A57" w:rsidP="00677A57">
      <w:proofErr w:type="spellStart"/>
      <w:r>
        <w:t>LoRA</w:t>
      </w:r>
      <w:proofErr w:type="spellEnd"/>
      <w:r>
        <w:t xml:space="preserve"> (Hu et al., 2021) uses weight updates represented as low-rank decomposition matrices to decrease the number of parameters that need training by multiple orders of magnitude. The </w:t>
      </w:r>
      <w:proofErr w:type="spellStart"/>
      <w:r>
        <w:t>LoRA</w:t>
      </w:r>
      <w:proofErr w:type="spellEnd"/>
      <w:r>
        <w:t xml:space="preserve"> system uses matrix W₀ to describe weight updates through the equation ΔW = BA, which creates a parameter reduction of 10,000 times for the GPT-3 system when using rank r that is much less than the value of min(</w:t>
      </w:r>
      <w:proofErr w:type="spellStart"/>
      <w:proofErr w:type="gramStart"/>
      <w:r>
        <w:t>d,k</w:t>
      </w:r>
      <w:proofErr w:type="spellEnd"/>
      <w:proofErr w:type="gramEnd"/>
      <w:r>
        <w:t xml:space="preserve">). The researchers </w:t>
      </w:r>
      <w:proofErr w:type="spellStart"/>
      <w:r>
        <w:t>Hayou</w:t>
      </w:r>
      <w:proofErr w:type="spellEnd"/>
      <w:r>
        <w:t xml:space="preserve"> et al. introduced </w:t>
      </w:r>
      <w:proofErr w:type="spellStart"/>
      <w:r>
        <w:t>LoRA</w:t>
      </w:r>
      <w:proofErr w:type="spellEnd"/>
      <w:r>
        <w:t>+ which created learning rate improvements of 1 to 2 percent.</w:t>
      </w:r>
    </w:p>
    <w:p w14:paraId="333C9AAE" w14:textId="77777777" w:rsidR="00677A57" w:rsidRDefault="00677A57" w:rsidP="00677A57"/>
    <w:p w14:paraId="3706C41D" w14:textId="77777777" w:rsidR="00677A57" w:rsidRDefault="00677A57" w:rsidP="00677A57">
      <w:r>
        <w:t xml:space="preserve">Prompt Tuning (Lester et al., 2021) enables model training through frozen model operation while it learns soft prompts as continuous elements. The system enables performance that approaches full model tuning results for billion-parameter models with parameter changes that stay under 0.01 percent. The researchers Ding et al. (2024) created a training system that uses Semantic Knowledge Tuning to achieve faster results through the starting point of meaningful word initialization. </w:t>
      </w:r>
    </w:p>
    <w:p w14:paraId="3C35EC98" w14:textId="77777777" w:rsidR="00677A57" w:rsidRPr="00677A57" w:rsidRDefault="00677A57" w:rsidP="00677A57">
      <w:pPr>
        <w:rPr>
          <w:color w:val="0070C0"/>
        </w:rPr>
      </w:pPr>
      <w:r w:rsidRPr="00677A57">
        <w:rPr>
          <w:color w:val="0070C0"/>
        </w:rPr>
        <w:t xml:space="preserve">2.3 Medical NLP Applications </w:t>
      </w:r>
    </w:p>
    <w:p w14:paraId="73B45118" w14:textId="6BB28F72" w:rsidR="00677A57" w:rsidRDefault="00677A57" w:rsidP="00677A57">
      <w:r>
        <w:t>The researchers Singhal et al. (2024) created Med-</w:t>
      </w:r>
      <w:proofErr w:type="spellStart"/>
      <w:r>
        <w:t>PaLM</w:t>
      </w:r>
      <w:proofErr w:type="spellEnd"/>
      <w:r>
        <w:t xml:space="preserve"> 2 which achieved 86.5 percent accuracy on </w:t>
      </w:r>
      <w:proofErr w:type="spellStart"/>
      <w:r>
        <w:t>MedQA</w:t>
      </w:r>
      <w:proofErr w:type="spellEnd"/>
      <w:r>
        <w:t xml:space="preserve"> through its assessment which made it the first system to reach expert human test results. The systems need high computational power to operate properly. Li et al. (2023) developed </w:t>
      </w:r>
      <w:proofErr w:type="spellStart"/>
      <w:r>
        <w:t>ChatDoctor</w:t>
      </w:r>
      <w:proofErr w:type="spellEnd"/>
      <w:r>
        <w:t xml:space="preserve"> through </w:t>
      </w:r>
      <w:proofErr w:type="spellStart"/>
      <w:r>
        <w:t>LLaMA</w:t>
      </w:r>
      <w:proofErr w:type="spellEnd"/>
      <w:r>
        <w:t xml:space="preserve"> fine-tuning with medical conversation data while Han et al. (2023) created </w:t>
      </w:r>
      <w:proofErr w:type="spellStart"/>
      <w:r>
        <w:t>MedAlpaca</w:t>
      </w:r>
      <w:proofErr w:type="spellEnd"/>
      <w:r>
        <w:t>. The researchers Zhang et al. (2024) showed that PEFT methods work best for medical purposes because they help doctors learn new medical knowledge while protecting their patients.</w:t>
      </w:r>
    </w:p>
    <w:p w14:paraId="0F33723D" w14:textId="5755CFAF" w:rsidR="00677A57" w:rsidRPr="00677A57" w:rsidRDefault="00677A57" w:rsidP="00677A57">
      <w:pPr>
        <w:rPr>
          <w:color w:val="0070C0"/>
        </w:rPr>
      </w:pPr>
      <w:r w:rsidRPr="00677A57">
        <w:rPr>
          <w:color w:val="0070C0"/>
        </w:rPr>
        <w:t>2.</w:t>
      </w:r>
      <w:r>
        <w:rPr>
          <w:color w:val="0070C0"/>
        </w:rPr>
        <w:t>4 Evaluation Metrics</w:t>
      </w:r>
      <w:r w:rsidRPr="00677A57">
        <w:rPr>
          <w:color w:val="0070C0"/>
        </w:rPr>
        <w:t xml:space="preserve"> </w:t>
      </w:r>
    </w:p>
    <w:p w14:paraId="2BDFB59C" w14:textId="151D7EFF" w:rsidR="00677A57" w:rsidRDefault="00677A57" w:rsidP="00677A57">
      <w:r w:rsidRPr="00677A57">
        <w:t xml:space="preserve">ROUGE-L measures longest common subsequence between generated and reference texts, capturing lexical overlap and word order. </w:t>
      </w:r>
      <w:proofErr w:type="spellStart"/>
      <w:r w:rsidRPr="00677A57">
        <w:t>BERTScore</w:t>
      </w:r>
      <w:proofErr w:type="spellEnd"/>
      <w:r w:rsidRPr="00677A57">
        <w:t xml:space="preserve"> (Zhang et al., 2020) computes cosine similarity between contextualized embeddings, which recognizes different phrasing as equivalent semantic content. Perplexity measures model confidence in predictions. The combination of these metrics enables an extensive </w:t>
      </w:r>
      <w:r w:rsidRPr="00677A57">
        <w:lastRenderedPageBreak/>
        <w:t>evaluation which assesses both surface-level attributes and semantic quality of the content.</w:t>
      </w:r>
    </w:p>
    <w:p w14:paraId="5A0CF712" w14:textId="77777777" w:rsidR="00677A57" w:rsidRDefault="00677A57" w:rsidP="00677A57">
      <w:pPr>
        <w:pStyle w:val="Heading1"/>
      </w:pPr>
      <w:r>
        <w:t>3. Methodology</w:t>
      </w:r>
    </w:p>
    <w:p w14:paraId="4D0B6DFB" w14:textId="77777777" w:rsidR="00677A57" w:rsidRPr="00677A57" w:rsidRDefault="00677A57" w:rsidP="00677A57">
      <w:pPr>
        <w:rPr>
          <w:color w:val="0070C0"/>
        </w:rPr>
      </w:pPr>
      <w:r w:rsidRPr="00677A57">
        <w:rPr>
          <w:color w:val="0070C0"/>
        </w:rPr>
        <w:t>3.1 Dataset and Preprocessing</w:t>
      </w:r>
    </w:p>
    <w:p w14:paraId="4A871C4F" w14:textId="77777777" w:rsidR="00677A57" w:rsidRDefault="00677A57" w:rsidP="00677A57">
      <w:r>
        <w:t>We accessed the Medical Meadow Medical Flashcards dataset which contains 33955 medical QA pairs through Hugging Face. Input questions averaged 78 words and outputs 52 words. We created examples through basic HTML removal and whitespace normalization before using Phi-3.5's chat template which includes system user and assistant roles. The dataset divided into three parts which included training samples (2000) and evaluation samples (200) and test samples (200) while using seed 42 to ensure reproducibility of results.</w:t>
      </w:r>
    </w:p>
    <w:p w14:paraId="3C55F2A5" w14:textId="77777777" w:rsidR="00677A57" w:rsidRPr="00677A57" w:rsidRDefault="00677A57" w:rsidP="00677A57">
      <w:pPr>
        <w:rPr>
          <w:color w:val="0070C0"/>
        </w:rPr>
      </w:pPr>
      <w:r w:rsidRPr="00677A57">
        <w:rPr>
          <w:color w:val="0070C0"/>
        </w:rPr>
        <w:t>3.2 Model Configuration</w:t>
      </w:r>
    </w:p>
    <w:p w14:paraId="484A65A7" w14:textId="77777777" w:rsidR="00677A57" w:rsidRDefault="00677A57" w:rsidP="00677A57">
      <w:r>
        <w:t xml:space="preserve">We used Microsoft Phi-3.5-mini-instruct which contains 3.8 billion parameters and 32 layers and 32 attention heads while implementing 4-bit NF4 quantization through </w:t>
      </w:r>
      <w:proofErr w:type="spellStart"/>
      <w:r>
        <w:t>BitsAndBytes</w:t>
      </w:r>
      <w:proofErr w:type="spellEnd"/>
      <w:r>
        <w:t xml:space="preserve">. The system achieved a memory reduction from approximately 7.6GB to below 2GB while maintaining its original performance level. The maximum sequence length reached 512 tokens. The system used bfloat16 compute </w:t>
      </w:r>
      <w:proofErr w:type="spellStart"/>
      <w:r>
        <w:t>dtype</w:t>
      </w:r>
      <w:proofErr w:type="spellEnd"/>
      <w:r>
        <w:t xml:space="preserve"> for quantization to guarantee numerical stability.</w:t>
      </w:r>
    </w:p>
    <w:p w14:paraId="692A9CF8" w14:textId="77777777" w:rsidR="00677A57" w:rsidRPr="00677A57" w:rsidRDefault="00677A57" w:rsidP="00677A57">
      <w:pPr>
        <w:rPr>
          <w:color w:val="0070C0"/>
        </w:rPr>
      </w:pPr>
      <w:r w:rsidRPr="00677A57">
        <w:rPr>
          <w:color w:val="0070C0"/>
        </w:rPr>
        <w:t>3.3 Fine-Tuning Configurations</w:t>
      </w:r>
    </w:p>
    <w:p w14:paraId="57C10F37" w14:textId="55F3E8FE" w:rsidR="00677A57" w:rsidRDefault="00677A57" w:rsidP="00677A57">
      <w:proofErr w:type="spellStart"/>
      <w:r>
        <w:t>LoRA</w:t>
      </w:r>
      <w:proofErr w:type="spellEnd"/>
      <w:r>
        <w:t>: Configured with rank r=16, alpha=32, applied to all attention projections (</w:t>
      </w:r>
      <w:proofErr w:type="spellStart"/>
      <w:r>
        <w:t>q_proj</w:t>
      </w:r>
      <w:proofErr w:type="spellEnd"/>
      <w:r>
        <w:t xml:space="preserve">, </w:t>
      </w:r>
      <w:proofErr w:type="spellStart"/>
      <w:r>
        <w:t>k_proj</w:t>
      </w:r>
      <w:proofErr w:type="spellEnd"/>
      <w:r>
        <w:t xml:space="preserve">, </w:t>
      </w:r>
      <w:proofErr w:type="spellStart"/>
      <w:r>
        <w:t>v_proj</w:t>
      </w:r>
      <w:proofErr w:type="spellEnd"/>
      <w:r>
        <w:t xml:space="preserve">, </w:t>
      </w:r>
      <w:proofErr w:type="spellStart"/>
      <w:r>
        <w:t>o_proj</w:t>
      </w:r>
      <w:proofErr w:type="spellEnd"/>
      <w:r>
        <w:t>). The system added 6.5 million trainable parameters which represent 0.17 percent of the whole system. The training process used three epochs with a batch size of two and gradient accumulation set to four which resulted in an effective batch size of eight while the learning rate was set at 2×10</w:t>
      </w:r>
      <w:r>
        <w:rPr>
          <w:rFonts w:ascii="Cambria Math" w:hAnsi="Cambria Math" w:cs="Cambria Math"/>
        </w:rPr>
        <w:t>⁻</w:t>
      </w:r>
      <w:r>
        <w:t>⁴ and bfloat16 precision was used.</w:t>
      </w:r>
    </w:p>
    <w:p w14:paraId="34011F4A" w14:textId="093E4CA4" w:rsidR="00677A57" w:rsidRDefault="00677A57" w:rsidP="00677A57">
      <w:r>
        <w:t xml:space="preserve">Prompt Tuning: Employed 20 virtual tokens with TEXT initialization, training only 655K parameters (0.017% of total). </w:t>
      </w:r>
    </w:p>
    <w:p w14:paraId="2A1A1F0B" w14:textId="609B5ADA" w:rsidR="00677A57" w:rsidRDefault="00677A57" w:rsidP="00677A57">
      <w:r>
        <w:t>Both methods</w:t>
      </w:r>
      <w:r>
        <w:t xml:space="preserve"> were logged</w:t>
      </w:r>
      <w:r>
        <w:t xml:space="preserve"> metrics to </w:t>
      </w:r>
      <w:proofErr w:type="spellStart"/>
      <w:r>
        <w:t>TensorBoard</w:t>
      </w:r>
      <w:proofErr w:type="spellEnd"/>
      <w:r>
        <w:t xml:space="preserve">. </w:t>
      </w:r>
    </w:p>
    <w:p w14:paraId="4725B593" w14:textId="77777777" w:rsidR="00677A57" w:rsidRPr="00677A57" w:rsidRDefault="00677A57" w:rsidP="00677A57">
      <w:pPr>
        <w:rPr>
          <w:color w:val="0070C0"/>
        </w:rPr>
      </w:pPr>
      <w:r w:rsidRPr="00677A57">
        <w:rPr>
          <w:color w:val="0070C0"/>
        </w:rPr>
        <w:t>3.4 Evaluation</w:t>
      </w:r>
    </w:p>
    <w:p w14:paraId="22252440" w14:textId="72F12A31" w:rsidR="00677A57" w:rsidRDefault="00677A57" w:rsidP="00677A57">
      <w:r>
        <w:t xml:space="preserve">We used three metrics for our evaluation those methods </w:t>
      </w:r>
      <w:r>
        <w:t>included ROUGE</w:t>
      </w:r>
      <w:r>
        <w:t xml:space="preserve">-L for lexical overlap </w:t>
      </w:r>
      <w:r>
        <w:t xml:space="preserve">and </w:t>
      </w:r>
      <w:proofErr w:type="spellStart"/>
      <w:r>
        <w:t>BERTScore</w:t>
      </w:r>
      <w:proofErr w:type="spellEnd"/>
      <w:r>
        <w:t xml:space="preserve"> F1 (</w:t>
      </w:r>
      <w:proofErr w:type="spellStart"/>
      <w:r>
        <w:t>microsoft</w:t>
      </w:r>
      <w:proofErr w:type="spellEnd"/>
      <w:r>
        <w:t>/</w:t>
      </w:r>
      <w:proofErr w:type="spellStart"/>
      <w:r>
        <w:t>deberta-xlarge-mnli</w:t>
      </w:r>
      <w:proofErr w:type="spellEnd"/>
      <w:r>
        <w:t>) for semantic similarity and lastly Perplexity which measures model prediction confidence. The models produced answers through greedy decoding (</w:t>
      </w:r>
      <w:proofErr w:type="spellStart"/>
      <w:r>
        <w:t>max_length</w:t>
      </w:r>
      <w:proofErr w:type="spellEnd"/>
      <w:r>
        <w:t>=512) while using the same test data. We also conducted qualitative analysis on 12 representative medical questions.</w:t>
      </w:r>
    </w:p>
    <w:p w14:paraId="19ECF0E7" w14:textId="77777777" w:rsidR="00677A57" w:rsidRDefault="00677A57" w:rsidP="00677A57">
      <w:pPr>
        <w:pStyle w:val="Heading1"/>
      </w:pPr>
      <w:r>
        <w:lastRenderedPageBreak/>
        <w:t>4. Results</w:t>
      </w:r>
    </w:p>
    <w:p w14:paraId="142E1488" w14:textId="0763FD10" w:rsidR="00677A57" w:rsidRDefault="00640278" w:rsidP="00640278">
      <w:r w:rsidRPr="00640278">
        <w:rPr>
          <w:color w:val="0070C0"/>
        </w:rPr>
        <w:t>4.1 Quantitative Performance</w:t>
      </w:r>
      <w:r w:rsidRPr="00640278">
        <w:br/>
        <w:t xml:space="preserve">Table 1 shows the results of the evaluation tests. The baseline Phi-3.5-mini achieved ROUGE-L 0.127, </w:t>
      </w:r>
      <w:proofErr w:type="spellStart"/>
      <w:r w:rsidRPr="00640278">
        <w:t>BERTScore</w:t>
      </w:r>
      <w:proofErr w:type="spellEnd"/>
      <w:r w:rsidRPr="00640278">
        <w:t xml:space="preserve"> F1 0.423, and perplexity 8.45. </w:t>
      </w:r>
      <w:proofErr w:type="spellStart"/>
      <w:r w:rsidRPr="00640278">
        <w:t>LoRA</w:t>
      </w:r>
      <w:proofErr w:type="spellEnd"/>
      <w:r w:rsidRPr="00640278">
        <w:t xml:space="preserve"> fine-tuning produced substantial improvements: ROUGE-L 0.184 (+44.9%), </w:t>
      </w:r>
      <w:proofErr w:type="spellStart"/>
      <w:r w:rsidRPr="00640278">
        <w:t>BERTScore</w:t>
      </w:r>
      <w:proofErr w:type="spellEnd"/>
      <w:r w:rsidRPr="00640278">
        <w:t xml:space="preserve"> F1 0.584 (+38.1%), perplexity 3.21 (-62.0%). Prompt Tuning also improved performance: ROUGE-L 0.168 (+32.3%), </w:t>
      </w:r>
      <w:proofErr w:type="spellStart"/>
      <w:r w:rsidRPr="00640278">
        <w:t>BERTScore</w:t>
      </w:r>
      <w:proofErr w:type="spellEnd"/>
      <w:r w:rsidRPr="00640278">
        <w:t xml:space="preserve"> F1 0.529 (+25.1%), perplexity 4.82 (-43.0%).</w:t>
      </w:r>
      <w:r w:rsidRPr="00640278">
        <w:br/>
      </w:r>
      <w:r w:rsidRPr="00640278">
        <w:br/>
      </w:r>
      <w:proofErr w:type="spellStart"/>
      <w:r w:rsidRPr="00640278">
        <w:t>LoRA</w:t>
      </w:r>
      <w:proofErr w:type="spellEnd"/>
      <w:r w:rsidRPr="00640278">
        <w:t xml:space="preserve"> outperformed Prompt Tuning across all metrics despite training 10× more parameters. The results indicate that for domain adaptation processes which need extensive knowledge transfer, the internal representation modification method of </w:t>
      </w:r>
      <w:proofErr w:type="spellStart"/>
      <w:r w:rsidRPr="00640278">
        <w:t>LoRA</w:t>
      </w:r>
      <w:proofErr w:type="spellEnd"/>
      <w:r w:rsidRPr="00640278">
        <w:t xml:space="preserve"> proves to be more efficient than the input conditioning method of Prompt Tuning on 4B-scale models. The two approaches achieved significant reductions in training duration when compared to full fine-tuning which required 15 hours yet delivered similar results under 6GB of GPU memory usage.</w:t>
      </w:r>
      <w:r w:rsidRPr="00640278">
        <w:br/>
      </w:r>
      <w:r w:rsidRPr="00640278">
        <w:rPr>
          <w:color w:val="0070C0"/>
        </w:rPr>
        <w:t>4.2 Training Dynamics</w:t>
      </w:r>
      <w:r w:rsidRPr="00640278">
        <w:br/>
      </w:r>
      <w:proofErr w:type="spellStart"/>
      <w:r w:rsidRPr="00640278">
        <w:t>TensorBoard</w:t>
      </w:r>
      <w:proofErr w:type="spellEnd"/>
      <w:r w:rsidRPr="00640278">
        <w:t xml:space="preserve"> analysis revealed a quite unique and reliable learning patterns. </w:t>
      </w:r>
      <w:proofErr w:type="spellStart"/>
      <w:r w:rsidRPr="00640278">
        <w:t>LoRA</w:t>
      </w:r>
      <w:proofErr w:type="spellEnd"/>
      <w:r w:rsidRPr="00640278">
        <w:t xml:space="preserve"> clearly showed stable learning through its smooth loss curves which enabled it to achieve lower final training loss (1.82 vs. 2.34). Prompt Tuning demonstrated higher variability during the initial stages of the training process. Both methods achieved convergence after two epochs because there was no significant improvement between the second and third epochs for this </w:t>
      </w:r>
      <w:proofErr w:type="gramStart"/>
      <w:r w:rsidRPr="00640278">
        <w:t>particular dataset</w:t>
      </w:r>
      <w:proofErr w:type="gramEnd"/>
      <w:r w:rsidRPr="00640278">
        <w:t xml:space="preserve">. The two methods did not show any signs of overfitting </w:t>
      </w:r>
      <w:proofErr w:type="gramStart"/>
      <w:r w:rsidRPr="00640278">
        <w:t xml:space="preserve">due </w:t>
      </w:r>
      <w:r w:rsidRPr="00640278">
        <w:t>to the</w:t>
      </w:r>
      <w:r w:rsidRPr="00640278">
        <w:t xml:space="preserve"> fact that</w:t>
      </w:r>
      <w:proofErr w:type="gramEnd"/>
      <w:r w:rsidRPr="00640278">
        <w:t xml:space="preserve"> their validation loss and training loss </w:t>
      </w:r>
      <w:r w:rsidRPr="00640278">
        <w:t>had</w:t>
      </w:r>
      <w:r w:rsidRPr="00640278">
        <w:t xml:space="preserve"> closed each other throughout the experiment.</w:t>
      </w:r>
    </w:p>
    <w:p w14:paraId="0ED40B39" w14:textId="12FB3A73" w:rsidR="00640278" w:rsidRDefault="00640278" w:rsidP="00640278">
      <w:r w:rsidRPr="00640278">
        <w:rPr>
          <w:color w:val="0070C0"/>
        </w:rPr>
        <w:t>4.3 Qualitative Analysis</w:t>
      </w:r>
      <w:r w:rsidRPr="00640278">
        <w:br/>
        <w:t xml:space="preserve">The examination of 12 selected samples revealed consistent quality differences across the samples. The </w:t>
      </w:r>
      <w:proofErr w:type="spellStart"/>
      <w:r w:rsidRPr="00640278">
        <w:t>LoRA</w:t>
      </w:r>
      <w:proofErr w:type="spellEnd"/>
      <w:r w:rsidRPr="00640278">
        <w:t xml:space="preserve"> models produced mechanistic explanations which matched the reference responses to their full extent. The mechanisms of pathophysiology questions were correctly explained by </w:t>
      </w:r>
      <w:proofErr w:type="spellStart"/>
      <w:r w:rsidRPr="00640278">
        <w:t>LoRA</w:t>
      </w:r>
      <w:proofErr w:type="spellEnd"/>
      <w:r w:rsidRPr="00640278">
        <w:t xml:space="preserve"> through detailed specific evidence that included the statement "Very low Mg2+ levels correspond to low PTH levels which in turn results in low Ca2+ levels" The baseline models produced responses which lacked clarity and showed partial correctness.</w:t>
      </w:r>
      <w:r w:rsidRPr="00640278">
        <w:br/>
      </w:r>
      <w:r w:rsidRPr="00640278">
        <w:br/>
        <w:t xml:space="preserve">Prompt Tuning showed intermediate quality: generally accurate high-level concepts but sometimes missing specific mechanisms or values. </w:t>
      </w:r>
      <w:proofErr w:type="spellStart"/>
      <w:r w:rsidRPr="00640278">
        <w:t>LoRA</w:t>
      </w:r>
      <w:proofErr w:type="spellEnd"/>
      <w:r w:rsidRPr="00640278">
        <w:t xml:space="preserve"> showed better clinical diagnostic abilities because it correctly detected disease indicators while the baseline system only provided general information. The models produced alternative answers which were valid for clinical use but not matching the reference answers thus demonstrating the problems which reference-based metrics create.</w:t>
      </w:r>
      <w:r w:rsidRPr="00640278">
        <w:br/>
      </w:r>
      <w:r w:rsidRPr="00640278">
        <w:rPr>
          <w:color w:val="0070C0"/>
        </w:rPr>
        <w:lastRenderedPageBreak/>
        <w:t>4.4 Error Patterns</w:t>
      </w:r>
      <w:r w:rsidRPr="00640278">
        <w:br/>
        <w:t xml:space="preserve">The errors are classified into three categories which include factual inaccuracies and incomplete responses and formatting issues. The factual errors happened in less than 5percent of </w:t>
      </w:r>
      <w:proofErr w:type="spellStart"/>
      <w:r w:rsidRPr="00640278">
        <w:t>LoRA</w:t>
      </w:r>
      <w:proofErr w:type="spellEnd"/>
      <w:r w:rsidRPr="00640278">
        <w:t xml:space="preserve"> </w:t>
      </w:r>
      <w:r w:rsidRPr="00640278">
        <w:t>responses,</w:t>
      </w:r>
      <w:r w:rsidRPr="00640278">
        <w:t xml:space="preserve"> but they occurred in more than 25percent of baseline responses and approximately 15percent of Prompt Tuning responses. The baseline and Prompt Tuning models showed higher levels of incomplete responses compared to each other. The two PEFT methods did not create any dangerous hallucinations which would pose medical safety risks because they did not create hallucinations or fake medical entities.</w:t>
      </w:r>
    </w:p>
    <w:p w14:paraId="1230D9B7" w14:textId="77777777" w:rsidR="00640278" w:rsidRDefault="00640278" w:rsidP="00640278">
      <w:pPr>
        <w:pStyle w:val="Heading1"/>
      </w:pPr>
      <w:r>
        <w:t>5. Analysis and Discussion</w:t>
      </w:r>
    </w:p>
    <w:p w14:paraId="0B0FC8AE" w14:textId="4F2E9682" w:rsidR="00640278" w:rsidRPr="00640278" w:rsidRDefault="00640278" w:rsidP="00640278">
      <w:pPr>
        <w:rPr>
          <w:color w:val="0070C0"/>
        </w:rPr>
      </w:pPr>
      <w:r w:rsidRPr="00640278">
        <w:rPr>
          <w:color w:val="0070C0"/>
        </w:rPr>
        <w:t xml:space="preserve">5.1 PEFT Effectiveness </w:t>
      </w:r>
    </w:p>
    <w:p w14:paraId="16E04264" w14:textId="10070F32" w:rsidR="00640278" w:rsidRDefault="00640278" w:rsidP="00640278">
      <w:r>
        <w:t xml:space="preserve">The results show that PEFT successfully implements SLMs in medical applications by using less than 1 percent of their system components. The system allows fast model updates because of its minimal hardware needs which support ongoing updates. </w:t>
      </w:r>
      <w:proofErr w:type="spellStart"/>
      <w:r>
        <w:t>LoRA</w:t>
      </w:r>
      <w:proofErr w:type="spellEnd"/>
      <w:r>
        <w:t xml:space="preserve"> delivers better results because studies show that knowledge-intensive domains respond better to internal representation changes than to input conditioning methods. The results from Prompt Tuning show that it reaches similar performance levels as regular systems while using 90 percent fewer resources.</w:t>
      </w:r>
    </w:p>
    <w:p w14:paraId="345FB438" w14:textId="77777777" w:rsidR="00640278" w:rsidRPr="00640278" w:rsidRDefault="00640278" w:rsidP="00640278">
      <w:pPr>
        <w:rPr>
          <w:color w:val="0070C0"/>
        </w:rPr>
      </w:pPr>
      <w:r w:rsidRPr="00640278">
        <w:rPr>
          <w:color w:val="0070C0"/>
        </w:rPr>
        <w:t>5.2 Clinical Implications</w:t>
      </w:r>
    </w:p>
    <w:p w14:paraId="2C3B746B" w14:textId="1E8FDC67" w:rsidR="00640278" w:rsidRDefault="00640278" w:rsidP="00640278">
      <w:r>
        <w:t xml:space="preserve">The successful adaptation of PEFT systems enables their operation on standard consumer devices which makes medical artificial intelligence available to people in need of support in low-resource environments. The training period lasts less than three hours which enables users to create new designs and build expertise in specific areas. Our evaluation uses metrics that measure linguistic </w:t>
      </w:r>
      <w:proofErr w:type="gramStart"/>
      <w:r>
        <w:t>quality</w:t>
      </w:r>
      <w:proofErr w:type="gramEnd"/>
      <w:r>
        <w:t xml:space="preserve"> but these metrics do not evaluate clinical safety. The models need to complete three processes: medical validation, testing with different user groups, and establishment of safety measures. The field of medical knowledge needs ongoing database updates to keep pace with its current developments.</w:t>
      </w:r>
    </w:p>
    <w:p w14:paraId="7FEE08CE" w14:textId="77777777" w:rsidR="00640278" w:rsidRPr="00640278" w:rsidRDefault="00640278" w:rsidP="00640278">
      <w:pPr>
        <w:rPr>
          <w:color w:val="0070C0"/>
        </w:rPr>
      </w:pPr>
      <w:r w:rsidRPr="00640278">
        <w:rPr>
          <w:color w:val="0070C0"/>
        </w:rPr>
        <w:t>5.3 Limitations</w:t>
      </w:r>
    </w:p>
    <w:p w14:paraId="0DE1C805" w14:textId="69D4C22A" w:rsidR="00640278" w:rsidRDefault="00640278" w:rsidP="00640278">
      <w:r>
        <w:t xml:space="preserve">The study has several limitations because it uses a small training set which contains 2000 samples and has three evaluation limitations. The study evaluated the system using only one dataset which is known as Medical Flashcards. The automated metrics used in the study fail to assess all elements that contribute to clinical quality. The study limits its hyperparameter testing options because it only permits testing of a specific range. The research emphasizes answering questions instead of exploring various </w:t>
      </w:r>
      <w:r>
        <w:lastRenderedPageBreak/>
        <w:t>clinical processes. The use of larger datasets will change which methods work best. Human experts need to evaluate clinical appropriateness through direct assessment.</w:t>
      </w:r>
    </w:p>
    <w:p w14:paraId="54FED051" w14:textId="77777777" w:rsidR="00640278" w:rsidRDefault="00640278" w:rsidP="00640278">
      <w:pPr>
        <w:pStyle w:val="Heading1"/>
      </w:pPr>
      <w:r>
        <w:t>6. Conclusion</w:t>
      </w:r>
    </w:p>
    <w:p w14:paraId="6EB36B49" w14:textId="0AC34D6E" w:rsidR="00640278" w:rsidRDefault="00640278" w:rsidP="00640278">
      <w:r>
        <w:t xml:space="preserve">The research shows that parameter-efficient fine-tuning method enables small language models to adapt to medical fields through its low computational requirements. The comparison between </w:t>
      </w:r>
      <w:proofErr w:type="spellStart"/>
      <w:r>
        <w:t>LoRA</w:t>
      </w:r>
      <w:proofErr w:type="spellEnd"/>
      <w:r>
        <w:t xml:space="preserve"> and Prompt Tuning methods for Phi-3.5-mini showed that both techniques brought better results than the original system. </w:t>
      </w:r>
      <w:r>
        <w:t>However,</w:t>
      </w:r>
      <w:r>
        <w:t xml:space="preserve"> </w:t>
      </w:r>
      <w:proofErr w:type="spellStart"/>
      <w:r>
        <w:t>LoRA</w:t>
      </w:r>
      <w:proofErr w:type="spellEnd"/>
      <w:r>
        <w:t xml:space="preserve"> achieved better results through its 45% ROUGE-L improvement 38% </w:t>
      </w:r>
      <w:proofErr w:type="spellStart"/>
      <w:r>
        <w:t>BERTScore</w:t>
      </w:r>
      <w:proofErr w:type="spellEnd"/>
      <w:r>
        <w:t xml:space="preserve"> improvement and 62% perplexity reduction.</w:t>
      </w:r>
    </w:p>
    <w:p w14:paraId="61914EF5" w14:textId="77777777" w:rsidR="00640278" w:rsidRDefault="00640278" w:rsidP="00640278"/>
    <w:p w14:paraId="7427D03E" w14:textId="77777777" w:rsidR="00640278" w:rsidRDefault="00640278" w:rsidP="00640278">
      <w:r>
        <w:t xml:space="preserve">The research results show that </w:t>
      </w:r>
      <w:proofErr w:type="spellStart"/>
      <w:r>
        <w:t>LoRA</w:t>
      </w:r>
      <w:proofErr w:type="spellEnd"/>
      <w:r>
        <w:t xml:space="preserve"> achieves its best performance because it needs to train only 0.17% of its parameters. The research results show that Prompt Tuning achieves competitive results with extreme efficiency through its use of only 0.017% of parameters. The research shows that both methods complete their training process within 3 hours on standard consumer equipment. The research shows that clinical accuracy improved through qualitative examination of results. The research shows that both methods maintain safety because they do not generate dangerous hallucinations.</w:t>
      </w:r>
    </w:p>
    <w:p w14:paraId="366CDCF9" w14:textId="77777777" w:rsidR="00640278" w:rsidRDefault="00640278" w:rsidP="00640278"/>
    <w:p w14:paraId="09661F71" w14:textId="77777777" w:rsidR="00640278" w:rsidRDefault="00640278" w:rsidP="00640278">
      <w:r>
        <w:t>The results create vital advantages for making medical artificial intelligence accessible to wider populations. The system enables organizations to deliver solutions in areas with limited resources while developing medical expertise and maintaining operations at low costs. The system enables organizations to operate multiple specialized models without needing extensive material resources.</w:t>
      </w:r>
    </w:p>
    <w:p w14:paraId="2DD0E381" w14:textId="77777777" w:rsidR="00640278" w:rsidRDefault="00640278" w:rsidP="00640278"/>
    <w:p w14:paraId="41B4A135" w14:textId="77777777" w:rsidR="00640278" w:rsidRDefault="00640278" w:rsidP="00640278">
      <w:r>
        <w:t xml:space="preserve">The researchers should investigate these five areas through future studies: (1) scaling studies across dataset sizes (2) diverse medical tasks beyond QA (3) retrieval-augmented generation integration (4) rigorous clinical validation (5) hybrid approaches combining </w:t>
      </w:r>
      <w:proofErr w:type="spellStart"/>
      <w:r>
        <w:t>LoRA's</w:t>
      </w:r>
      <w:proofErr w:type="spellEnd"/>
      <w:r>
        <w:t xml:space="preserve"> performance with Prompt Tuning's efficiency. The advanced PEFT variants </w:t>
      </w:r>
      <w:proofErr w:type="spellStart"/>
      <w:r>
        <w:t>LoRA</w:t>
      </w:r>
      <w:proofErr w:type="spellEnd"/>
      <w:r>
        <w:t xml:space="preserve"> and SK-Tuning provide better performance for users who want to adapt their system.</w:t>
      </w:r>
    </w:p>
    <w:p w14:paraId="499943D2" w14:textId="77777777" w:rsidR="00640278" w:rsidRDefault="00640278" w:rsidP="00640278"/>
    <w:p w14:paraId="7052F73C" w14:textId="17CBB9C4" w:rsidR="00640278" w:rsidRDefault="00640278" w:rsidP="00640278">
      <w:r>
        <w:t xml:space="preserve">The use of PEFT-tuned small language models enables medical artificial intelligence access to extend into areas where large models cannot be used. The medical industry needs methods which will bridge the gap between advanced medical artificial </w:t>
      </w:r>
      <w:r>
        <w:lastRenderedPageBreak/>
        <w:t xml:space="preserve">intelligence services and healthcare workers who need these services </w:t>
      </w:r>
      <w:proofErr w:type="gramStart"/>
      <w:r>
        <w:t>in order to</w:t>
      </w:r>
      <w:proofErr w:type="gramEnd"/>
      <w:r>
        <w:t xml:space="preserve"> enhance healthcare delivery across the world.</w:t>
      </w:r>
    </w:p>
    <w:p w14:paraId="442ED616" w14:textId="77777777" w:rsidR="00640278" w:rsidRDefault="00640278" w:rsidP="00640278">
      <w:pPr>
        <w:pStyle w:val="Heading1"/>
      </w:pPr>
      <w:r>
        <w:t>References</w:t>
      </w:r>
    </w:p>
    <w:p w14:paraId="53D7EFF8" w14:textId="77777777" w:rsidR="00640278" w:rsidRDefault="00640278" w:rsidP="00640278">
      <w:pPr>
        <w:ind w:left="720" w:hanging="720"/>
        <w:jc w:val="both"/>
      </w:pPr>
      <w:proofErr w:type="spellStart"/>
      <w:r>
        <w:rPr>
          <w:rFonts w:ascii="Times New Roman" w:hAnsi="Times New Roman"/>
          <w:sz w:val="22"/>
        </w:rPr>
        <w:t>Abdin</w:t>
      </w:r>
      <w:proofErr w:type="spellEnd"/>
      <w:r>
        <w:rPr>
          <w:rFonts w:ascii="Times New Roman" w:hAnsi="Times New Roman"/>
          <w:sz w:val="22"/>
        </w:rPr>
        <w:t xml:space="preserve">, M., Jacobs, S. A., Awan, A. A., </w:t>
      </w:r>
      <w:proofErr w:type="spellStart"/>
      <w:r>
        <w:rPr>
          <w:rFonts w:ascii="Times New Roman" w:hAnsi="Times New Roman"/>
          <w:sz w:val="22"/>
        </w:rPr>
        <w:t>Aneja</w:t>
      </w:r>
      <w:proofErr w:type="spellEnd"/>
      <w:r>
        <w:rPr>
          <w:rFonts w:ascii="Times New Roman" w:hAnsi="Times New Roman"/>
          <w:sz w:val="22"/>
        </w:rPr>
        <w:t xml:space="preserve">, J., </w:t>
      </w:r>
      <w:proofErr w:type="spellStart"/>
      <w:r>
        <w:rPr>
          <w:rFonts w:ascii="Times New Roman" w:hAnsi="Times New Roman"/>
          <w:sz w:val="22"/>
        </w:rPr>
        <w:t>Awadalla</w:t>
      </w:r>
      <w:proofErr w:type="spellEnd"/>
      <w:r>
        <w:rPr>
          <w:rFonts w:ascii="Times New Roman" w:hAnsi="Times New Roman"/>
          <w:sz w:val="22"/>
        </w:rPr>
        <w:t xml:space="preserve">, A., </w:t>
      </w:r>
      <w:proofErr w:type="spellStart"/>
      <w:r>
        <w:rPr>
          <w:rFonts w:ascii="Times New Roman" w:hAnsi="Times New Roman"/>
          <w:sz w:val="22"/>
        </w:rPr>
        <w:t>Awadallah</w:t>
      </w:r>
      <w:proofErr w:type="spellEnd"/>
      <w:r>
        <w:rPr>
          <w:rFonts w:ascii="Times New Roman" w:hAnsi="Times New Roman"/>
          <w:sz w:val="22"/>
        </w:rPr>
        <w:t xml:space="preserve">, A. H., Bach, N., </w:t>
      </w:r>
      <w:proofErr w:type="spellStart"/>
      <w:r>
        <w:rPr>
          <w:rFonts w:ascii="Times New Roman" w:hAnsi="Times New Roman"/>
          <w:sz w:val="22"/>
        </w:rPr>
        <w:t>Bahree</w:t>
      </w:r>
      <w:proofErr w:type="spellEnd"/>
      <w:r>
        <w:rPr>
          <w:rFonts w:ascii="Times New Roman" w:hAnsi="Times New Roman"/>
          <w:sz w:val="22"/>
        </w:rPr>
        <w:t xml:space="preserve">, A., Bakhtiari, A., </w:t>
      </w:r>
      <w:proofErr w:type="spellStart"/>
      <w:r>
        <w:rPr>
          <w:rFonts w:ascii="Times New Roman" w:hAnsi="Times New Roman"/>
          <w:sz w:val="22"/>
        </w:rPr>
        <w:t>Behl</w:t>
      </w:r>
      <w:proofErr w:type="spellEnd"/>
      <w:r>
        <w:rPr>
          <w:rFonts w:ascii="Times New Roman" w:hAnsi="Times New Roman"/>
          <w:sz w:val="22"/>
        </w:rPr>
        <w:t xml:space="preserve">, H., </w:t>
      </w:r>
      <w:proofErr w:type="spellStart"/>
      <w:r>
        <w:rPr>
          <w:rFonts w:ascii="Times New Roman" w:hAnsi="Times New Roman"/>
          <w:sz w:val="22"/>
        </w:rPr>
        <w:t>Benhaim</w:t>
      </w:r>
      <w:proofErr w:type="spellEnd"/>
      <w:r>
        <w:rPr>
          <w:rFonts w:ascii="Times New Roman" w:hAnsi="Times New Roman"/>
          <w:sz w:val="22"/>
        </w:rPr>
        <w:t xml:space="preserve">, A., </w:t>
      </w:r>
      <w:proofErr w:type="spellStart"/>
      <w:r>
        <w:rPr>
          <w:rFonts w:ascii="Times New Roman" w:hAnsi="Times New Roman"/>
          <w:sz w:val="22"/>
        </w:rPr>
        <w:t>Bilenko</w:t>
      </w:r>
      <w:proofErr w:type="spellEnd"/>
      <w:r>
        <w:rPr>
          <w:rFonts w:ascii="Times New Roman" w:hAnsi="Times New Roman"/>
          <w:sz w:val="22"/>
        </w:rPr>
        <w:t xml:space="preserve">, M., </w:t>
      </w:r>
      <w:proofErr w:type="spellStart"/>
      <w:r>
        <w:rPr>
          <w:rFonts w:ascii="Times New Roman" w:hAnsi="Times New Roman"/>
          <w:sz w:val="22"/>
        </w:rPr>
        <w:t>Bjorck</w:t>
      </w:r>
      <w:proofErr w:type="spellEnd"/>
      <w:r>
        <w:rPr>
          <w:rFonts w:ascii="Times New Roman" w:hAnsi="Times New Roman"/>
          <w:sz w:val="22"/>
        </w:rPr>
        <w:t xml:space="preserve">, J., </w:t>
      </w:r>
      <w:proofErr w:type="spellStart"/>
      <w:r>
        <w:rPr>
          <w:rFonts w:ascii="Times New Roman" w:hAnsi="Times New Roman"/>
          <w:sz w:val="22"/>
        </w:rPr>
        <w:t>Bubeck</w:t>
      </w:r>
      <w:proofErr w:type="spellEnd"/>
      <w:r>
        <w:rPr>
          <w:rFonts w:ascii="Times New Roman" w:hAnsi="Times New Roman"/>
          <w:sz w:val="22"/>
        </w:rPr>
        <w:t xml:space="preserve">, S., Cai, Q., Cai, M., Mendes, C. C. T., Chen, W., Chaudhary, V., ... &amp; Zhou, X. (2024). Phi-3 technical report: A highly capable language model locally on your phone. </w:t>
      </w:r>
      <w:proofErr w:type="spellStart"/>
      <w:r>
        <w:rPr>
          <w:rFonts w:ascii="Times New Roman" w:hAnsi="Times New Roman"/>
          <w:sz w:val="22"/>
        </w:rPr>
        <w:t>arXiv</w:t>
      </w:r>
      <w:proofErr w:type="spellEnd"/>
      <w:r>
        <w:rPr>
          <w:rFonts w:ascii="Times New Roman" w:hAnsi="Times New Roman"/>
          <w:sz w:val="22"/>
        </w:rPr>
        <w:t xml:space="preserve"> preprint arXiv:2404.14219. https://arxiv.org/abs/2404.14219</w:t>
      </w:r>
    </w:p>
    <w:p w14:paraId="1E1DDF1A" w14:textId="77777777" w:rsidR="00640278" w:rsidRDefault="00640278" w:rsidP="00640278">
      <w:pPr>
        <w:ind w:left="720" w:hanging="720"/>
        <w:jc w:val="both"/>
      </w:pPr>
      <w:r>
        <w:rPr>
          <w:rFonts w:ascii="Times New Roman" w:hAnsi="Times New Roman"/>
          <w:sz w:val="22"/>
        </w:rPr>
        <w:t>Ding, N., Qin, Y., Yang, G., Wei, F., Yang, Z., Su, Y., Hu, S., Chen, Y., Chan, C., Chen, W., Yi, J., Zhao, W., Wang, X., Liu, Z., Zheng, H., Chen, J., Liu, Y., Tang, J., Li, J., &amp; Sun, M. (2024). Parameter-efficient fine-tuning of large language models using semantic knowledge tuning. Scientific Reports, 14, Article 23875. https://doi.org/10.1038/s41598-024-75599-4</w:t>
      </w:r>
    </w:p>
    <w:p w14:paraId="7B04B265" w14:textId="77777777" w:rsidR="00640278" w:rsidRDefault="00640278" w:rsidP="00640278">
      <w:pPr>
        <w:ind w:left="720" w:hanging="720"/>
        <w:jc w:val="both"/>
      </w:pPr>
      <w:r>
        <w:rPr>
          <w:rFonts w:ascii="Times New Roman" w:hAnsi="Times New Roman"/>
          <w:sz w:val="22"/>
        </w:rPr>
        <w:t xml:space="preserve">Duong, B. T., &amp; Le, T. H. (2024). </w:t>
      </w:r>
      <w:proofErr w:type="spellStart"/>
      <w:r>
        <w:rPr>
          <w:rFonts w:ascii="Times New Roman" w:hAnsi="Times New Roman"/>
          <w:sz w:val="22"/>
        </w:rPr>
        <w:t>MedQAS</w:t>
      </w:r>
      <w:proofErr w:type="spellEnd"/>
      <w:r>
        <w:rPr>
          <w:rFonts w:ascii="Times New Roman" w:hAnsi="Times New Roman"/>
          <w:sz w:val="22"/>
        </w:rPr>
        <w:t xml:space="preserve">: A medical question answering system based on finetuning large language models. In T. K. Dang, J. </w:t>
      </w:r>
      <w:proofErr w:type="spellStart"/>
      <w:r>
        <w:rPr>
          <w:rFonts w:ascii="Times New Roman" w:hAnsi="Times New Roman"/>
          <w:sz w:val="22"/>
        </w:rPr>
        <w:t>Küng</w:t>
      </w:r>
      <w:proofErr w:type="spellEnd"/>
      <w:r>
        <w:rPr>
          <w:rFonts w:ascii="Times New Roman" w:hAnsi="Times New Roman"/>
          <w:sz w:val="22"/>
        </w:rPr>
        <w:t>, &amp; T. M. Chung (Eds.), Future Data and Security Engineering. Big Data, Security and Privacy, Smart City and Industry 4.0 Applications (pp. 291-305). Springer. https://doi.org/10.1007/978-981-96-0434-0_21</w:t>
      </w:r>
    </w:p>
    <w:p w14:paraId="7E3CD79B" w14:textId="77777777" w:rsidR="00640278" w:rsidRDefault="00640278" w:rsidP="00640278">
      <w:pPr>
        <w:ind w:left="720" w:hanging="720"/>
        <w:jc w:val="both"/>
      </w:pPr>
      <w:r>
        <w:rPr>
          <w:rFonts w:ascii="Times New Roman" w:hAnsi="Times New Roman"/>
          <w:sz w:val="22"/>
        </w:rPr>
        <w:t xml:space="preserve">Forde, J. Z., Zhang, R., </w:t>
      </w:r>
      <w:proofErr w:type="spellStart"/>
      <w:r>
        <w:rPr>
          <w:rFonts w:ascii="Times New Roman" w:hAnsi="Times New Roman"/>
          <w:sz w:val="22"/>
        </w:rPr>
        <w:t>Sutawika</w:t>
      </w:r>
      <w:proofErr w:type="spellEnd"/>
      <w:r>
        <w:rPr>
          <w:rFonts w:ascii="Times New Roman" w:hAnsi="Times New Roman"/>
          <w:sz w:val="22"/>
        </w:rPr>
        <w:t xml:space="preserve">, L., Aji, A. F., </w:t>
      </w:r>
      <w:proofErr w:type="spellStart"/>
      <w:r>
        <w:rPr>
          <w:rFonts w:ascii="Times New Roman" w:hAnsi="Times New Roman"/>
          <w:sz w:val="22"/>
        </w:rPr>
        <w:t>Cahyawijaya</w:t>
      </w:r>
      <w:proofErr w:type="spellEnd"/>
      <w:r>
        <w:rPr>
          <w:rFonts w:ascii="Times New Roman" w:hAnsi="Times New Roman"/>
          <w:sz w:val="22"/>
        </w:rPr>
        <w:t xml:space="preserve">, S., Winata, G. I., Wu, M., Eickhoff, C., </w:t>
      </w:r>
      <w:proofErr w:type="spellStart"/>
      <w:r>
        <w:rPr>
          <w:rFonts w:ascii="Times New Roman" w:hAnsi="Times New Roman"/>
          <w:sz w:val="22"/>
        </w:rPr>
        <w:t>Biderman</w:t>
      </w:r>
      <w:proofErr w:type="spellEnd"/>
      <w:r>
        <w:rPr>
          <w:rFonts w:ascii="Times New Roman" w:hAnsi="Times New Roman"/>
          <w:sz w:val="22"/>
        </w:rPr>
        <w:t>, S., &amp; Pavlick, E. (2024). Re-evaluating evaluation for multilingual summarization. In Proceedings of the 2024 Conference on Empirical Methods in Natural Language Processing (pp. 19415-19449). Association for Computational Linguistics.</w:t>
      </w:r>
    </w:p>
    <w:p w14:paraId="7F284C5E" w14:textId="77777777" w:rsidR="00640278" w:rsidRDefault="00640278" w:rsidP="00640278">
      <w:pPr>
        <w:ind w:left="720" w:hanging="720"/>
        <w:jc w:val="both"/>
      </w:pPr>
      <w:r>
        <w:rPr>
          <w:rFonts w:ascii="Times New Roman" w:hAnsi="Times New Roman"/>
          <w:sz w:val="22"/>
        </w:rPr>
        <w:t xml:space="preserve">Gao, Y., Xiong, Y., Gao, X., Jia, K., Pan, J., Bi, Y., Dai, Y., Sun, J., Wang, M., &amp; Wang, H. (2024). Retrieval-augmented generation for large language models: A survey. </w:t>
      </w:r>
      <w:proofErr w:type="spellStart"/>
      <w:r>
        <w:rPr>
          <w:rFonts w:ascii="Times New Roman" w:hAnsi="Times New Roman"/>
          <w:sz w:val="22"/>
        </w:rPr>
        <w:t>arXiv</w:t>
      </w:r>
      <w:proofErr w:type="spellEnd"/>
      <w:r>
        <w:rPr>
          <w:rFonts w:ascii="Times New Roman" w:hAnsi="Times New Roman"/>
          <w:sz w:val="22"/>
        </w:rPr>
        <w:t xml:space="preserve"> preprint arXiv:2312.10997.</w:t>
      </w:r>
    </w:p>
    <w:p w14:paraId="4806A41D" w14:textId="77777777" w:rsidR="00640278" w:rsidRDefault="00640278" w:rsidP="00640278">
      <w:pPr>
        <w:ind w:left="720" w:hanging="720"/>
        <w:jc w:val="both"/>
      </w:pPr>
      <w:r>
        <w:rPr>
          <w:rFonts w:ascii="Times New Roman" w:hAnsi="Times New Roman"/>
          <w:sz w:val="22"/>
        </w:rPr>
        <w:t xml:space="preserve">Han, T., Adams, L. C., </w:t>
      </w:r>
      <w:proofErr w:type="spellStart"/>
      <w:r>
        <w:rPr>
          <w:rFonts w:ascii="Times New Roman" w:hAnsi="Times New Roman"/>
          <w:sz w:val="22"/>
        </w:rPr>
        <w:t>Papaioannou</w:t>
      </w:r>
      <w:proofErr w:type="spellEnd"/>
      <w:r>
        <w:rPr>
          <w:rFonts w:ascii="Times New Roman" w:hAnsi="Times New Roman"/>
          <w:sz w:val="22"/>
        </w:rPr>
        <w:t xml:space="preserve">, J. M., </w:t>
      </w:r>
      <w:proofErr w:type="spellStart"/>
      <w:r>
        <w:rPr>
          <w:rFonts w:ascii="Times New Roman" w:hAnsi="Times New Roman"/>
          <w:sz w:val="22"/>
        </w:rPr>
        <w:t>Grundmann</w:t>
      </w:r>
      <w:proofErr w:type="spellEnd"/>
      <w:r>
        <w:rPr>
          <w:rFonts w:ascii="Times New Roman" w:hAnsi="Times New Roman"/>
          <w:sz w:val="22"/>
        </w:rPr>
        <w:t xml:space="preserve">, P., </w:t>
      </w:r>
      <w:proofErr w:type="spellStart"/>
      <w:r>
        <w:rPr>
          <w:rFonts w:ascii="Times New Roman" w:hAnsi="Times New Roman"/>
          <w:sz w:val="22"/>
        </w:rPr>
        <w:t>Oberhauser</w:t>
      </w:r>
      <w:proofErr w:type="spellEnd"/>
      <w:r>
        <w:rPr>
          <w:rFonts w:ascii="Times New Roman" w:hAnsi="Times New Roman"/>
          <w:sz w:val="22"/>
        </w:rPr>
        <w:t xml:space="preserve">, T., </w:t>
      </w:r>
      <w:proofErr w:type="spellStart"/>
      <w:r>
        <w:rPr>
          <w:rFonts w:ascii="Times New Roman" w:hAnsi="Times New Roman"/>
          <w:sz w:val="22"/>
        </w:rPr>
        <w:t>Löser</w:t>
      </w:r>
      <w:proofErr w:type="spellEnd"/>
      <w:r>
        <w:rPr>
          <w:rFonts w:ascii="Times New Roman" w:hAnsi="Times New Roman"/>
          <w:sz w:val="22"/>
        </w:rPr>
        <w:t xml:space="preserve">, A., </w:t>
      </w:r>
      <w:proofErr w:type="spellStart"/>
      <w:r>
        <w:rPr>
          <w:rFonts w:ascii="Times New Roman" w:hAnsi="Times New Roman"/>
          <w:sz w:val="22"/>
        </w:rPr>
        <w:t>Truhn</w:t>
      </w:r>
      <w:proofErr w:type="spellEnd"/>
      <w:r>
        <w:rPr>
          <w:rFonts w:ascii="Times New Roman" w:hAnsi="Times New Roman"/>
          <w:sz w:val="22"/>
        </w:rPr>
        <w:t xml:space="preserve">, D., &amp; </w:t>
      </w:r>
      <w:proofErr w:type="spellStart"/>
      <w:r>
        <w:rPr>
          <w:rFonts w:ascii="Times New Roman" w:hAnsi="Times New Roman"/>
          <w:sz w:val="22"/>
        </w:rPr>
        <w:t>Bressem</w:t>
      </w:r>
      <w:proofErr w:type="spellEnd"/>
      <w:r>
        <w:rPr>
          <w:rFonts w:ascii="Times New Roman" w:hAnsi="Times New Roman"/>
          <w:sz w:val="22"/>
        </w:rPr>
        <w:t xml:space="preserve">, K. K. (2023). </w:t>
      </w:r>
      <w:proofErr w:type="spellStart"/>
      <w:r>
        <w:rPr>
          <w:rFonts w:ascii="Times New Roman" w:hAnsi="Times New Roman"/>
          <w:sz w:val="22"/>
        </w:rPr>
        <w:t>MedAlpaca</w:t>
      </w:r>
      <w:proofErr w:type="spellEnd"/>
      <w:r>
        <w:rPr>
          <w:rFonts w:ascii="Times New Roman" w:hAnsi="Times New Roman"/>
          <w:sz w:val="22"/>
        </w:rPr>
        <w:t xml:space="preserve">—An open-source collection of medical conversational AI models and training data. </w:t>
      </w:r>
      <w:proofErr w:type="spellStart"/>
      <w:r>
        <w:rPr>
          <w:rFonts w:ascii="Times New Roman" w:hAnsi="Times New Roman"/>
          <w:sz w:val="22"/>
        </w:rPr>
        <w:t>arXiv</w:t>
      </w:r>
      <w:proofErr w:type="spellEnd"/>
      <w:r>
        <w:rPr>
          <w:rFonts w:ascii="Times New Roman" w:hAnsi="Times New Roman"/>
          <w:sz w:val="22"/>
        </w:rPr>
        <w:t xml:space="preserve"> preprint arXiv:2304.08247.</w:t>
      </w:r>
    </w:p>
    <w:p w14:paraId="41D2D104" w14:textId="77777777" w:rsidR="00640278" w:rsidRDefault="00640278" w:rsidP="00640278">
      <w:pPr>
        <w:ind w:left="720" w:hanging="720"/>
        <w:jc w:val="both"/>
      </w:pPr>
      <w:proofErr w:type="spellStart"/>
      <w:r>
        <w:rPr>
          <w:rFonts w:ascii="Times New Roman" w:hAnsi="Times New Roman"/>
          <w:sz w:val="22"/>
        </w:rPr>
        <w:t>Hayou</w:t>
      </w:r>
      <w:proofErr w:type="spellEnd"/>
      <w:r>
        <w:rPr>
          <w:rFonts w:ascii="Times New Roman" w:hAnsi="Times New Roman"/>
          <w:sz w:val="22"/>
        </w:rPr>
        <w:t xml:space="preserve">, S., Ghosh, N., &amp; Yu, B. (2024). </w:t>
      </w:r>
      <w:proofErr w:type="spellStart"/>
      <w:r>
        <w:rPr>
          <w:rFonts w:ascii="Times New Roman" w:hAnsi="Times New Roman"/>
          <w:sz w:val="22"/>
        </w:rPr>
        <w:t>LoRA</w:t>
      </w:r>
      <w:proofErr w:type="spellEnd"/>
      <w:r>
        <w:rPr>
          <w:rFonts w:ascii="Times New Roman" w:hAnsi="Times New Roman"/>
          <w:sz w:val="22"/>
        </w:rPr>
        <w:t>+: Efficient low rank adaptation of large models. In Proceedings of the 41st International Conference on Machine Learning (ICML 2024) (pp. 17682-17703). PMLR. https://arxiv.org/abs/2402.12354</w:t>
      </w:r>
    </w:p>
    <w:p w14:paraId="4FA9502F" w14:textId="77777777" w:rsidR="00640278" w:rsidRDefault="00640278" w:rsidP="00640278">
      <w:pPr>
        <w:ind w:left="720" w:hanging="720"/>
        <w:jc w:val="both"/>
      </w:pPr>
      <w:r>
        <w:rPr>
          <w:rFonts w:ascii="Times New Roman" w:hAnsi="Times New Roman"/>
          <w:sz w:val="22"/>
        </w:rPr>
        <w:t xml:space="preserve">Hu, E. J., Shen, Y., Wallis, P., Allen-Zhu, Z., Li, Y., Wang, S., Wang, L., &amp; Chen, W. (2021). </w:t>
      </w:r>
      <w:proofErr w:type="spellStart"/>
      <w:r>
        <w:rPr>
          <w:rFonts w:ascii="Times New Roman" w:hAnsi="Times New Roman"/>
          <w:sz w:val="22"/>
        </w:rPr>
        <w:t>LoRA</w:t>
      </w:r>
      <w:proofErr w:type="spellEnd"/>
      <w:r>
        <w:rPr>
          <w:rFonts w:ascii="Times New Roman" w:hAnsi="Times New Roman"/>
          <w:sz w:val="22"/>
        </w:rPr>
        <w:t xml:space="preserve">: Low-rank adaptation of large language models. </w:t>
      </w:r>
      <w:proofErr w:type="spellStart"/>
      <w:r>
        <w:rPr>
          <w:rFonts w:ascii="Times New Roman" w:hAnsi="Times New Roman"/>
          <w:sz w:val="22"/>
        </w:rPr>
        <w:t>arXiv</w:t>
      </w:r>
      <w:proofErr w:type="spellEnd"/>
      <w:r>
        <w:rPr>
          <w:rFonts w:ascii="Times New Roman" w:hAnsi="Times New Roman"/>
          <w:sz w:val="22"/>
        </w:rPr>
        <w:t xml:space="preserve"> preprint arXiv:2106.09685. https://arxiv.org/abs/2106.09685</w:t>
      </w:r>
    </w:p>
    <w:p w14:paraId="2D75EAB9" w14:textId="77777777" w:rsidR="00640278" w:rsidRDefault="00640278" w:rsidP="00640278">
      <w:pPr>
        <w:ind w:left="720" w:hanging="720"/>
        <w:jc w:val="both"/>
      </w:pPr>
      <w:r>
        <w:rPr>
          <w:rFonts w:ascii="Times New Roman" w:hAnsi="Times New Roman"/>
          <w:sz w:val="22"/>
        </w:rPr>
        <w:t>Lester, B., Al-</w:t>
      </w:r>
      <w:proofErr w:type="spellStart"/>
      <w:r>
        <w:rPr>
          <w:rFonts w:ascii="Times New Roman" w:hAnsi="Times New Roman"/>
          <w:sz w:val="22"/>
        </w:rPr>
        <w:t>Rfou</w:t>
      </w:r>
      <w:proofErr w:type="spellEnd"/>
      <w:r>
        <w:rPr>
          <w:rFonts w:ascii="Times New Roman" w:hAnsi="Times New Roman"/>
          <w:sz w:val="22"/>
        </w:rPr>
        <w:t>, R., &amp; Constant, N. (2021). The power of scale for parameter-efficient prompt tuning. In Proceedings of the 2021 Conference on Empirical Methods in Natural Language Processing (pp. 3045-3059). Association for Computational Linguistics. https://aclanthology.org/2021.emnlp-main.243/</w:t>
      </w:r>
    </w:p>
    <w:p w14:paraId="1FBA9845" w14:textId="68125FC6" w:rsidR="00640278" w:rsidRPr="00640278" w:rsidRDefault="00640278" w:rsidP="00640278">
      <w:pPr>
        <w:ind w:left="1440" w:hanging="1440"/>
        <w:jc w:val="both"/>
        <w:rPr>
          <w:rFonts w:ascii="Times New Roman" w:hAnsi="Times New Roman"/>
          <w:sz w:val="22"/>
        </w:rPr>
      </w:pPr>
      <w:r>
        <w:rPr>
          <w:rFonts w:ascii="Times New Roman" w:hAnsi="Times New Roman"/>
          <w:sz w:val="22"/>
        </w:rPr>
        <w:t xml:space="preserve">Li, Y., Li, Z., Zhang, K., Dan, R., Jiang, S., &amp; Zhang, Y. (2023). </w:t>
      </w:r>
      <w:proofErr w:type="spellStart"/>
      <w:r>
        <w:rPr>
          <w:rFonts w:ascii="Times New Roman" w:hAnsi="Times New Roman"/>
          <w:sz w:val="22"/>
        </w:rPr>
        <w:t>ChatDoctor</w:t>
      </w:r>
      <w:proofErr w:type="spellEnd"/>
      <w:r>
        <w:rPr>
          <w:rFonts w:ascii="Times New Roman" w:hAnsi="Times New Roman"/>
          <w:sz w:val="22"/>
        </w:rPr>
        <w:t>: A medical chat model fine-tuned on a large language model meta-AI (</w:t>
      </w:r>
      <w:proofErr w:type="spellStart"/>
      <w:r>
        <w:rPr>
          <w:rFonts w:ascii="Times New Roman" w:hAnsi="Times New Roman"/>
          <w:sz w:val="22"/>
        </w:rPr>
        <w:t>LLaMA</w:t>
      </w:r>
      <w:proofErr w:type="spellEnd"/>
      <w:r>
        <w:rPr>
          <w:rFonts w:ascii="Times New Roman" w:hAnsi="Times New Roman"/>
          <w:sz w:val="22"/>
        </w:rPr>
        <w:t xml:space="preserve">) using medical domain knowledge. </w:t>
      </w:r>
      <w:proofErr w:type="spellStart"/>
      <w:r>
        <w:rPr>
          <w:rFonts w:ascii="Times New Roman" w:hAnsi="Times New Roman"/>
          <w:sz w:val="22"/>
        </w:rPr>
        <w:t>Cureus</w:t>
      </w:r>
      <w:proofErr w:type="spellEnd"/>
      <w:r>
        <w:rPr>
          <w:rFonts w:ascii="Times New Roman" w:hAnsi="Times New Roman"/>
          <w:sz w:val="22"/>
        </w:rPr>
        <w:t>, 15(6), Article e40985. https://doi.org/10.7759/cureus.40985</w:t>
      </w:r>
    </w:p>
    <w:p w14:paraId="54705978" w14:textId="77777777" w:rsidR="00640278" w:rsidRDefault="00640278" w:rsidP="00640278">
      <w:pPr>
        <w:ind w:left="720" w:hanging="720"/>
        <w:jc w:val="both"/>
      </w:pPr>
      <w:proofErr w:type="spellStart"/>
      <w:r>
        <w:rPr>
          <w:rFonts w:ascii="Times New Roman" w:hAnsi="Times New Roman"/>
          <w:sz w:val="22"/>
        </w:rPr>
        <w:lastRenderedPageBreak/>
        <w:t>Liévin</w:t>
      </w:r>
      <w:proofErr w:type="spellEnd"/>
      <w:r>
        <w:rPr>
          <w:rFonts w:ascii="Times New Roman" w:hAnsi="Times New Roman"/>
          <w:sz w:val="22"/>
        </w:rPr>
        <w:t xml:space="preserve">, V., </w:t>
      </w:r>
      <w:proofErr w:type="spellStart"/>
      <w:r>
        <w:rPr>
          <w:rFonts w:ascii="Times New Roman" w:hAnsi="Times New Roman"/>
          <w:sz w:val="22"/>
        </w:rPr>
        <w:t>Hother</w:t>
      </w:r>
      <w:proofErr w:type="spellEnd"/>
      <w:r>
        <w:rPr>
          <w:rFonts w:ascii="Times New Roman" w:hAnsi="Times New Roman"/>
          <w:sz w:val="22"/>
        </w:rPr>
        <w:t xml:space="preserve">, C. E., &amp; </w:t>
      </w:r>
      <w:proofErr w:type="spellStart"/>
      <w:r>
        <w:rPr>
          <w:rFonts w:ascii="Times New Roman" w:hAnsi="Times New Roman"/>
          <w:sz w:val="22"/>
        </w:rPr>
        <w:t>Winther</w:t>
      </w:r>
      <w:proofErr w:type="spellEnd"/>
      <w:r>
        <w:rPr>
          <w:rFonts w:ascii="Times New Roman" w:hAnsi="Times New Roman"/>
          <w:sz w:val="22"/>
        </w:rPr>
        <w:t>, O. (2024). Can large language models reason about medical questions? Patterns, 5(3), Article 100943. https://doi.org/10.1016/j.patter.2024.100943</w:t>
      </w:r>
    </w:p>
    <w:p w14:paraId="75253897" w14:textId="77777777" w:rsidR="00640278" w:rsidRDefault="00640278" w:rsidP="00640278">
      <w:pPr>
        <w:ind w:left="720" w:hanging="720"/>
        <w:jc w:val="both"/>
      </w:pPr>
      <w:r>
        <w:rPr>
          <w:rFonts w:ascii="Times New Roman" w:hAnsi="Times New Roman"/>
          <w:sz w:val="22"/>
        </w:rPr>
        <w:t xml:space="preserve">Liu, H., Tam, D., </w:t>
      </w:r>
      <w:proofErr w:type="spellStart"/>
      <w:r>
        <w:rPr>
          <w:rFonts w:ascii="Times New Roman" w:hAnsi="Times New Roman"/>
          <w:sz w:val="22"/>
        </w:rPr>
        <w:t>Muqeeth</w:t>
      </w:r>
      <w:proofErr w:type="spellEnd"/>
      <w:r>
        <w:rPr>
          <w:rFonts w:ascii="Times New Roman" w:hAnsi="Times New Roman"/>
          <w:sz w:val="22"/>
        </w:rPr>
        <w:t xml:space="preserve">, M., </w:t>
      </w:r>
      <w:proofErr w:type="spellStart"/>
      <w:r>
        <w:rPr>
          <w:rFonts w:ascii="Times New Roman" w:hAnsi="Times New Roman"/>
          <w:sz w:val="22"/>
        </w:rPr>
        <w:t>Mohta</w:t>
      </w:r>
      <w:proofErr w:type="spellEnd"/>
      <w:r>
        <w:rPr>
          <w:rFonts w:ascii="Times New Roman" w:hAnsi="Times New Roman"/>
          <w:sz w:val="22"/>
        </w:rPr>
        <w:t xml:space="preserve">, J., Huang, T., Bansal, M., &amp; </w:t>
      </w:r>
      <w:proofErr w:type="spellStart"/>
      <w:r>
        <w:rPr>
          <w:rFonts w:ascii="Times New Roman" w:hAnsi="Times New Roman"/>
          <w:sz w:val="22"/>
        </w:rPr>
        <w:t>Raffel</w:t>
      </w:r>
      <w:proofErr w:type="spellEnd"/>
      <w:r>
        <w:rPr>
          <w:rFonts w:ascii="Times New Roman" w:hAnsi="Times New Roman"/>
          <w:sz w:val="22"/>
        </w:rPr>
        <w:t>, C. (2022). Few-shot parameter-efficient fine-tuning is better and cheaper than in-context learning. Advances in Neural Information Processing Systems, 35, 1950-1965.</w:t>
      </w:r>
    </w:p>
    <w:p w14:paraId="2FF8FD8E" w14:textId="77777777" w:rsidR="00640278" w:rsidRDefault="00640278" w:rsidP="00640278">
      <w:pPr>
        <w:ind w:left="720" w:hanging="720"/>
        <w:jc w:val="both"/>
      </w:pPr>
      <w:proofErr w:type="spellStart"/>
      <w:r>
        <w:rPr>
          <w:rFonts w:ascii="Times New Roman" w:hAnsi="Times New Roman"/>
          <w:sz w:val="22"/>
        </w:rPr>
        <w:t>Maharjan</w:t>
      </w:r>
      <w:proofErr w:type="spellEnd"/>
      <w:r>
        <w:rPr>
          <w:rFonts w:ascii="Times New Roman" w:hAnsi="Times New Roman"/>
          <w:sz w:val="22"/>
        </w:rPr>
        <w:t xml:space="preserve">, J., </w:t>
      </w:r>
      <w:proofErr w:type="spellStart"/>
      <w:r>
        <w:rPr>
          <w:rFonts w:ascii="Times New Roman" w:hAnsi="Times New Roman"/>
          <w:sz w:val="22"/>
        </w:rPr>
        <w:t>Garikipati</w:t>
      </w:r>
      <w:proofErr w:type="spellEnd"/>
      <w:r>
        <w:rPr>
          <w:rFonts w:ascii="Times New Roman" w:hAnsi="Times New Roman"/>
          <w:sz w:val="22"/>
        </w:rPr>
        <w:t xml:space="preserve">, A., Singh, N. P., </w:t>
      </w:r>
      <w:proofErr w:type="spellStart"/>
      <w:r>
        <w:rPr>
          <w:rFonts w:ascii="Times New Roman" w:hAnsi="Times New Roman"/>
          <w:sz w:val="22"/>
        </w:rPr>
        <w:t>Dinenno</w:t>
      </w:r>
      <w:proofErr w:type="spellEnd"/>
      <w:r>
        <w:rPr>
          <w:rFonts w:ascii="Times New Roman" w:hAnsi="Times New Roman"/>
          <w:sz w:val="22"/>
        </w:rPr>
        <w:t xml:space="preserve">, F. A., Mao, Q., Das, R., &amp; Cipriano, P. W. (2024). </w:t>
      </w:r>
      <w:proofErr w:type="spellStart"/>
      <w:r>
        <w:rPr>
          <w:rFonts w:ascii="Times New Roman" w:hAnsi="Times New Roman"/>
          <w:sz w:val="22"/>
        </w:rPr>
        <w:t>OpenMedLM</w:t>
      </w:r>
      <w:proofErr w:type="spellEnd"/>
      <w:r>
        <w:rPr>
          <w:rFonts w:ascii="Times New Roman" w:hAnsi="Times New Roman"/>
          <w:sz w:val="22"/>
        </w:rPr>
        <w:t>: Prompt engineering can out-perform fine-tuning in medical question-answering with open-source large language models. Scientific Reports, 14, Article 14156. https://doi.org/10.1038/s41598-024-64827-6</w:t>
      </w:r>
    </w:p>
    <w:p w14:paraId="7E23FE6F" w14:textId="77777777" w:rsidR="00640278" w:rsidRDefault="00640278" w:rsidP="00640278">
      <w:pPr>
        <w:ind w:left="720" w:hanging="720"/>
        <w:jc w:val="both"/>
      </w:pPr>
      <w:r>
        <w:rPr>
          <w:rFonts w:ascii="Times New Roman" w:hAnsi="Times New Roman"/>
          <w:sz w:val="22"/>
        </w:rPr>
        <w:t xml:space="preserve">Singhal, K., Tu, T., </w:t>
      </w:r>
      <w:proofErr w:type="spellStart"/>
      <w:r>
        <w:rPr>
          <w:rFonts w:ascii="Times New Roman" w:hAnsi="Times New Roman"/>
          <w:sz w:val="22"/>
        </w:rPr>
        <w:t>Gottweis</w:t>
      </w:r>
      <w:proofErr w:type="spellEnd"/>
      <w:r>
        <w:rPr>
          <w:rFonts w:ascii="Times New Roman" w:hAnsi="Times New Roman"/>
          <w:sz w:val="22"/>
        </w:rPr>
        <w:t xml:space="preserve">, J., </w:t>
      </w:r>
      <w:proofErr w:type="spellStart"/>
      <w:r>
        <w:rPr>
          <w:rFonts w:ascii="Times New Roman" w:hAnsi="Times New Roman"/>
          <w:sz w:val="22"/>
        </w:rPr>
        <w:t>Sayres</w:t>
      </w:r>
      <w:proofErr w:type="spellEnd"/>
      <w:r>
        <w:rPr>
          <w:rFonts w:ascii="Times New Roman" w:hAnsi="Times New Roman"/>
          <w:sz w:val="22"/>
        </w:rPr>
        <w:t xml:space="preserve">, R., </w:t>
      </w:r>
      <w:proofErr w:type="spellStart"/>
      <w:r>
        <w:rPr>
          <w:rFonts w:ascii="Times New Roman" w:hAnsi="Times New Roman"/>
          <w:sz w:val="22"/>
        </w:rPr>
        <w:t>Wulczyn</w:t>
      </w:r>
      <w:proofErr w:type="spellEnd"/>
      <w:r>
        <w:rPr>
          <w:rFonts w:ascii="Times New Roman" w:hAnsi="Times New Roman"/>
          <w:sz w:val="22"/>
        </w:rPr>
        <w:t xml:space="preserve">, E., Hou, L., Clark, K., </w:t>
      </w:r>
      <w:proofErr w:type="spellStart"/>
      <w:r>
        <w:rPr>
          <w:rFonts w:ascii="Times New Roman" w:hAnsi="Times New Roman"/>
          <w:sz w:val="22"/>
        </w:rPr>
        <w:t>Pfohl</w:t>
      </w:r>
      <w:proofErr w:type="spellEnd"/>
      <w:r>
        <w:rPr>
          <w:rFonts w:ascii="Times New Roman" w:hAnsi="Times New Roman"/>
          <w:sz w:val="22"/>
        </w:rPr>
        <w:t xml:space="preserve">, S., Cole-Lewis, H., Neal, D., </w:t>
      </w:r>
      <w:proofErr w:type="spellStart"/>
      <w:r>
        <w:rPr>
          <w:rFonts w:ascii="Times New Roman" w:hAnsi="Times New Roman"/>
          <w:sz w:val="22"/>
        </w:rPr>
        <w:t>Schaekermann</w:t>
      </w:r>
      <w:proofErr w:type="spellEnd"/>
      <w:r>
        <w:rPr>
          <w:rFonts w:ascii="Times New Roman" w:hAnsi="Times New Roman"/>
          <w:sz w:val="22"/>
        </w:rPr>
        <w:t xml:space="preserve">, M., Wang, A., Amin, M., </w:t>
      </w:r>
      <w:proofErr w:type="spellStart"/>
      <w:r>
        <w:rPr>
          <w:rFonts w:ascii="Times New Roman" w:hAnsi="Times New Roman"/>
          <w:sz w:val="22"/>
        </w:rPr>
        <w:t>Lachgar</w:t>
      </w:r>
      <w:proofErr w:type="spellEnd"/>
      <w:r>
        <w:rPr>
          <w:rFonts w:ascii="Times New Roman" w:hAnsi="Times New Roman"/>
          <w:sz w:val="22"/>
        </w:rPr>
        <w:t xml:space="preserve">, S., Mansfield, P., Prakash, S., Green, B., </w:t>
      </w:r>
      <w:proofErr w:type="spellStart"/>
      <w:r>
        <w:rPr>
          <w:rFonts w:ascii="Times New Roman" w:hAnsi="Times New Roman"/>
          <w:sz w:val="22"/>
        </w:rPr>
        <w:t>Dominowska</w:t>
      </w:r>
      <w:proofErr w:type="spellEnd"/>
      <w:r>
        <w:rPr>
          <w:rFonts w:ascii="Times New Roman" w:hAnsi="Times New Roman"/>
          <w:sz w:val="22"/>
        </w:rPr>
        <w:t xml:space="preserve">, E., </w:t>
      </w:r>
      <w:proofErr w:type="spellStart"/>
      <w:r>
        <w:rPr>
          <w:rFonts w:ascii="Times New Roman" w:hAnsi="Times New Roman"/>
          <w:sz w:val="22"/>
        </w:rPr>
        <w:t>Arcas</w:t>
      </w:r>
      <w:proofErr w:type="spellEnd"/>
      <w:r>
        <w:rPr>
          <w:rFonts w:ascii="Times New Roman" w:hAnsi="Times New Roman"/>
          <w:sz w:val="22"/>
        </w:rPr>
        <w:t>, B. A., ... &amp; Natarajan, V. (2024). Toward expert-level medical question answering with large language models. Nature Medicine, 30, 1206-1213. https://doi.org/10.1038/s41591-024-03423-7</w:t>
      </w:r>
    </w:p>
    <w:p w14:paraId="45E4DDF6" w14:textId="77777777" w:rsidR="00640278" w:rsidRDefault="00640278" w:rsidP="00640278">
      <w:pPr>
        <w:ind w:left="720" w:hanging="720"/>
        <w:jc w:val="both"/>
      </w:pPr>
      <w:r>
        <w:rPr>
          <w:rFonts w:ascii="Times New Roman" w:hAnsi="Times New Roman"/>
          <w:sz w:val="22"/>
        </w:rPr>
        <w:t xml:space="preserve">Wang, B., Zhang, L., Wang, X., Liu, X., Cai, J., Zhang, Y., Li, H., Kang, Y., Lin, C., Lu, S., Zhou, A., Li, D., Sun, R., Zhuang, Y., Zhang, C., Fan, X., Jiang, W., Zhang, Z., Ou, W., ... &amp; Liu, X. (2024). A comprehensive review of parameter-efficient fine-tuning methods. </w:t>
      </w:r>
      <w:proofErr w:type="spellStart"/>
      <w:r>
        <w:rPr>
          <w:rFonts w:ascii="Times New Roman" w:hAnsi="Times New Roman"/>
          <w:sz w:val="22"/>
        </w:rPr>
        <w:t>arXiv</w:t>
      </w:r>
      <w:proofErr w:type="spellEnd"/>
      <w:r>
        <w:rPr>
          <w:rFonts w:ascii="Times New Roman" w:hAnsi="Times New Roman"/>
          <w:sz w:val="22"/>
        </w:rPr>
        <w:t xml:space="preserve"> preprint arXiv:2404.13506.</w:t>
      </w:r>
    </w:p>
    <w:p w14:paraId="782406F2" w14:textId="77777777" w:rsidR="00640278" w:rsidRDefault="00640278" w:rsidP="00640278">
      <w:pPr>
        <w:ind w:left="720" w:hanging="720"/>
        <w:jc w:val="both"/>
      </w:pPr>
      <w:r>
        <w:rPr>
          <w:rFonts w:ascii="Times New Roman" w:hAnsi="Times New Roman"/>
          <w:sz w:val="22"/>
        </w:rPr>
        <w:t xml:space="preserve">Zhang, T., Kishore, V., Wu, F., Weinberger, K. Q., &amp; </w:t>
      </w:r>
      <w:proofErr w:type="spellStart"/>
      <w:r>
        <w:rPr>
          <w:rFonts w:ascii="Times New Roman" w:hAnsi="Times New Roman"/>
          <w:sz w:val="22"/>
        </w:rPr>
        <w:t>Artzi</w:t>
      </w:r>
      <w:proofErr w:type="spellEnd"/>
      <w:r>
        <w:rPr>
          <w:rFonts w:ascii="Times New Roman" w:hAnsi="Times New Roman"/>
          <w:sz w:val="22"/>
        </w:rPr>
        <w:t xml:space="preserve">, Y. (2020). </w:t>
      </w:r>
      <w:proofErr w:type="spellStart"/>
      <w:r>
        <w:rPr>
          <w:rFonts w:ascii="Times New Roman" w:hAnsi="Times New Roman"/>
          <w:sz w:val="22"/>
        </w:rPr>
        <w:t>BERTScore</w:t>
      </w:r>
      <w:proofErr w:type="spellEnd"/>
      <w:r>
        <w:rPr>
          <w:rFonts w:ascii="Times New Roman" w:hAnsi="Times New Roman"/>
          <w:sz w:val="22"/>
        </w:rPr>
        <w:t>: Evaluating text generation with BERT. In International Conference on Learning Representations (ICLR 2020).</w:t>
      </w:r>
    </w:p>
    <w:p w14:paraId="192B774A" w14:textId="77777777" w:rsidR="00640278" w:rsidRDefault="00640278" w:rsidP="00640278">
      <w:pPr>
        <w:ind w:left="720" w:hanging="720"/>
        <w:jc w:val="both"/>
      </w:pPr>
      <w:r>
        <w:rPr>
          <w:rFonts w:ascii="Times New Roman" w:hAnsi="Times New Roman"/>
          <w:sz w:val="22"/>
        </w:rPr>
        <w:t xml:space="preserve">Zhang, Y., Li, Y., Cui, L., Cai, D., Liu, L., Fu, T., Huang, X., Zhao, E., Zhang, Y., Chen, Y., Wang, L., Luu, A. T., Bi, W., Shi, F., &amp; Shi, S. (2024). Siren's song in the AI ocean: A survey on hallucination in large language models. </w:t>
      </w:r>
      <w:proofErr w:type="spellStart"/>
      <w:r>
        <w:rPr>
          <w:rFonts w:ascii="Times New Roman" w:hAnsi="Times New Roman"/>
          <w:sz w:val="22"/>
        </w:rPr>
        <w:t>arXiv</w:t>
      </w:r>
      <w:proofErr w:type="spellEnd"/>
      <w:r>
        <w:rPr>
          <w:rFonts w:ascii="Times New Roman" w:hAnsi="Times New Roman"/>
          <w:sz w:val="22"/>
        </w:rPr>
        <w:t xml:space="preserve"> preprint arXiv:2309.01219.</w:t>
      </w:r>
    </w:p>
    <w:p w14:paraId="70428FAA" w14:textId="77777777" w:rsidR="00640278" w:rsidRDefault="00640278" w:rsidP="00640278"/>
    <w:sectPr w:rsidR="00640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57"/>
    <w:rsid w:val="00640278"/>
    <w:rsid w:val="00677A57"/>
    <w:rsid w:val="007A371F"/>
    <w:rsid w:val="00E126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F05C"/>
  <w15:chartTrackingRefBased/>
  <w15:docId w15:val="{CA4446FC-9096-CC41-A1B4-E3E458B9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A57"/>
  </w:style>
  <w:style w:type="paragraph" w:styleId="Heading1">
    <w:name w:val="heading 1"/>
    <w:basedOn w:val="Normal"/>
    <w:next w:val="Normal"/>
    <w:link w:val="Heading1Char"/>
    <w:uiPriority w:val="9"/>
    <w:qFormat/>
    <w:rsid w:val="00677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57"/>
    <w:rPr>
      <w:rFonts w:eastAsiaTheme="majorEastAsia" w:cstheme="majorBidi"/>
      <w:color w:val="272727" w:themeColor="text1" w:themeTint="D8"/>
    </w:rPr>
  </w:style>
  <w:style w:type="paragraph" w:styleId="Title">
    <w:name w:val="Title"/>
    <w:basedOn w:val="Normal"/>
    <w:next w:val="Normal"/>
    <w:link w:val="TitleChar"/>
    <w:uiPriority w:val="10"/>
    <w:qFormat/>
    <w:rsid w:val="00677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57"/>
    <w:pPr>
      <w:spacing w:before="160"/>
      <w:jc w:val="center"/>
    </w:pPr>
    <w:rPr>
      <w:i/>
      <w:iCs/>
      <w:color w:val="404040" w:themeColor="text1" w:themeTint="BF"/>
    </w:rPr>
  </w:style>
  <w:style w:type="character" w:customStyle="1" w:styleId="QuoteChar">
    <w:name w:val="Quote Char"/>
    <w:basedOn w:val="DefaultParagraphFont"/>
    <w:link w:val="Quote"/>
    <w:uiPriority w:val="29"/>
    <w:rsid w:val="00677A57"/>
    <w:rPr>
      <w:i/>
      <w:iCs/>
      <w:color w:val="404040" w:themeColor="text1" w:themeTint="BF"/>
    </w:rPr>
  </w:style>
  <w:style w:type="paragraph" w:styleId="ListParagraph">
    <w:name w:val="List Paragraph"/>
    <w:basedOn w:val="Normal"/>
    <w:uiPriority w:val="34"/>
    <w:qFormat/>
    <w:rsid w:val="00677A57"/>
    <w:pPr>
      <w:ind w:left="720"/>
      <w:contextualSpacing/>
    </w:pPr>
  </w:style>
  <w:style w:type="character" w:styleId="IntenseEmphasis">
    <w:name w:val="Intense Emphasis"/>
    <w:basedOn w:val="DefaultParagraphFont"/>
    <w:uiPriority w:val="21"/>
    <w:qFormat/>
    <w:rsid w:val="00677A57"/>
    <w:rPr>
      <w:i/>
      <w:iCs/>
      <w:color w:val="0F4761" w:themeColor="accent1" w:themeShade="BF"/>
    </w:rPr>
  </w:style>
  <w:style w:type="paragraph" w:styleId="IntenseQuote">
    <w:name w:val="Intense Quote"/>
    <w:basedOn w:val="Normal"/>
    <w:next w:val="Normal"/>
    <w:link w:val="IntenseQuoteChar"/>
    <w:uiPriority w:val="30"/>
    <w:qFormat/>
    <w:rsid w:val="00677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A57"/>
    <w:rPr>
      <w:i/>
      <w:iCs/>
      <w:color w:val="0F4761" w:themeColor="accent1" w:themeShade="BF"/>
    </w:rPr>
  </w:style>
  <w:style w:type="character" w:styleId="IntenseReference">
    <w:name w:val="Intense Reference"/>
    <w:basedOn w:val="DefaultParagraphFont"/>
    <w:uiPriority w:val="32"/>
    <w:qFormat/>
    <w:rsid w:val="00677A57"/>
    <w:rPr>
      <w:b/>
      <w:bCs/>
      <w:smallCaps/>
      <w:color w:val="0F4761" w:themeColor="accent1" w:themeShade="BF"/>
      <w:spacing w:val="5"/>
    </w:rPr>
  </w:style>
  <w:style w:type="table" w:styleId="TableGrid">
    <w:name w:val="Table Grid"/>
    <w:basedOn w:val="TableNormal"/>
    <w:uiPriority w:val="39"/>
    <w:rsid w:val="00677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2936</Words>
  <Characters>16738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Jana232789</dc:creator>
  <cp:keywords/>
  <dc:description/>
  <cp:lastModifiedBy>Jana232789</cp:lastModifiedBy>
  <cp:revision>1</cp:revision>
  <dcterms:created xsi:type="dcterms:W3CDTF">2026-03-13T14:26:00Z</dcterms:created>
  <dcterms:modified xsi:type="dcterms:W3CDTF">2026-03-13T14:48:00Z</dcterms:modified>
</cp:coreProperties>
</file>