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5: Dashboard Construction</w:t>
      </w:r>
    </w:p>
    <w:p>
      <w:pPr>
        <w:pStyle w:val="Heading2"/>
      </w:pPr>
      <w:r>
        <w:t xml:space="preserve">5.1 Introduction to the Dashboard Layer</w:t>
      </w:r>
    </w:p>
    <w:p>
      <w:pPr>
        <w:spacing w:after="160" w:line="360"/>
      </w:pPr>
      <w:r>
        <w:rPr>
          <w:rFonts w:ascii="Arial" w:cs="Arial" w:eastAsia="Arial" w:hAnsi="Arial"/>
          <w:sz w:val="24"/>
          <w:szCs w:val="24"/>
        </w:rPr>
        <w:t xml:space="preserve">The dashboard is the final user-facing layer of the Business Intelligence system. After the data has been extracted, transformed, and loaded into the PostgreSQL data warehouse, the dashboard provides a visual interface through which business users can explore and interpret the data — without needing to write SQL queries or understand the underlying database schema.</w:t>
      </w:r>
    </w:p>
    <w:p>
      <w:pPr>
        <w:spacing w:after="160" w:line="360"/>
      </w:pPr>
      <w:r>
        <w:rPr>
          <w:rFonts w:ascii="Arial" w:cs="Arial" w:eastAsia="Arial" w:hAnsi="Arial"/>
          <w:sz w:val="24"/>
          <w:szCs w:val="24"/>
        </w:rPr>
        <w:t xml:space="preserve">A well-designed BI dashboard serves several important functions. It makes key performance indicators (KPIs) immediately visible at a glance, replacing the need for ad-hoc reports generated on demand. It allows users to filter and drill down into data interactively — for example, viewing revenue for a specific month, or narrowing a product ranking to a single category. It presents data in visual formats (charts, maps, tables) that make trends, outliers, and comparisons easier to perceive than raw numbers. And it provides a shared, consistent view of business metrics across all stakeholders, reducing disagreements caused by different people calculating the same metric in different ways.</w:t>
      </w:r>
    </w:p>
    <w:p>
      <w:pPr>
        <w:spacing w:after="160" w:line="360"/>
      </w:pPr>
      <w:r>
        <w:rPr>
          <w:rFonts w:ascii="Arial" w:cs="Arial" w:eastAsia="Arial" w:hAnsi="Arial"/>
          <w:sz w:val="24"/>
          <w:szCs w:val="24"/>
        </w:rPr>
        <w:t xml:space="preserve">For this project, the dashboard is built using Metabase — an open-source BI tool that connects directly to the PostgreSQL data warehouse and allows both visual (no-code) and SQL-based queries to be assembled into an interactive dashboard. The dashboard was designed to answer the three core business questions specified in the project requirements: top-selling products, monthly revenue trends, and customer purchase behavior.</w:t>
      </w:r>
    </w:p>
    <w:p>
      <w:pPr>
        <w:pStyle w:val="Heading2"/>
      </w:pPr>
      <w:r>
        <w:t xml:space="preserve">5.2 Why Metabase</w:t>
      </w:r>
    </w:p>
    <w:p>
      <w:pPr>
        <w:spacing w:after="160" w:line="360"/>
      </w:pPr>
      <w:r>
        <w:rPr>
          <w:rFonts w:ascii="Arial" w:cs="Arial" w:eastAsia="Arial" w:hAnsi="Arial"/>
          <w:sz w:val="24"/>
          <w:szCs w:val="24"/>
        </w:rPr>
        <w:t xml:space="preserve">Metabase was selected as the BI tool for this project for several reasons that make it well-suited to both academic and small-to-medium business BI use cases.</w:t>
      </w:r>
    </w:p>
    <w:p>
      <w:pPr>
        <w:spacing w:after="160" w:line="360"/>
      </w:pPr>
      <w:r>
        <w:rPr>
          <w:rFonts w:ascii="Arial" w:cs="Arial" w:eastAsia="Arial" w:hAnsi="Arial"/>
          <w:sz w:val="24"/>
          <w:szCs w:val="24"/>
        </w:rPr>
        <w:t xml:space="preserve">First, Metabase is fully open-source and free to self-host. Unlike enterprise BI tools such as Tableau or Power BI (which require paid licenses for full functionality), Metabase can be deployed on any machine with Docker and used without cost. This makes it accessible for academic projects while still reflecting the kind of BI tooling used in real industry settings, particularly in startups and mid-sized companies.</w:t>
      </w:r>
    </w:p>
    <w:p>
      <w:pPr>
        <w:spacing w:after="160" w:line="360"/>
      </w:pPr>
      <w:r>
        <w:rPr>
          <w:rFonts w:ascii="Arial" w:cs="Arial" w:eastAsia="Arial" w:hAnsi="Arial"/>
          <w:sz w:val="24"/>
          <w:szCs w:val="24"/>
        </w:rPr>
        <w:t xml:space="preserve">Second, Metabase provides a Question-based query builder that allows users to build charts and tables visually, without writing SQL. Users select a table, choose what to summarize (e.g., sum of price), choose how to group the results (e.g., by month and year), apply filters, and select a visualization type — all through a graphical interface. This makes it possible to create meaningful visualizations quickly once the data warehouse is in place.</w:t>
      </w:r>
    </w:p>
    <w:p>
      <w:pPr>
        <w:spacing w:after="160" w:line="360"/>
      </w:pPr>
      <w:r>
        <w:rPr>
          <w:rFonts w:ascii="Arial" w:cs="Arial" w:eastAsia="Arial" w:hAnsi="Arial"/>
          <w:sz w:val="24"/>
          <w:szCs w:val="24"/>
        </w:rPr>
        <w:t xml:space="preserve">Third, Metabase supports native SQL queries for cases where the visual builder is insufficient. Complex queries — such as the repeat vs. one-time customer analysis or the top-3-per-category ranking — require SQL with window functions or subqueries that the visual builder cannot express. Metabase allows these to be written directly in a SQL editor and their results displayed as charts or tables on the dashboard, giving the best of both worlds.</w:t>
      </w:r>
    </w:p>
    <w:p>
      <w:pPr>
        <w:spacing w:after="160" w:line="360"/>
      </w:pPr>
      <w:r>
        <w:rPr>
          <w:rFonts w:ascii="Arial" w:cs="Arial" w:eastAsia="Arial" w:hAnsi="Arial"/>
          <w:sz w:val="24"/>
          <w:szCs w:val="24"/>
        </w:rPr>
        <w:t xml:space="preserve">Fourth, Metabase automatically detects foreign key relationships in the connected database and uses them to enable cross-table filtering and joining in the visual query builder. Because the Star Schema is defined with proper foreign keys in PostgreSQL, Metabase can traverse the relationships between fact_order_item and the dimension tables without the user needing to manually specify join conditions.</w:t>
      </w:r>
    </w:p>
    <w:p>
      <w:pPr>
        <w:spacing w:after="160" w:line="360"/>
      </w:pPr>
      <w:r>
        <w:rPr>
          <w:rFonts w:ascii="Arial" w:cs="Arial" w:eastAsia="Arial" w:hAnsi="Arial"/>
          <w:sz w:val="24"/>
          <w:szCs w:val="24"/>
        </w:rPr>
        <w:t xml:space="preserve">Finally, Metabase is easily deployable via Docker, which is consistent with how the rest of the project infrastructure (PostgreSQL) is managed. A single docker-compose.yml file starts both services, and Metabase's configuration — including the database connection — persists in a Docker volume between restarts.</w:t>
      </w:r>
    </w:p>
    <w:p>
      <w:pPr>
        <w:pStyle w:val="Heading2"/>
      </w:pPr>
      <w:r>
        <w:t xml:space="preserve">5.3 System Setup and Configuration</w:t>
      </w:r>
    </w:p>
    <w:p>
      <w:pPr>
        <w:pStyle w:val="Heading3"/>
      </w:pPr>
      <w:r>
        <w:t xml:space="preserve">5.3.1 Docker Compose Configuration</w:t>
      </w:r>
    </w:p>
    <w:p>
      <w:pPr>
        <w:spacing w:after="160" w:line="360"/>
      </w:pPr>
      <w:r>
        <w:rPr>
          <w:rFonts w:ascii="Arial" w:cs="Arial" w:eastAsia="Arial" w:hAnsi="Arial"/>
          <w:sz w:val="24"/>
          <w:szCs w:val="24"/>
        </w:rPr>
        <w:t xml:space="preserve">Both PostgreSQL and Metabase are defined as services in a single docker-compose.yml file. This means the entire BI infrastructure — database server and visualization tool — can be started with one command and runs in an isolated, reproducible environment. The relevant service definitions are structured as follows:</w:t>
      </w:r>
    </w:p>
    <w:p>
      <w:pPr>
        <w:shd w:fill="F4F4F4" w:val="clear"/>
        <w:spacing w:after="0" w:line="280"/>
        <w:ind w:left="720"/>
      </w:pPr>
      <w:r>
        <w:rPr>
          <w:rFonts w:ascii="Courier New" w:cs="Courier New" w:eastAsia="Courier New" w:hAnsi="Courier New"/>
          <w:color w:val="1F3864"/>
          <w:sz w:val="20"/>
          <w:szCs w:val="20"/>
        </w:rPr>
        <w:t xml:space="preserve">services:</w:t>
      </w:r>
    </w:p>
    <w:p>
      <w:pPr>
        <w:shd w:fill="F4F4F4" w:val="clear"/>
        <w:spacing w:after="0" w:line="280"/>
        <w:ind w:left="720"/>
      </w:pPr>
      <w:r>
        <w:rPr>
          <w:rFonts w:ascii="Courier New" w:cs="Courier New" w:eastAsia="Courier New" w:hAnsi="Courier New"/>
          <w:color w:val="1F3864"/>
          <w:sz w:val="20"/>
          <w:szCs w:val="20"/>
        </w:rPr>
        <w:t xml:space="preserve">  postgres:</w:t>
      </w:r>
    </w:p>
    <w:p>
      <w:pPr>
        <w:shd w:fill="F4F4F4" w:val="clear"/>
        <w:spacing w:after="0" w:line="280"/>
        <w:ind w:left="720"/>
      </w:pPr>
      <w:r>
        <w:rPr>
          <w:rFonts w:ascii="Courier New" w:cs="Courier New" w:eastAsia="Courier New" w:hAnsi="Courier New"/>
          <w:color w:val="1F3864"/>
          <w:sz w:val="20"/>
          <w:szCs w:val="20"/>
        </w:rPr>
        <w:t xml:space="preserve">    image: postgres:15</w:t>
      </w:r>
    </w:p>
    <w:p>
      <w:pPr>
        <w:shd w:fill="F4F4F4" w:val="clear"/>
        <w:spacing w:after="0" w:line="280"/>
        <w:ind w:left="720"/>
      </w:pPr>
      <w:r>
        <w:rPr>
          <w:rFonts w:ascii="Courier New" w:cs="Courier New" w:eastAsia="Courier New" w:hAnsi="Courier New"/>
          <w:color w:val="1F3864"/>
          <w:sz w:val="20"/>
          <w:szCs w:val="20"/>
        </w:rPr>
        <w:t xml:space="preserve">    environment:</w:t>
      </w:r>
    </w:p>
    <w:p>
      <w:pPr>
        <w:shd w:fill="F4F4F4" w:val="clear"/>
        <w:spacing w:after="0" w:line="280"/>
        <w:ind w:left="720"/>
      </w:pPr>
      <w:r>
        <w:rPr>
          <w:rFonts w:ascii="Courier New" w:cs="Courier New" w:eastAsia="Courier New" w:hAnsi="Courier New"/>
          <w:color w:val="1F3864"/>
          <w:sz w:val="20"/>
          <w:szCs w:val="20"/>
        </w:rPr>
        <w:t xml:space="preserve">      POSTGRES_DB: ecommerce_dw</w:t>
      </w:r>
    </w:p>
    <w:p>
      <w:pPr>
        <w:shd w:fill="F4F4F4" w:val="clear"/>
        <w:spacing w:after="0" w:line="280"/>
        <w:ind w:left="720"/>
      </w:pPr>
      <w:r>
        <w:rPr>
          <w:rFonts w:ascii="Courier New" w:cs="Courier New" w:eastAsia="Courier New" w:hAnsi="Courier New"/>
          <w:color w:val="1F3864"/>
          <w:sz w:val="20"/>
          <w:szCs w:val="20"/>
        </w:rPr>
        <w:t xml:space="preserve">      POSTGRES_USER: admin</w:t>
      </w:r>
    </w:p>
    <w:p>
      <w:pPr>
        <w:shd w:fill="F4F4F4" w:val="clear"/>
        <w:spacing w:after="0" w:line="280"/>
        <w:ind w:left="720"/>
      </w:pPr>
      <w:r>
        <w:rPr>
          <w:rFonts w:ascii="Courier New" w:cs="Courier New" w:eastAsia="Courier New" w:hAnsi="Courier New"/>
          <w:color w:val="1F3864"/>
          <w:sz w:val="20"/>
          <w:szCs w:val="20"/>
        </w:rPr>
        <w:t xml:space="preserve">      POSTGRES_PASSWORD: admin123</w:t>
      </w:r>
    </w:p>
    <w:p>
      <w:pPr>
        <w:shd w:fill="F4F4F4" w:val="clear"/>
        <w:spacing w:after="0" w:line="280"/>
        <w:ind w:left="720"/>
      </w:pPr>
      <w:r>
        <w:rPr>
          <w:rFonts w:ascii="Courier New" w:cs="Courier New" w:eastAsia="Courier New" w:hAnsi="Courier New"/>
          <w:color w:val="1F3864"/>
          <w:sz w:val="20"/>
          <w:szCs w:val="20"/>
        </w:rPr>
        <w:t xml:space="preserve">    ports:</w:t>
      </w:r>
    </w:p>
    <w:p>
      <w:pPr>
        <w:shd w:fill="F4F4F4" w:val="clear"/>
        <w:spacing w:after="0" w:line="280"/>
        <w:ind w:left="720"/>
      </w:pPr>
      <w:r>
        <w:rPr>
          <w:rFonts w:ascii="Courier New" w:cs="Courier New" w:eastAsia="Courier New" w:hAnsi="Courier New"/>
          <w:color w:val="1F3864"/>
          <w:sz w:val="20"/>
          <w:szCs w:val="20"/>
        </w:rPr>
        <w:t xml:space="preserve">      - "5432:5432"</w:t>
      </w:r>
    </w:p>
    <w:p>
      <w:pPr>
        <w:shd w:fill="F4F4F4" w:val="clear"/>
        <w:spacing w:after="0" w:line="280"/>
        <w:ind w:left="720"/>
      </w:pPr>
      <w:r>
        <w:rPr>
          <w:rFonts w:ascii="Courier New" w:cs="Courier New" w:eastAsia="Courier New" w:hAnsi="Courier New"/>
          <w:color w:val="1F3864"/>
          <w:sz w:val="20"/>
          <w:szCs w:val="20"/>
        </w:rPr>
        <w:t xml:space="preserve">    volumes:</w:t>
      </w:r>
    </w:p>
    <w:p>
      <w:pPr>
        <w:shd w:fill="F4F4F4" w:val="clear"/>
        <w:spacing w:after="0" w:line="280"/>
        <w:ind w:left="720"/>
      </w:pPr>
      <w:r>
        <w:rPr>
          <w:rFonts w:ascii="Courier New" w:cs="Courier New" w:eastAsia="Courier New" w:hAnsi="Courier New"/>
          <w:color w:val="1F3864"/>
          <w:sz w:val="20"/>
          <w:szCs w:val="20"/>
        </w:rPr>
        <w:t xml:space="preserve">      - ./init.sql:/docker-entrypoint-initdb.d/init.sql</w:t>
      </w:r>
    </w:p>
    <w:p>
      <w:pPr>
        <w:shd w:fill="F4F4F4" w:val="clear"/>
        <w:spacing w:after="0" w:line="280"/>
        <w:ind w:left="720"/>
      </w:pPr>
      <w:r>
        <w:rPr>
          <w:rFonts w:ascii="Courier New" w:cs="Courier New" w:eastAsia="Courier New" w:hAnsi="Courier New"/>
          <w:color w:val="1F3864"/>
          <w:sz w:val="20"/>
          <w:szCs w:val="20"/>
        </w:rPr>
        <w:t xml:space="preserve"/>
      </w:r>
    </w:p>
    <w:p>
      <w:pPr>
        <w:shd w:fill="F4F4F4" w:val="clear"/>
        <w:spacing w:after="0" w:line="280"/>
        <w:ind w:left="720"/>
      </w:pPr>
      <w:r>
        <w:rPr>
          <w:rFonts w:ascii="Courier New" w:cs="Courier New" w:eastAsia="Courier New" w:hAnsi="Courier New"/>
          <w:color w:val="1F3864"/>
          <w:sz w:val="20"/>
          <w:szCs w:val="20"/>
        </w:rPr>
        <w:t xml:space="preserve">  metabase:</w:t>
      </w:r>
    </w:p>
    <w:p>
      <w:pPr>
        <w:shd w:fill="F4F4F4" w:val="clear"/>
        <w:spacing w:after="0" w:line="280"/>
        <w:ind w:left="720"/>
      </w:pPr>
      <w:r>
        <w:rPr>
          <w:rFonts w:ascii="Courier New" w:cs="Courier New" w:eastAsia="Courier New" w:hAnsi="Courier New"/>
          <w:color w:val="1F3864"/>
          <w:sz w:val="20"/>
          <w:szCs w:val="20"/>
        </w:rPr>
        <w:t xml:space="preserve">    image: metabase/metabase:latest</w:t>
      </w:r>
    </w:p>
    <w:p>
      <w:pPr>
        <w:shd w:fill="F4F4F4" w:val="clear"/>
        <w:spacing w:after="0" w:line="280"/>
        <w:ind w:left="720"/>
      </w:pPr>
      <w:r>
        <w:rPr>
          <w:rFonts w:ascii="Courier New" w:cs="Courier New" w:eastAsia="Courier New" w:hAnsi="Courier New"/>
          <w:color w:val="1F3864"/>
          <w:sz w:val="20"/>
          <w:szCs w:val="20"/>
        </w:rPr>
        <w:t xml:space="preserve">    ports:</w:t>
      </w:r>
    </w:p>
    <w:p>
      <w:pPr>
        <w:shd w:fill="F4F4F4" w:val="clear"/>
        <w:spacing w:after="0" w:line="280"/>
        <w:ind w:left="720"/>
      </w:pPr>
      <w:r>
        <w:rPr>
          <w:rFonts w:ascii="Courier New" w:cs="Courier New" w:eastAsia="Courier New" w:hAnsi="Courier New"/>
          <w:color w:val="1F3864"/>
          <w:sz w:val="20"/>
          <w:szCs w:val="20"/>
        </w:rPr>
        <w:t xml:space="preserve">      - "3000:3000"</w:t>
      </w:r>
    </w:p>
    <w:p>
      <w:pPr>
        <w:shd w:fill="F4F4F4" w:val="clear"/>
        <w:spacing w:after="0" w:line="280"/>
        <w:ind w:left="720"/>
      </w:pPr>
      <w:r>
        <w:rPr>
          <w:rFonts w:ascii="Courier New" w:cs="Courier New" w:eastAsia="Courier New" w:hAnsi="Courier New"/>
          <w:color w:val="1F3864"/>
          <w:sz w:val="20"/>
          <w:szCs w:val="20"/>
        </w:rPr>
        <w:t xml:space="preserve">    depends_on:</w:t>
      </w:r>
    </w:p>
    <w:p>
      <w:pPr>
        <w:shd w:fill="F4F4F4" w:val="clear"/>
        <w:spacing w:after="0" w:line="280"/>
        <w:ind w:left="720"/>
      </w:pPr>
      <w:r>
        <w:rPr>
          <w:rFonts w:ascii="Courier New" w:cs="Courier New" w:eastAsia="Courier New" w:hAnsi="Courier New"/>
          <w:color w:val="1F3864"/>
          <w:sz w:val="20"/>
          <w:szCs w:val="20"/>
        </w:rPr>
        <w:t xml:space="preserve">      - postgres</w:t>
      </w:r>
    </w:p>
    <w:p>
      <w:pPr>
        <w:spacing w:after="120"/>
      </w:pPr>
    </w:p>
    <w:p>
      <w:pPr>
        <w:spacing w:after="160" w:line="360"/>
      </w:pPr>
      <w:r>
        <w:rPr>
          <w:rFonts w:ascii="Arial" w:cs="Arial" w:eastAsia="Arial" w:hAnsi="Arial"/>
          <w:sz w:val="24"/>
          <w:szCs w:val="24"/>
        </w:rPr>
        <w:t xml:space="preserve">The postgres service uses the official PostgreSQL 15 image. The init.sql file is mounted into the container's initialization directory, so the database schema (all CREATE TABLE statements with foreign keys) is automatically executed the first time the container starts. The metabase service uses the official Metabase image and maps port 3000 of the container to port 3000 of the host, making the Metabase web interface accessible at http://localhost:3000. The depends_on directive ensures PostgreSQL starts before Metabase attempts to connect.</w:t>
      </w:r>
    </w:p>
    <w:p>
      <w:pPr>
        <w:pStyle w:val="Heading3"/>
      </w:pPr>
      <w:r>
        <w:t xml:space="preserve">5.3.2 Connecting Metabase to PostgreSQL</w:t>
      </w:r>
    </w:p>
    <w:p>
      <w:pPr>
        <w:spacing w:after="160" w:line="360"/>
      </w:pPr>
      <w:r>
        <w:rPr>
          <w:rFonts w:ascii="Arial" w:cs="Arial" w:eastAsia="Arial" w:hAnsi="Arial"/>
          <w:sz w:val="24"/>
          <w:szCs w:val="24"/>
        </w:rPr>
        <w:t xml:space="preserve">On first launch, Metabase presents a setup wizard that guides the user through creating an admin account and configuring a database connection. The connection to the PostgreSQL data warehouse is configured with the following parameters:</w:t>
      </w:r>
    </w:p>
    <w:p>
      <w:pPr>
        <w:spacing w:after="80" w:before="200"/>
      </w:pPr>
      <w:r>
        <w:rPr>
          <w:rFonts w:ascii="Arial" w:cs="Arial" w:eastAsia="Arial" w:hAnsi="Arial"/>
          <w:b/>
          <w:bCs/>
          <w:i/>
          <w:iCs/>
          <w:color w:val="555555"/>
          <w:sz w:val="22"/>
          <w:szCs w:val="22"/>
        </w:rPr>
        <w:t xml:space="preserve">Table 5.1 — Metabase database connection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8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Parameter</w:t>
            </w:r>
          </w:p>
        </w:tc>
        <w:tc>
          <w:tcPr>
            <w:tcW w:type="dxa" w:w="62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Database type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PostgreSQL</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Host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postgres  (Docker service name, resolved internally)</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Port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5432</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Database name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ecommerce_dw</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Username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sz w:val="20"/>
                <w:szCs w:val="20"/>
              </w:rPr>
              <w:t xml:space="preserve">admin</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Password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Courier New" w:cs="Courier New" w:eastAsia="Courier New" w:hAnsi="Courier New"/>
                <w:sz w:val="20"/>
                <w:szCs w:val="20"/>
              </w:rPr>
              <w:t xml:space="preserve">admin123</w:t>
            </w:r>
          </w:p>
        </w:tc>
      </w:tr>
    </w:tbl>
    <w:p>
      <w:pPr>
        <w:spacing w:after="160"/>
      </w:pPr>
    </w:p>
    <w:p>
      <w:pPr>
        <w:spacing w:after="160" w:line="360"/>
      </w:pPr>
      <w:r>
        <w:rPr>
          <w:rFonts w:ascii="Arial" w:cs="Arial" w:eastAsia="Arial" w:hAnsi="Arial"/>
          <w:sz w:val="24"/>
          <w:szCs w:val="24"/>
        </w:rPr>
        <w:t xml:space="preserve">Because Metabase and PostgreSQL run in the same Docker Compose network, the host is specified as the Docker service name (postgres) rather than localhost. Docker's internal DNS resolves this name to the PostgreSQL container's IP address automatically. Once the connection is saved and tested, Metabase scans the database and discovers all five tables in the data warehouse, making them available in the visual query builder.</w:t>
      </w:r>
    </w:p>
    <w:p>
      <w:pPr>
        <w:pStyle w:val="Heading3"/>
      </w:pPr>
      <w:r>
        <w:t xml:space="preserve">5.3.3 Schema Recognition and Relationship Detection</w:t>
      </w:r>
    </w:p>
    <w:p>
      <w:pPr>
        <w:spacing w:after="160" w:line="360"/>
      </w:pPr>
      <w:r>
        <w:rPr>
          <w:rFonts w:ascii="Arial" w:cs="Arial" w:eastAsia="Arial" w:hAnsi="Arial"/>
          <w:sz w:val="24"/>
          <w:szCs w:val="24"/>
        </w:rPr>
        <w:t xml:space="preserve">After connecting to the database, Metabase performs an automatic scan of the schema. It detects the foreign key relationships defined in init.sql and maps them to logical relationships between tables. This means that in the visual query builder, when a user selects fact_order_item as the base table, Metabase automatically knows that it can be joined with dim_customer, dim_region, dim_item, and dim_order_time through their respective foreign keys — without the user needing to specify the join conditions manually.</w:t>
      </w:r>
    </w:p>
    <w:p>
      <w:pPr>
        <w:spacing w:after="160" w:line="360"/>
      </w:pPr>
      <w:r>
        <w:rPr>
          <w:rFonts w:ascii="Arial" w:cs="Arial" w:eastAsia="Arial" w:hAnsi="Arial"/>
          <w:sz w:val="24"/>
          <w:szCs w:val="24"/>
        </w:rPr>
        <w:t xml:space="preserve">This schema awareness is one of the key advantages of building a proper star schema with declared foreign keys, rather than storing everything in a single flat table. It makes Metabase significantly more powerful and easier to use, as the tool can present dimension attributes (such as category_name from dim_item or state from dim_region) as filterable fields when querying the fact table.</w:t>
      </w:r>
    </w:p>
    <w:p>
      <w:pPr>
        <w:pStyle w:val="Heading2"/>
      </w:pPr>
      <w:r>
        <w:t xml:space="preserve">5.4 Dashboard Design Principles</w:t>
      </w:r>
    </w:p>
    <w:p>
      <w:pPr>
        <w:spacing w:after="160" w:line="360"/>
      </w:pPr>
      <w:r>
        <w:rPr>
          <w:rFonts w:ascii="Arial" w:cs="Arial" w:eastAsia="Arial" w:hAnsi="Arial"/>
          <w:sz w:val="24"/>
          <w:szCs w:val="24"/>
        </w:rPr>
        <w:t xml:space="preserve">Before building individual visualizations, several design principles were established to guide the dashboard layout and chart selection:</w:t>
      </w:r>
    </w:p>
    <w:p>
      <w:pPr>
        <w:pStyle w:val="ListParagraph"/>
        <w:numPr>
          <w:ilvl w:val="0"/>
          <w:numId w:val="2"/>
        </w:numPr>
        <w:spacing w:after="100" w:line="360"/>
      </w:pPr>
      <w:r>
        <w:rPr>
          <w:rFonts w:ascii="Arial" w:cs="Arial" w:eastAsia="Arial" w:hAnsi="Arial"/>
          <w:b/>
          <w:bCs/>
          <w:sz w:val="24"/>
          <w:szCs w:val="24"/>
        </w:rPr>
        <w:t xml:space="preserve">Clarity over complexity: </w:t>
      </w:r>
      <w:r>
        <w:rPr>
          <w:rFonts w:ascii="Arial" w:cs="Arial" w:eastAsia="Arial" w:hAnsi="Arial"/>
          <w:b w:val="false"/>
          <w:bCs w:val="false"/>
          <w:sz w:val="24"/>
          <w:szCs w:val="24"/>
        </w:rPr>
        <w:t xml:space="preserve">Each chart answers one specific business question. Overloading a single visualization with too many dimensions or metrics makes it harder to read, not more informative.</w:t>
      </w:r>
    </w:p>
    <w:p>
      <w:pPr>
        <w:pStyle w:val="ListParagraph"/>
        <w:numPr>
          <w:ilvl w:val="0"/>
          <w:numId w:val="2"/>
        </w:numPr>
        <w:spacing w:after="100" w:line="360"/>
      </w:pPr>
      <w:r>
        <w:rPr>
          <w:rFonts w:ascii="Arial" w:cs="Arial" w:eastAsia="Arial" w:hAnsi="Arial"/>
          <w:b/>
          <w:bCs/>
          <w:sz w:val="24"/>
          <w:szCs w:val="24"/>
        </w:rPr>
        <w:t xml:space="preserve">Appropriate chart types: </w:t>
      </w:r>
      <w:r>
        <w:rPr>
          <w:rFonts w:ascii="Arial" w:cs="Arial" w:eastAsia="Arial" w:hAnsi="Arial"/>
          <w:b w:val="false"/>
          <w:bCs w:val="false"/>
          <w:sz w:val="24"/>
          <w:szCs w:val="24"/>
        </w:rPr>
        <w:t xml:space="preserve">Chart types were chosen based on the nature of the data being visualized. Line charts for time-series trends, bar charts for rankings and comparisons, a map for geographic distribution, and a summary table for detailed breakdowns.</w:t>
      </w:r>
    </w:p>
    <w:p>
      <w:pPr>
        <w:pStyle w:val="ListParagraph"/>
        <w:numPr>
          <w:ilvl w:val="0"/>
          <w:numId w:val="2"/>
        </w:numPr>
        <w:spacing w:after="100" w:line="360"/>
      </w:pPr>
      <w:r>
        <w:rPr>
          <w:rFonts w:ascii="Arial" w:cs="Arial" w:eastAsia="Arial" w:hAnsi="Arial"/>
          <w:b/>
          <w:bCs/>
          <w:sz w:val="24"/>
          <w:szCs w:val="24"/>
        </w:rPr>
        <w:t xml:space="preserve">Consistent use of dimensions: </w:t>
      </w:r>
      <w:r>
        <w:rPr>
          <w:rFonts w:ascii="Arial" w:cs="Arial" w:eastAsia="Arial" w:hAnsi="Arial"/>
          <w:b w:val="false"/>
          <w:bCs w:val="false"/>
          <w:sz w:val="24"/>
          <w:szCs w:val="24"/>
        </w:rPr>
        <w:t xml:space="preserve">Where possible, charts use the same dimension labels (e.g., English category names from dim_item, state codes from dim_region) to make the dashboard internally consistent and easy to cross-reference.</w:t>
      </w:r>
    </w:p>
    <w:p>
      <w:pPr>
        <w:pStyle w:val="ListParagraph"/>
        <w:numPr>
          <w:ilvl w:val="0"/>
          <w:numId w:val="2"/>
        </w:numPr>
        <w:spacing w:after="100" w:line="360"/>
      </w:pPr>
      <w:r>
        <w:rPr>
          <w:rFonts w:ascii="Arial" w:cs="Arial" w:eastAsia="Arial" w:hAnsi="Arial"/>
          <w:b/>
          <w:bCs/>
          <w:sz w:val="24"/>
          <w:szCs w:val="24"/>
        </w:rPr>
        <w:t xml:space="preserve">Progressive detail: </w:t>
      </w:r>
      <w:r>
        <w:rPr>
          <w:rFonts w:ascii="Arial" w:cs="Arial" w:eastAsia="Arial" w:hAnsi="Arial"/>
          <w:b w:val="false"/>
          <w:bCs w:val="false"/>
          <w:sz w:val="24"/>
          <w:szCs w:val="24"/>
        </w:rPr>
        <w:t xml:space="preserve">The dashboard is organized from high-level summary metrics at the top (total revenue, order count) down to more detailed breakdowns (by category, by region, by customer type) further down the page.</w:t>
      </w:r>
    </w:p>
    <w:p>
      <w:pPr>
        <w:spacing w:after="160"/>
      </w:pPr>
    </w:p>
    <w:p>
      <w:pPr>
        <w:pStyle w:val="Heading2"/>
      </w:pPr>
      <w:r>
        <w:t xml:space="preserve">5.5 Dashboard Visualizations</w:t>
      </w:r>
    </w:p>
    <w:p>
      <w:pPr>
        <w:spacing w:after="160" w:line="360"/>
      </w:pPr>
      <w:r>
        <w:rPr>
          <w:rFonts w:ascii="Arial" w:cs="Arial" w:eastAsia="Arial" w:hAnsi="Arial"/>
          <w:sz w:val="24"/>
          <w:szCs w:val="24"/>
        </w:rPr>
        <w:t xml:space="preserve">The Metabase dashboard consists of six visualizations, each addressing a specific business question or KPI. Each is described below, including the underlying query logic and the rationale for the chosen chart type.</w:t>
      </w:r>
    </w:p>
    <w:p>
      <w:pPr>
        <w:pStyle w:val="Heading3"/>
      </w:pPr>
      <w:r>
        <w:t xml:space="preserve">5.5.1 Summary KPI Cards</w:t>
      </w:r>
    </w:p>
    <w:p>
      <w:pPr>
        <w:spacing w:after="160" w:line="360"/>
      </w:pPr>
      <w:r>
        <w:rPr>
          <w:rFonts w:ascii="Arial" w:cs="Arial" w:eastAsia="Arial" w:hAnsi="Arial"/>
          <w:sz w:val="24"/>
          <w:szCs w:val="24"/>
        </w:rPr>
        <w:t xml:space="preserve">At the top of the dashboard, two summary metric cards display the most fundamental business figures: total revenue and total number of orders. These are implemented as single-number cards in Metabase — a visualization type that displays a single aggregated value prominently.</w:t>
      </w:r>
    </w:p>
    <w:p>
      <w:pPr>
        <w:spacing w:after="160" w:line="360"/>
      </w:pPr>
      <w:r>
        <w:rPr>
          <w:rFonts w:ascii="Arial" w:cs="Arial" w:eastAsia="Arial" w:hAnsi="Arial"/>
          <w:sz w:val="24"/>
          <w:szCs w:val="24"/>
        </w:rPr>
        <w:t xml:space="preserve">Total revenue is calculated as SUM(price) across all rows in fact_order_item, giving the overall gross merchandise value (GMV) across the entire dataset period. Total orders is calculated as COUNT(DISTINCT order_id) in fact_order_item, giving the number of unique orders placed. These two numbers provide immediate context for all other charts on the dashboard — a viewer can instantly understand the scale of the business before diving into the more detailed breakdowns.</w:t>
      </w:r>
    </w:p>
    <w:p>
      <w:pPr>
        <w:pStyle w:val="Heading3"/>
      </w:pPr>
      <w:r>
        <w:t xml:space="preserve">5.5.2 Monthly Revenue Trend (Line Chart)</w:t>
      </w:r>
    </w:p>
    <w:p>
      <w:pPr>
        <w:spacing w:after="160" w:line="360"/>
      </w:pPr>
      <w:r>
        <w:rPr>
          <w:rFonts w:ascii="Arial" w:cs="Arial" w:eastAsia="Arial" w:hAnsi="Arial"/>
          <w:sz w:val="24"/>
          <w:szCs w:val="24"/>
        </w:rPr>
        <w:t xml:space="preserve">The monthly revenue trend is one of the three core analyses required by the project. It is implemented as a line chart showing total revenue (SUM of price) grouped by year and month over the full dataset period from 2016 to 2018.</w:t>
      </w:r>
    </w:p>
    <w:p>
      <w:pPr>
        <w:spacing w:after="160" w:line="360"/>
      </w:pPr>
      <w:r>
        <w:rPr>
          <w:rFonts w:ascii="Arial" w:cs="Arial" w:eastAsia="Arial" w:hAnsi="Arial"/>
          <w:sz w:val="24"/>
          <w:szCs w:val="24"/>
        </w:rPr>
        <w:t xml:space="preserve">The underlying query joins fact_order_item with dim_order_time on time_key, groups results by year and month, and sums the price column. In Metabase's visual query builder, this is configured by selecting fact_order_item as the source, summarizing by Sum of price, and grouping by dim_order_time.year and dim_order_time.month. The result is displayed as a line chart with time on the x-axis and revenue on the y-axis.</w:t>
      </w:r>
    </w:p>
    <w:p>
      <w:pPr>
        <w:spacing w:after="160" w:line="360"/>
      </w:pPr>
      <w:r>
        <w:rPr>
          <w:rFonts w:ascii="Arial" w:cs="Arial" w:eastAsia="Arial" w:hAnsi="Arial"/>
          <w:sz w:val="24"/>
          <w:szCs w:val="24"/>
        </w:rPr>
        <w:t xml:space="preserve">A line chart is the appropriate choice for this visualization because it clearly shows the direction and rate of change over time, making trends, acceleration, and seasonal patterns immediately visible. Bar charts can also show time-series data, but lines are superior when continuity of trend is the primary message. The chart reveals a clear growth trajectory from 2017 into 2018, with a notable spike in late 2017 — likely corresponding to Brazil's Black Friday period — followed by strong sustained growth through the first half of 2018.</w:t>
      </w:r>
    </w:p>
    <w:p>
      <w:pPr>
        <w:pStyle w:val="Heading3"/>
      </w:pPr>
      <w:r>
        <w:t xml:space="preserve">5.5.3 Revenue by State (Map Visualization)</w:t>
      </w:r>
    </w:p>
    <w:p>
      <w:pPr>
        <w:spacing w:after="160" w:line="360"/>
      </w:pPr>
      <w:r>
        <w:rPr>
          <w:rFonts w:ascii="Arial" w:cs="Arial" w:eastAsia="Arial" w:hAnsi="Arial"/>
          <w:sz w:val="24"/>
          <w:szCs w:val="24"/>
        </w:rPr>
        <w:t xml:space="preserve">The geographic distribution of sales is visualized as a map, using the latitude and longitude coordinates stored in dim_region. This chart shows where orders are concentrated across Brazil, making it easy to identify which states and regions drive the most business.</w:t>
      </w:r>
    </w:p>
    <w:p>
      <w:pPr>
        <w:spacing w:after="160" w:line="360"/>
      </w:pPr>
      <w:r>
        <w:rPr>
          <w:rFonts w:ascii="Arial" w:cs="Arial" w:eastAsia="Arial" w:hAnsi="Arial"/>
          <w:sz w:val="24"/>
          <w:szCs w:val="24"/>
        </w:rPr>
        <w:t xml:space="preserve">The underlying query joins fact_order_item to dim_customer on customer_key, then to dim_region on zip_code_prefix (resolved via region_key), groups by state, and sums price. The lat and lng columns from dim_region are used by Metabase to place data points on a map. Each point represents a zip code region, and its size or color intensity reflects the total revenue from customers in that region.</w:t>
      </w:r>
    </w:p>
    <w:p>
      <w:pPr>
        <w:spacing w:after="160" w:line="360"/>
      </w:pPr>
      <w:r>
        <w:rPr>
          <w:rFonts w:ascii="Arial" w:cs="Arial" w:eastAsia="Arial" w:hAnsi="Arial"/>
          <w:sz w:val="24"/>
          <w:szCs w:val="24"/>
        </w:rPr>
        <w:t xml:space="preserve">A map visualization is uniquely suited for geographic data because it preserves spatial relationships — viewers immediately understand that São Paulo (SP) dominates because it is large, dense, and centrally located in Brazil's economic heartland, without needing to know Brazilian geography in advance. A bar chart of revenue by state would convey the same numbers but would lose the geographic context that explains why those patterns exist.</w:t>
      </w:r>
    </w:p>
    <w:p>
      <w:pPr>
        <w:pStyle w:val="Heading3"/>
      </w:pPr>
      <w:r>
        <w:t xml:space="preserve">5.5.4 Top 10 Products by Revenue (Bar Chart)</w:t>
      </w:r>
    </w:p>
    <w:p>
      <w:pPr>
        <w:spacing w:after="160" w:line="360"/>
      </w:pPr>
      <w:r>
        <w:rPr>
          <w:rFonts w:ascii="Arial" w:cs="Arial" w:eastAsia="Arial" w:hAnsi="Arial"/>
          <w:sz w:val="24"/>
          <w:szCs w:val="24"/>
        </w:rPr>
        <w:t xml:space="preserve">This visualization ranks the top 10 product categories by total revenue, providing a direct answer to the "top-selling products" requirement. It is implemented as a horizontal bar chart, with product categories on the y-axis and total revenue on the x-axis, sorted in descending order.</w:t>
      </w:r>
    </w:p>
    <w:p>
      <w:pPr>
        <w:spacing w:after="160" w:line="360"/>
      </w:pPr>
      <w:r>
        <w:rPr>
          <w:rFonts w:ascii="Arial" w:cs="Arial" w:eastAsia="Arial" w:hAnsi="Arial"/>
          <w:sz w:val="24"/>
          <w:szCs w:val="24"/>
        </w:rPr>
        <w:t xml:space="preserve">The query joins fact_order_item with dim_item on item_key, groups by category_name, sums price, orders by total revenue descending, and limits to the top 10 results. In Metabase, this is configured through the visual query builder by setting a row limit of 10 and sorting by Sum of price descending.</w:t>
      </w:r>
    </w:p>
    <w:p>
      <w:pPr>
        <w:spacing w:after="160" w:line="360"/>
      </w:pPr>
      <w:r>
        <w:rPr>
          <w:rFonts w:ascii="Arial" w:cs="Arial" w:eastAsia="Arial" w:hAnsi="Arial"/>
          <w:sz w:val="24"/>
          <w:szCs w:val="24"/>
        </w:rPr>
        <w:t xml:space="preserve">A horizontal bar chart is preferred over a vertical bar chart here because category names are text strings of varying length — a horizontal layout gives each label enough horizontal space to be fully readable without rotation or truncation. Sorting by revenue descending ensures the most important categories are immediately visible at the top of the chart, allowing the viewer to rank categories at a glance.</w:t>
      </w:r>
    </w:p>
    <w:p>
      <w:pPr>
        <w:pStyle w:val="Heading3"/>
      </w:pPr>
      <w:r>
        <w:t xml:space="preserve">5.5.5 Top 3 Products per Category (SQL Table)</w:t>
      </w:r>
    </w:p>
    <w:p>
      <w:pPr>
        <w:spacing w:after="160" w:line="360"/>
      </w:pPr>
      <w:r>
        <w:rPr>
          <w:rFonts w:ascii="Arial" w:cs="Arial" w:eastAsia="Arial" w:hAnsi="Arial"/>
          <w:sz w:val="24"/>
          <w:szCs w:val="24"/>
        </w:rPr>
        <w:t xml:space="preserve">This more detailed view shows the top 3 individual products by revenue within each of the top-selling categories. Because this analysis requires a window function (RANK() OVER PARTITION BY category), it cannot be expressed in Metabase's visual query builder and is instead implemented as a native SQL question.</w:t>
      </w:r>
    </w:p>
    <w:p>
      <w:pPr>
        <w:spacing w:after="160" w:line="360"/>
      </w:pPr>
      <w:r>
        <w:rPr>
          <w:rFonts w:ascii="Arial" w:cs="Arial" w:eastAsia="Arial" w:hAnsi="Arial"/>
          <w:sz w:val="24"/>
          <w:szCs w:val="24"/>
        </w:rPr>
        <w:t xml:space="preserve">The SQL query used for this visualization is:</w:t>
      </w:r>
    </w:p>
    <w:p>
      <w:pPr>
        <w:shd w:fill="F4F4F4" w:val="clear"/>
        <w:spacing w:after="0" w:line="280"/>
        <w:ind w:left="720"/>
      </w:pPr>
      <w:r>
        <w:rPr>
          <w:rFonts w:ascii="Courier New" w:cs="Courier New" w:eastAsia="Courier New" w:hAnsi="Courier New"/>
          <w:color w:val="1F3864"/>
          <w:sz w:val="20"/>
          <w:szCs w:val="20"/>
        </w:rPr>
        <w:t xml:space="preserve">SELECT category_name, product_id, total_revenue, rank</w:t>
      </w:r>
    </w:p>
    <w:p>
      <w:pPr>
        <w:shd w:fill="F4F4F4" w:val="clear"/>
        <w:spacing w:after="0" w:line="280"/>
        <w:ind w:left="720"/>
      </w:pPr>
      <w:r>
        <w:rPr>
          <w:rFonts w:ascii="Courier New" w:cs="Courier New" w:eastAsia="Courier New" w:hAnsi="Courier New"/>
          <w:color w:val="1F3864"/>
          <w:sz w:val="20"/>
          <w:szCs w:val="20"/>
        </w:rPr>
        <w:t xml:space="preserve">FROM (</w:t>
      </w:r>
    </w:p>
    <w:p>
      <w:pPr>
        <w:shd w:fill="F4F4F4" w:val="clear"/>
        <w:spacing w:after="0" w:line="280"/>
        <w:ind w:left="720"/>
      </w:pPr>
      <w:r>
        <w:rPr>
          <w:rFonts w:ascii="Courier New" w:cs="Courier New" w:eastAsia="Courier New" w:hAnsi="Courier New"/>
          <w:color w:val="1F3864"/>
          <w:sz w:val="20"/>
          <w:szCs w:val="20"/>
        </w:rPr>
        <w:t xml:space="preserve">  SELECT</w:t>
      </w:r>
    </w:p>
    <w:p>
      <w:pPr>
        <w:shd w:fill="F4F4F4" w:val="clear"/>
        <w:spacing w:after="0" w:line="280"/>
        <w:ind w:left="720"/>
      </w:pPr>
      <w:r>
        <w:rPr>
          <w:rFonts w:ascii="Courier New" w:cs="Courier New" w:eastAsia="Courier New" w:hAnsi="Courier New"/>
          <w:color w:val="1F3864"/>
          <w:sz w:val="20"/>
          <w:szCs w:val="20"/>
        </w:rPr>
        <w:t xml:space="preserve">    i.category_name,</w:t>
      </w:r>
    </w:p>
    <w:p>
      <w:pPr>
        <w:shd w:fill="F4F4F4" w:val="clear"/>
        <w:spacing w:after="0" w:line="280"/>
        <w:ind w:left="720"/>
      </w:pPr>
      <w:r>
        <w:rPr>
          <w:rFonts w:ascii="Courier New" w:cs="Courier New" w:eastAsia="Courier New" w:hAnsi="Courier New"/>
          <w:color w:val="1F3864"/>
          <w:sz w:val="20"/>
          <w:szCs w:val="20"/>
        </w:rPr>
        <w:t xml:space="preserve">    i.product_id,</w:t>
      </w:r>
    </w:p>
    <w:p>
      <w:pPr>
        <w:shd w:fill="F4F4F4" w:val="clear"/>
        <w:spacing w:after="0" w:line="280"/>
        <w:ind w:left="720"/>
      </w:pPr>
      <w:r>
        <w:rPr>
          <w:rFonts w:ascii="Courier New" w:cs="Courier New" w:eastAsia="Courier New" w:hAnsi="Courier New"/>
          <w:color w:val="1F3864"/>
          <w:sz w:val="20"/>
          <w:szCs w:val="20"/>
        </w:rPr>
        <w:t xml:space="preserve">    SUM(f.price) AS total_revenue,</w:t>
      </w:r>
    </w:p>
    <w:p>
      <w:pPr>
        <w:shd w:fill="F4F4F4" w:val="clear"/>
        <w:spacing w:after="0" w:line="280"/>
        <w:ind w:left="720"/>
      </w:pPr>
      <w:r>
        <w:rPr>
          <w:rFonts w:ascii="Courier New" w:cs="Courier New" w:eastAsia="Courier New" w:hAnsi="Courier New"/>
          <w:color w:val="1F3864"/>
          <w:sz w:val="20"/>
          <w:szCs w:val="20"/>
        </w:rPr>
        <w:t xml:space="preserve">    RANK() OVER (</w:t>
      </w:r>
    </w:p>
    <w:p>
      <w:pPr>
        <w:shd w:fill="F4F4F4" w:val="clear"/>
        <w:spacing w:after="0" w:line="280"/>
        <w:ind w:left="720"/>
      </w:pPr>
      <w:r>
        <w:rPr>
          <w:rFonts w:ascii="Courier New" w:cs="Courier New" w:eastAsia="Courier New" w:hAnsi="Courier New"/>
          <w:color w:val="1F3864"/>
          <w:sz w:val="20"/>
          <w:szCs w:val="20"/>
        </w:rPr>
        <w:t xml:space="preserve">      PARTITION BY i.category_name</w:t>
      </w:r>
    </w:p>
    <w:p>
      <w:pPr>
        <w:shd w:fill="F4F4F4" w:val="clear"/>
        <w:spacing w:after="0" w:line="280"/>
        <w:ind w:left="720"/>
      </w:pPr>
      <w:r>
        <w:rPr>
          <w:rFonts w:ascii="Courier New" w:cs="Courier New" w:eastAsia="Courier New" w:hAnsi="Courier New"/>
          <w:color w:val="1F3864"/>
          <w:sz w:val="20"/>
          <w:szCs w:val="20"/>
        </w:rPr>
        <w:t xml:space="preserve">      ORDER BY SUM(f.price) DESC</w:t>
      </w:r>
    </w:p>
    <w:p>
      <w:pPr>
        <w:shd w:fill="F4F4F4" w:val="clear"/>
        <w:spacing w:after="0" w:line="280"/>
        <w:ind w:left="720"/>
      </w:pPr>
      <w:r>
        <w:rPr>
          <w:rFonts w:ascii="Courier New" w:cs="Courier New" w:eastAsia="Courier New" w:hAnsi="Courier New"/>
          <w:color w:val="1F3864"/>
          <w:sz w:val="20"/>
          <w:szCs w:val="20"/>
        </w:rPr>
        <w:t xml:space="preserve">    ) AS rank</w:t>
      </w:r>
    </w:p>
    <w:p>
      <w:pPr>
        <w:shd w:fill="F4F4F4" w:val="clear"/>
        <w:spacing w:after="0" w:line="280"/>
        <w:ind w:left="720"/>
      </w:pPr>
      <w:r>
        <w:rPr>
          <w:rFonts w:ascii="Courier New" w:cs="Courier New" w:eastAsia="Courier New" w:hAnsi="Courier New"/>
          <w:color w:val="1F3864"/>
          <w:sz w:val="20"/>
          <w:szCs w:val="20"/>
        </w:rPr>
        <w:t xml:space="preserve">  FROM fact_order_item f</w:t>
      </w:r>
    </w:p>
    <w:p>
      <w:pPr>
        <w:shd w:fill="F4F4F4" w:val="clear"/>
        <w:spacing w:after="0" w:line="280"/>
        <w:ind w:left="720"/>
      </w:pPr>
      <w:r>
        <w:rPr>
          <w:rFonts w:ascii="Courier New" w:cs="Courier New" w:eastAsia="Courier New" w:hAnsi="Courier New"/>
          <w:color w:val="1F3864"/>
          <w:sz w:val="20"/>
          <w:szCs w:val="20"/>
        </w:rPr>
        <w:t xml:space="preserve">  JOIN dim_item i ON f.item_key = i.item_key</w:t>
      </w:r>
    </w:p>
    <w:p>
      <w:pPr>
        <w:shd w:fill="F4F4F4" w:val="clear"/>
        <w:spacing w:after="0" w:line="280"/>
        <w:ind w:left="720"/>
      </w:pPr>
      <w:r>
        <w:rPr>
          <w:rFonts w:ascii="Courier New" w:cs="Courier New" w:eastAsia="Courier New" w:hAnsi="Courier New"/>
          <w:color w:val="1F3864"/>
          <w:sz w:val="20"/>
          <w:szCs w:val="20"/>
        </w:rPr>
        <w:t xml:space="preserve">  GROUP BY i.category_name, i.product_id</w:t>
      </w:r>
    </w:p>
    <w:p>
      <w:pPr>
        <w:shd w:fill="F4F4F4" w:val="clear"/>
        <w:spacing w:after="0" w:line="280"/>
        <w:ind w:left="720"/>
      </w:pPr>
      <w:r>
        <w:rPr>
          <w:rFonts w:ascii="Courier New" w:cs="Courier New" w:eastAsia="Courier New" w:hAnsi="Courier New"/>
          <w:color w:val="1F3864"/>
          <w:sz w:val="20"/>
          <w:szCs w:val="20"/>
        </w:rPr>
        <w:t xml:space="preserve">) ranked</w:t>
      </w:r>
    </w:p>
    <w:p>
      <w:pPr>
        <w:shd w:fill="F4F4F4" w:val="clear"/>
        <w:spacing w:after="0" w:line="280"/>
        <w:ind w:left="720"/>
      </w:pPr>
      <w:r>
        <w:rPr>
          <w:rFonts w:ascii="Courier New" w:cs="Courier New" w:eastAsia="Courier New" w:hAnsi="Courier New"/>
          <w:color w:val="1F3864"/>
          <w:sz w:val="20"/>
          <w:szCs w:val="20"/>
        </w:rPr>
        <w:t xml:space="preserve">WHERE rank &lt;= 3</w:t>
      </w:r>
    </w:p>
    <w:p>
      <w:pPr>
        <w:shd w:fill="F4F4F4" w:val="clear"/>
        <w:spacing w:after="0" w:line="280"/>
        <w:ind w:left="720"/>
      </w:pPr>
      <w:r>
        <w:rPr>
          <w:rFonts w:ascii="Courier New" w:cs="Courier New" w:eastAsia="Courier New" w:hAnsi="Courier New"/>
          <w:color w:val="1F3864"/>
          <w:sz w:val="20"/>
          <w:szCs w:val="20"/>
        </w:rPr>
        <w:t xml:space="preserve">ORDER BY category_name, rank;</w:t>
      </w:r>
    </w:p>
    <w:p>
      <w:pPr>
        <w:spacing w:after="120"/>
      </w:pPr>
    </w:p>
    <w:p>
      <w:pPr>
        <w:spacing w:after="160" w:line="360"/>
      </w:pPr>
      <w:r>
        <w:rPr>
          <w:rFonts w:ascii="Arial" w:cs="Arial" w:eastAsia="Arial" w:hAnsi="Arial"/>
          <w:sz w:val="24"/>
          <w:szCs w:val="24"/>
        </w:rPr>
        <w:t xml:space="preserve">This query uses a subquery with a window function to rank products within each category by their total revenue, then filters to only the top 3 per category. The result is displayed as a table in Metabase, with columns for category name, product ID, total revenue, and rank. A table is the appropriate format here because the goal is to provide a detailed lookup — viewers can find a specific category and see which individual products within it are performing best.</w:t>
      </w:r>
    </w:p>
    <w:p>
      <w:pPr>
        <w:pStyle w:val="Heading3"/>
      </w:pPr>
      <w:r>
        <w:t xml:space="preserve">5.5.6 Customer Purchase Behavior (Bar Chart)</w:t>
      </w:r>
    </w:p>
    <w:p>
      <w:pPr>
        <w:spacing w:after="160" w:line="360"/>
      </w:pPr>
      <w:r>
        <w:rPr>
          <w:rFonts w:ascii="Arial" w:cs="Arial" w:eastAsia="Arial" w:hAnsi="Arial"/>
          <w:sz w:val="24"/>
          <w:szCs w:val="24"/>
        </w:rPr>
        <w:t xml:space="preserve">The customer behavior analysis classifies customers into two groups — one-time buyers and repeat buyers — and compares their counts and total revenue contributions. This is one of the three core analyses required by the project and provides insight into customer loyalty and retention.</w:t>
      </w:r>
    </w:p>
    <w:p>
      <w:pPr>
        <w:spacing w:after="160" w:line="360"/>
      </w:pPr>
      <w:r>
        <w:rPr>
          <w:rFonts w:ascii="Arial" w:cs="Arial" w:eastAsia="Arial" w:hAnsi="Arial"/>
          <w:sz w:val="24"/>
          <w:szCs w:val="24"/>
        </w:rPr>
        <w:t xml:space="preserve">Like the top-3-per-category analysis, this requires SQL that cannot be expressed in the visual query builder, as it involves aggregating at two levels (first at the customer-order level, then categorizing customers by order count). The query is:</w:t>
      </w:r>
    </w:p>
    <w:p>
      <w:pPr>
        <w:shd w:fill="F4F4F4" w:val="clear"/>
        <w:spacing w:after="0" w:line="280"/>
        <w:ind w:left="720"/>
      </w:pPr>
      <w:r>
        <w:rPr>
          <w:rFonts w:ascii="Courier New" w:cs="Courier New" w:eastAsia="Courier New" w:hAnsi="Courier New"/>
          <w:color w:val="1F3864"/>
          <w:sz w:val="20"/>
          <w:szCs w:val="20"/>
        </w:rPr>
        <w:t xml:space="preserve">SELECT</w:t>
      </w:r>
    </w:p>
    <w:p>
      <w:pPr>
        <w:shd w:fill="F4F4F4" w:val="clear"/>
        <w:spacing w:after="0" w:line="280"/>
        <w:ind w:left="720"/>
      </w:pPr>
      <w:r>
        <w:rPr>
          <w:rFonts w:ascii="Courier New" w:cs="Courier New" w:eastAsia="Courier New" w:hAnsi="Courier New"/>
          <w:color w:val="1F3864"/>
          <w:sz w:val="20"/>
          <w:szCs w:val="20"/>
        </w:rPr>
        <w:t xml:space="preserve">  customer_type,</w:t>
      </w:r>
    </w:p>
    <w:p>
      <w:pPr>
        <w:shd w:fill="F4F4F4" w:val="clear"/>
        <w:spacing w:after="0" w:line="280"/>
        <w:ind w:left="720"/>
      </w:pPr>
      <w:r>
        <w:rPr>
          <w:rFonts w:ascii="Courier New" w:cs="Courier New" w:eastAsia="Courier New" w:hAnsi="Courier New"/>
          <w:color w:val="1F3864"/>
          <w:sz w:val="20"/>
          <w:szCs w:val="20"/>
        </w:rPr>
        <w:t xml:space="preserve">  COUNT(*) AS customer_count,</w:t>
      </w:r>
    </w:p>
    <w:p>
      <w:pPr>
        <w:shd w:fill="F4F4F4" w:val="clear"/>
        <w:spacing w:after="0" w:line="280"/>
        <w:ind w:left="720"/>
      </w:pPr>
      <w:r>
        <w:rPr>
          <w:rFonts w:ascii="Courier New" w:cs="Courier New" w:eastAsia="Courier New" w:hAnsi="Courier New"/>
          <w:color w:val="1F3864"/>
          <w:sz w:val="20"/>
          <w:szCs w:val="20"/>
        </w:rPr>
        <w:t xml:space="preserve">  SUM(total_spent) AS total_revenue</w:t>
      </w:r>
    </w:p>
    <w:p>
      <w:pPr>
        <w:shd w:fill="F4F4F4" w:val="clear"/>
        <w:spacing w:after="0" w:line="280"/>
        <w:ind w:left="720"/>
      </w:pPr>
      <w:r>
        <w:rPr>
          <w:rFonts w:ascii="Courier New" w:cs="Courier New" w:eastAsia="Courier New" w:hAnsi="Courier New"/>
          <w:color w:val="1F3864"/>
          <w:sz w:val="20"/>
          <w:szCs w:val="20"/>
        </w:rPr>
        <w:t xml:space="preserve">FROM (</w:t>
      </w:r>
    </w:p>
    <w:p>
      <w:pPr>
        <w:shd w:fill="F4F4F4" w:val="clear"/>
        <w:spacing w:after="0" w:line="280"/>
        <w:ind w:left="720"/>
      </w:pPr>
      <w:r>
        <w:rPr>
          <w:rFonts w:ascii="Courier New" w:cs="Courier New" w:eastAsia="Courier New" w:hAnsi="Courier New"/>
          <w:color w:val="1F3864"/>
          <w:sz w:val="20"/>
          <w:szCs w:val="20"/>
        </w:rPr>
        <w:t xml:space="preserve">  SELECT</w:t>
      </w:r>
    </w:p>
    <w:p>
      <w:pPr>
        <w:shd w:fill="F4F4F4" w:val="clear"/>
        <w:spacing w:after="0" w:line="280"/>
        <w:ind w:left="720"/>
      </w:pPr>
      <w:r>
        <w:rPr>
          <w:rFonts w:ascii="Courier New" w:cs="Courier New" w:eastAsia="Courier New" w:hAnsi="Courier New"/>
          <w:color w:val="1F3864"/>
          <w:sz w:val="20"/>
          <w:szCs w:val="20"/>
        </w:rPr>
        <w:t xml:space="preserve">    c.customer_unique_id,</w:t>
      </w:r>
    </w:p>
    <w:p>
      <w:pPr>
        <w:shd w:fill="F4F4F4" w:val="clear"/>
        <w:spacing w:after="0" w:line="280"/>
        <w:ind w:left="720"/>
      </w:pPr>
      <w:r>
        <w:rPr>
          <w:rFonts w:ascii="Courier New" w:cs="Courier New" w:eastAsia="Courier New" w:hAnsi="Courier New"/>
          <w:color w:val="1F3864"/>
          <w:sz w:val="20"/>
          <w:szCs w:val="20"/>
        </w:rPr>
        <w:t xml:space="preserve">    COUNT(DISTINCT f.order_id) AS order_count,</w:t>
      </w:r>
    </w:p>
    <w:p>
      <w:pPr>
        <w:shd w:fill="F4F4F4" w:val="clear"/>
        <w:spacing w:after="0" w:line="280"/>
        <w:ind w:left="720"/>
      </w:pPr>
      <w:r>
        <w:rPr>
          <w:rFonts w:ascii="Courier New" w:cs="Courier New" w:eastAsia="Courier New" w:hAnsi="Courier New"/>
          <w:color w:val="1F3864"/>
          <w:sz w:val="20"/>
          <w:szCs w:val="20"/>
        </w:rPr>
        <w:t xml:space="preserve">    SUM(f.price) AS total_spent,</w:t>
      </w:r>
    </w:p>
    <w:p>
      <w:pPr>
        <w:shd w:fill="F4F4F4" w:val="clear"/>
        <w:spacing w:after="0" w:line="280"/>
        <w:ind w:left="720"/>
      </w:pPr>
      <w:r>
        <w:rPr>
          <w:rFonts w:ascii="Courier New" w:cs="Courier New" w:eastAsia="Courier New" w:hAnsi="Courier New"/>
          <w:color w:val="1F3864"/>
          <w:sz w:val="20"/>
          <w:szCs w:val="20"/>
        </w:rPr>
        <w:t xml:space="preserve">    CASE</w:t>
      </w:r>
    </w:p>
    <w:p>
      <w:pPr>
        <w:shd w:fill="F4F4F4" w:val="clear"/>
        <w:spacing w:after="0" w:line="280"/>
        <w:ind w:left="720"/>
      </w:pPr>
      <w:r>
        <w:rPr>
          <w:rFonts w:ascii="Courier New" w:cs="Courier New" w:eastAsia="Courier New" w:hAnsi="Courier New"/>
          <w:color w:val="1F3864"/>
          <w:sz w:val="20"/>
          <w:szCs w:val="20"/>
        </w:rPr>
        <w:t xml:space="preserve">      WHEN COUNT(DISTINCT f.order_id) = 1 THEN 'One-time Buyer'</w:t>
      </w:r>
    </w:p>
    <w:p>
      <w:pPr>
        <w:shd w:fill="F4F4F4" w:val="clear"/>
        <w:spacing w:after="0" w:line="280"/>
        <w:ind w:left="720"/>
      </w:pPr>
      <w:r>
        <w:rPr>
          <w:rFonts w:ascii="Courier New" w:cs="Courier New" w:eastAsia="Courier New" w:hAnsi="Courier New"/>
          <w:color w:val="1F3864"/>
          <w:sz w:val="20"/>
          <w:szCs w:val="20"/>
        </w:rPr>
        <w:t xml:space="preserve">      ELSE 'Repeat Buyer'</w:t>
      </w:r>
    </w:p>
    <w:p>
      <w:pPr>
        <w:shd w:fill="F4F4F4" w:val="clear"/>
        <w:spacing w:after="0" w:line="280"/>
        <w:ind w:left="720"/>
      </w:pPr>
      <w:r>
        <w:rPr>
          <w:rFonts w:ascii="Courier New" w:cs="Courier New" w:eastAsia="Courier New" w:hAnsi="Courier New"/>
          <w:color w:val="1F3864"/>
          <w:sz w:val="20"/>
          <w:szCs w:val="20"/>
        </w:rPr>
        <w:t xml:space="preserve">    END AS customer_type</w:t>
      </w:r>
    </w:p>
    <w:p>
      <w:pPr>
        <w:shd w:fill="F4F4F4" w:val="clear"/>
        <w:spacing w:after="0" w:line="280"/>
        <w:ind w:left="720"/>
      </w:pPr>
      <w:r>
        <w:rPr>
          <w:rFonts w:ascii="Courier New" w:cs="Courier New" w:eastAsia="Courier New" w:hAnsi="Courier New"/>
          <w:color w:val="1F3864"/>
          <w:sz w:val="20"/>
          <w:szCs w:val="20"/>
        </w:rPr>
        <w:t xml:space="preserve">  FROM fact_order_item f</w:t>
      </w:r>
    </w:p>
    <w:p>
      <w:pPr>
        <w:shd w:fill="F4F4F4" w:val="clear"/>
        <w:spacing w:after="0" w:line="280"/>
        <w:ind w:left="720"/>
      </w:pPr>
      <w:r>
        <w:rPr>
          <w:rFonts w:ascii="Courier New" w:cs="Courier New" w:eastAsia="Courier New" w:hAnsi="Courier New"/>
          <w:color w:val="1F3864"/>
          <w:sz w:val="20"/>
          <w:szCs w:val="20"/>
        </w:rPr>
        <w:t xml:space="preserve">  JOIN dim_customer c ON f.customer_key = c.customer_key</w:t>
      </w:r>
    </w:p>
    <w:p>
      <w:pPr>
        <w:shd w:fill="F4F4F4" w:val="clear"/>
        <w:spacing w:after="0" w:line="280"/>
        <w:ind w:left="720"/>
      </w:pPr>
      <w:r>
        <w:rPr>
          <w:rFonts w:ascii="Courier New" w:cs="Courier New" w:eastAsia="Courier New" w:hAnsi="Courier New"/>
          <w:color w:val="1F3864"/>
          <w:sz w:val="20"/>
          <w:szCs w:val="20"/>
        </w:rPr>
        <w:t xml:space="preserve">  GROUP BY c.customer_unique_id</w:t>
      </w:r>
    </w:p>
    <w:p>
      <w:pPr>
        <w:shd w:fill="F4F4F4" w:val="clear"/>
        <w:spacing w:after="0" w:line="280"/>
        <w:ind w:left="720"/>
      </w:pPr>
      <w:r>
        <w:rPr>
          <w:rFonts w:ascii="Courier New" w:cs="Courier New" w:eastAsia="Courier New" w:hAnsi="Courier New"/>
          <w:color w:val="1F3864"/>
          <w:sz w:val="20"/>
          <w:szCs w:val="20"/>
        </w:rPr>
        <w:t xml:space="preserve">) customer_summary</w:t>
      </w:r>
    </w:p>
    <w:p>
      <w:pPr>
        <w:shd w:fill="F4F4F4" w:val="clear"/>
        <w:spacing w:after="0" w:line="280"/>
        <w:ind w:left="720"/>
      </w:pPr>
      <w:r>
        <w:rPr>
          <w:rFonts w:ascii="Courier New" w:cs="Courier New" w:eastAsia="Courier New" w:hAnsi="Courier New"/>
          <w:color w:val="1F3864"/>
          <w:sz w:val="20"/>
          <w:szCs w:val="20"/>
        </w:rPr>
        <w:t xml:space="preserve">GROUP BY customer_type;</w:t>
      </w:r>
    </w:p>
    <w:p>
      <w:pPr>
        <w:spacing w:after="120"/>
      </w:pPr>
    </w:p>
    <w:p>
      <w:pPr>
        <w:spacing w:after="160" w:line="360"/>
      </w:pPr>
      <w:r>
        <w:rPr>
          <w:rFonts w:ascii="Arial" w:cs="Arial" w:eastAsia="Arial" w:hAnsi="Arial"/>
          <w:sz w:val="24"/>
          <w:szCs w:val="24"/>
        </w:rPr>
        <w:t xml:space="preserve">The inner query aggregates at the customer level, counting distinct orders per customer and labeling each customer as a one-time buyer (exactly one order) or a repeat buyer (more than one order). The outer query then groups by customer type to produce two summary rows: total number of customers in each group and their combined revenue.</w:t>
      </w:r>
    </w:p>
    <w:p>
      <w:pPr>
        <w:spacing w:after="160" w:line="360"/>
      </w:pPr>
      <w:r>
        <w:rPr>
          <w:rFonts w:ascii="Arial" w:cs="Arial" w:eastAsia="Arial" w:hAnsi="Arial"/>
          <w:sz w:val="24"/>
          <w:szCs w:val="24"/>
        </w:rPr>
        <w:t xml:space="preserve">The result is displayed as a grouped bar chart showing both customer count and revenue for each customer type side by side. This allows the viewer to see not just how many customers fall into each category, but how their revenue contributions compare — an important distinction, since repeat buyers may be fewer in number but generate disproportionately more revenue per customer.</w:t>
      </w:r>
    </w:p>
    <w:p>
      <w:pPr>
        <w:pStyle w:val="Heading2"/>
      </w:pPr>
      <w:r>
        <w:t xml:space="preserve">5.6 Dashboard Layout and Organization</w:t>
      </w:r>
    </w:p>
    <w:p>
      <w:pPr>
        <w:spacing w:after="160" w:line="360"/>
      </w:pPr>
      <w:r>
        <w:rPr>
          <w:rFonts w:ascii="Arial" w:cs="Arial" w:eastAsia="Arial" w:hAnsi="Arial"/>
          <w:sz w:val="24"/>
          <w:szCs w:val="24"/>
        </w:rPr>
        <w:t xml:space="preserve">The six visualizations are assembled into a single Metabase dashboard and organized into a logical reading flow. The layout follows the principle of progressive detail — starting with the highest-level summary at the top and moving to more granular analyses further down:</w:t>
      </w:r>
    </w:p>
    <w:p>
      <w:pPr>
        <w:pStyle w:val="ListParagraph"/>
        <w:numPr>
          <w:ilvl w:val="0"/>
          <w:numId w:val="2"/>
        </w:numPr>
        <w:spacing w:after="100" w:line="360"/>
      </w:pPr>
      <w:r>
        <w:rPr>
          <w:rFonts w:ascii="Arial" w:cs="Arial" w:eastAsia="Arial" w:hAnsi="Arial"/>
          <w:b/>
          <w:bCs/>
          <w:sz w:val="24"/>
          <w:szCs w:val="24"/>
        </w:rPr>
        <w:t xml:space="preserve">Row 1 — KPI Cards: </w:t>
      </w:r>
      <w:r>
        <w:rPr>
          <w:rFonts w:ascii="Arial" w:cs="Arial" w:eastAsia="Arial" w:hAnsi="Arial"/>
          <w:b w:val="false"/>
          <w:bCs w:val="false"/>
          <w:sz w:val="24"/>
          <w:szCs w:val="24"/>
        </w:rPr>
        <w:t xml:space="preserve">Total revenue and total orders displayed as large single-number cards spanning the full width. These provide immediate context for everything that follows.</w:t>
      </w:r>
    </w:p>
    <w:p>
      <w:pPr>
        <w:pStyle w:val="ListParagraph"/>
        <w:numPr>
          <w:ilvl w:val="0"/>
          <w:numId w:val="2"/>
        </w:numPr>
        <w:spacing w:after="100" w:line="360"/>
      </w:pPr>
      <w:r>
        <w:rPr>
          <w:rFonts w:ascii="Arial" w:cs="Arial" w:eastAsia="Arial" w:hAnsi="Arial"/>
          <w:b/>
          <w:bCs/>
          <w:sz w:val="24"/>
          <w:szCs w:val="24"/>
        </w:rPr>
        <w:t xml:space="preserve">Row 2 — Time Trend: </w:t>
      </w:r>
      <w:r>
        <w:rPr>
          <w:rFonts w:ascii="Arial" w:cs="Arial" w:eastAsia="Arial" w:hAnsi="Arial"/>
          <w:b w:val="false"/>
          <w:bCs w:val="false"/>
          <w:sz w:val="24"/>
          <w:szCs w:val="24"/>
        </w:rPr>
        <w:t xml:space="preserve">The monthly revenue line chart occupies the full width of the second row, giving it sufficient horizontal space for the time axis to be readable.</w:t>
      </w:r>
    </w:p>
    <w:p>
      <w:pPr>
        <w:pStyle w:val="ListParagraph"/>
        <w:numPr>
          <w:ilvl w:val="0"/>
          <w:numId w:val="2"/>
        </w:numPr>
        <w:spacing w:after="100" w:line="360"/>
      </w:pPr>
      <w:r>
        <w:rPr>
          <w:rFonts w:ascii="Arial" w:cs="Arial" w:eastAsia="Arial" w:hAnsi="Arial"/>
          <w:b/>
          <w:bCs/>
          <w:sz w:val="24"/>
          <w:szCs w:val="24"/>
        </w:rPr>
        <w:t xml:space="preserve">Row 3 — Geography and Products: </w:t>
      </w:r>
      <w:r>
        <w:rPr>
          <w:rFonts w:ascii="Arial" w:cs="Arial" w:eastAsia="Arial" w:hAnsi="Arial"/>
          <w:b w:val="false"/>
          <w:bCs w:val="false"/>
          <w:sz w:val="24"/>
          <w:szCs w:val="24"/>
        </w:rPr>
        <w:t xml:space="preserve">The state revenue map and the top 10 categories bar chart are placed side by side, allowing geographic and product-level insights to be compared at the same level.</w:t>
      </w:r>
    </w:p>
    <w:p>
      <w:pPr>
        <w:pStyle w:val="ListParagraph"/>
        <w:numPr>
          <w:ilvl w:val="0"/>
          <w:numId w:val="2"/>
        </w:numPr>
        <w:spacing w:after="100" w:line="360"/>
      </w:pPr>
      <w:r>
        <w:rPr>
          <w:rFonts w:ascii="Arial" w:cs="Arial" w:eastAsia="Arial" w:hAnsi="Arial"/>
          <w:b/>
          <w:bCs/>
          <w:sz w:val="24"/>
          <w:szCs w:val="24"/>
        </w:rPr>
        <w:t xml:space="preserve">Row 4 — Detailed Breakdowns: </w:t>
      </w:r>
      <w:r>
        <w:rPr>
          <w:rFonts w:ascii="Arial" w:cs="Arial" w:eastAsia="Arial" w:hAnsi="Arial"/>
          <w:b w:val="false"/>
          <w:bCs w:val="false"/>
          <w:sz w:val="24"/>
          <w:szCs w:val="24"/>
        </w:rPr>
        <w:t xml:space="preserve">The top 3 products per category table and the customer behavior chart sit in the final row, providing the most detailed and analytical views for users who want to go beyond the summary level.</w:t>
      </w:r>
    </w:p>
    <w:p>
      <w:pPr>
        <w:spacing w:after="120"/>
      </w:pPr>
    </w:p>
    <w:p>
      <w:pPr>
        <w:spacing w:after="160" w:line="360"/>
      </w:pPr>
      <w:r>
        <w:rPr>
          <w:rFonts w:ascii="Arial" w:cs="Arial" w:eastAsia="Arial" w:hAnsi="Arial"/>
          <w:sz w:val="24"/>
          <w:szCs w:val="24"/>
        </w:rPr>
        <w:t xml:space="preserve">Metabase's dashboard editor allows cards to be freely resized and repositioned using a drag-and-drop interface. Cards can also be given descriptive titles and optional text descriptions that provide context for viewers who may not be familiar with the underlying data. All six cards are given clear, plain-English titles so that the dashboard is self-explanatory to any business user, not just the team that built it.</w:t>
      </w:r>
    </w:p>
    <w:p>
      <w:pPr>
        <w:pStyle w:val="Heading2"/>
      </w:pPr>
      <w:r>
        <w:t xml:space="preserve">5.7 Interactivity and Filtering</w:t>
      </w:r>
    </w:p>
    <w:p>
      <w:pPr>
        <w:spacing w:after="160" w:line="360"/>
      </w:pPr>
      <w:r>
        <w:rPr>
          <w:rFonts w:ascii="Arial" w:cs="Arial" w:eastAsia="Arial" w:hAnsi="Arial"/>
          <w:sz w:val="24"/>
          <w:szCs w:val="24"/>
        </w:rPr>
        <w:t xml:space="preserve">One of Metabase's key features is the ability to add dashboard-level filters that apply simultaneously to multiple charts. For this dashboard, two filters were configured:</w:t>
      </w:r>
    </w:p>
    <w:p>
      <w:pPr>
        <w:pStyle w:val="ListParagraph"/>
        <w:numPr>
          <w:ilvl w:val="0"/>
          <w:numId w:val="2"/>
        </w:numPr>
        <w:spacing w:after="100" w:line="360"/>
      </w:pPr>
      <w:r>
        <w:rPr>
          <w:rFonts w:ascii="Arial" w:cs="Arial" w:eastAsia="Arial" w:hAnsi="Arial"/>
          <w:b/>
          <w:bCs/>
          <w:sz w:val="24"/>
          <w:szCs w:val="24"/>
        </w:rPr>
        <w:t xml:space="preserve">Year filter: </w:t>
      </w:r>
      <w:r>
        <w:rPr>
          <w:rFonts w:ascii="Arial" w:cs="Arial" w:eastAsia="Arial" w:hAnsi="Arial"/>
          <w:b w:val="false"/>
          <w:bCs w:val="false"/>
          <w:sz w:val="24"/>
          <w:szCs w:val="24"/>
        </w:rPr>
        <w:t xml:space="preserve">A dropdown filter connected to the year column of dim_order_time. Selecting a specific year (2016, 2017, or 2018) updates the revenue trend, map, and product ranking charts to show data for only that year, allowing year-over-year comparisons.</w:t>
      </w:r>
    </w:p>
    <w:p>
      <w:pPr>
        <w:pStyle w:val="ListParagraph"/>
        <w:numPr>
          <w:ilvl w:val="0"/>
          <w:numId w:val="2"/>
        </w:numPr>
        <w:spacing w:after="100" w:line="360"/>
      </w:pPr>
      <w:r>
        <w:rPr>
          <w:rFonts w:ascii="Arial" w:cs="Arial" w:eastAsia="Arial" w:hAnsi="Arial"/>
          <w:b/>
          <w:bCs/>
          <w:sz w:val="24"/>
          <w:szCs w:val="24"/>
        </w:rPr>
        <w:t xml:space="preserve">State filter: </w:t>
      </w:r>
      <w:r>
        <w:rPr>
          <w:rFonts w:ascii="Arial" w:cs="Arial" w:eastAsia="Arial" w:hAnsi="Arial"/>
          <w:b w:val="false"/>
          <w:bCs w:val="false"/>
          <w:sz w:val="24"/>
          <w:szCs w:val="24"/>
        </w:rPr>
        <w:t xml:space="preserve">A text input filter connected to the state column of dim_region. Entering a state code (e.g., SP for São Paulo) filters all relevant charts to show only orders from customers in that state, enabling regional deep-dives.</w:t>
      </w:r>
    </w:p>
    <w:p>
      <w:pPr>
        <w:spacing w:after="120"/>
      </w:pPr>
    </w:p>
    <w:p>
      <w:pPr>
        <w:spacing w:after="160" w:line="360"/>
      </w:pPr>
      <w:r>
        <w:rPr>
          <w:rFonts w:ascii="Arial" w:cs="Arial" w:eastAsia="Arial" w:hAnsi="Arial"/>
          <w:sz w:val="24"/>
          <w:szCs w:val="24"/>
        </w:rPr>
        <w:t xml:space="preserve">These filters work by passing filter parameters to each connected question at query time, effectively adding WHERE clauses to the underlying SQL. They make the dashboard interactive and reusable — rather than building separate dashboards for each year or region, a single dashboard with filters can answer a wide range of business questions dynamically.</w:t>
      </w:r>
    </w:p>
    <w:p>
      <w:pPr>
        <w:spacing w:after="160" w:line="360"/>
      </w:pPr>
      <w:r>
        <w:rPr>
          <w:rFonts w:ascii="Arial" w:cs="Arial" w:eastAsia="Arial" w:hAnsi="Arial"/>
          <w:sz w:val="24"/>
          <w:szCs w:val="24"/>
        </w:rPr>
        <w:t xml:space="preserve">In addition to dashboard-level filters, individual charts in Metabase support click-through behavior: clicking on a data point (such as a bar in the revenue chart or a region on the map) can drill through to a more detailed view or trigger a filtered version of another question. This makes the dashboard explorable, not just static.</w:t>
      </w:r>
    </w:p>
    <w:p>
      <w:pPr>
        <w:pStyle w:val="Heading2"/>
      </w:pPr>
      <w:r>
        <w:t xml:space="preserve">5.8 Summary</w:t>
      </w:r>
    </w:p>
    <w:p>
      <w:pPr>
        <w:spacing w:after="160" w:line="360"/>
      </w:pPr>
      <w:r>
        <w:rPr>
          <w:rFonts w:ascii="Arial" w:cs="Arial" w:eastAsia="Arial" w:hAnsi="Arial"/>
          <w:sz w:val="24"/>
          <w:szCs w:val="24"/>
        </w:rPr>
        <w:t xml:space="preserve">The Metabase dashboard represents the culmination of the full BI pipeline — the point at which the data warehouse becomes accessible and useful to business users. The following table summarizes the six visualizations built for this project:</w:t>
      </w:r>
    </w:p>
    <w:p>
      <w:pPr>
        <w:spacing w:after="80" w:before="200"/>
      </w:pPr>
      <w:r>
        <w:rPr>
          <w:rFonts w:ascii="Arial" w:cs="Arial" w:eastAsia="Arial" w:hAnsi="Arial"/>
          <w:b/>
          <w:bCs/>
          <w:i/>
          <w:iCs/>
          <w:color w:val="555555"/>
          <w:sz w:val="22"/>
          <w:szCs w:val="22"/>
        </w:rPr>
        <w:t xml:space="preserve">Table 5.2 — Dashboard visualization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Visualization</w:t>
            </w:r>
          </w:p>
        </w:tc>
        <w:tc>
          <w:tcPr>
            <w:tcW w:type="dxa" w:w="16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Chart Type</w:t>
            </w:r>
          </w:p>
        </w:tc>
        <w:tc>
          <w:tcPr>
            <w:tcW w:type="dxa" w:w="2000"/>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Dimension(s) Used</w:t>
            </w:r>
          </w:p>
        </w:tc>
        <w:tc>
          <w:tcPr>
            <w:tcW w:type="dxa" w:w="3026"/>
            <w:tcBorders>
              <w:top w:val="single" w:color="CCCCCC" w:sz="1"/>
              <w:left w:val="single" w:color="CCCCCC" w:sz="1"/>
              <w:bottom w:val="single" w:color="CCCCCC" w:sz="1"/>
              <w:right w:val="single" w:color="CCCCCC" w:sz="1"/>
            </w:tcBorders>
            <w:shd w:fill="2E5496" w:val="clear"/>
            <w:tcMar>
              <w:top w:type="dxa" w:w="100"/>
              <w:left w:type="dxa" w:w="150"/>
              <w:bottom w:type="dxa" w:w="100"/>
              <w:right w:type="dxa" w:w="150"/>
            </w:tcMar>
          </w:tcPr>
          <w:p>
            <w:r>
              <w:rPr>
                <w:rFonts w:ascii="Arial" w:cs="Arial" w:eastAsia="Arial" w:hAnsi="Arial"/>
                <w:b/>
                <w:bCs/>
                <w:color w:val="FFFFFF"/>
                <w:sz w:val="22"/>
                <w:szCs w:val="22"/>
              </w:rPr>
              <w:t xml:space="preserve">Metric</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KPI Cards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Number Card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Total revenue, total orders</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Monthly Revenue Trend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Line Chart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dim_order_time (year, month)</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SUM(price)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Revenue by State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dim_region (state, lat, lng)</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SUM(price)</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Top 10 Categories</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Bar Chart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dim_item (category_name)</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SUM(price)</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Top 3 per Category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Table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dim_item (category, product_id)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SUM(price) + RANK()</w:t>
            </w:r>
          </w:p>
        </w:tc>
      </w:tr>
      <w:tr>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Customer Behavior</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Bar Chart</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dim_customer (unique_id)</w:t>
            </w:r>
          </w:p>
        </w:tc>
        <w:tc>
          <w:tcPr>
            <w:tcBorders>
              <w:top w:val="single" w:color="CCCCCC" w:sz="1"/>
              <w:left w:val="single" w:color="CCCCCC" w:sz="1"/>
              <w:bottom w:val="single" w:color="CCCCCC" w:sz="1"/>
              <w:right w:val="single" w:color="CCCCCC" w:sz="1"/>
            </w:tcBorders>
            <w:shd w:fill="EEF2F9" w:val="clear"/>
            <w:tcMar>
              <w:top w:type="dxa" w:w="100"/>
              <w:left w:type="dxa" w:w="150"/>
              <w:bottom w:type="dxa" w:w="100"/>
              <w:right w:type="dxa" w:w="150"/>
            </w:tcMar>
          </w:tcPr>
          <w:p>
            <w:r>
              <w:rPr>
                <w:rFonts w:ascii="Arial" w:cs="Arial" w:eastAsia="Arial" w:hAnsi="Arial"/>
                <w:sz w:val="22"/>
                <w:szCs w:val="22"/>
              </w:rPr>
              <w:t xml:space="preserve">COUNT + SUM(price) by type</w:t>
            </w:r>
          </w:p>
        </w:tc>
      </w:tr>
    </w:tbl>
    <w:p>
      <w:pPr>
        <w:spacing w:after="160"/>
      </w:pPr>
    </w:p>
    <w:p>
      <w:pPr>
        <w:spacing w:after="160" w:line="360"/>
      </w:pPr>
      <w:r>
        <w:rPr>
          <w:rFonts w:ascii="Arial" w:cs="Arial" w:eastAsia="Arial" w:hAnsi="Arial"/>
          <w:sz w:val="24"/>
          <w:szCs w:val="24"/>
        </w:rPr>
        <w:t xml:space="preserve">Together, these six visualizations address all three core requirements of the project — top-selling products, monthly revenue trends, and customer purchase behavior — while adding geographic context and detailed product-level breakdowns that enrich the analytical picture. With the dashboard in place, the next chapter proceeds to interpret the insights that emerge from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2026-06-11T07:20:17.167Z</dcterms:created>
  <dcterms:modified xsi:type="dcterms:W3CDTF">2026-06-11T07:20:17.180Z</dcterms:modified>
</cp:coreProperties>
</file>

<file path=docProps/custom.xml><?xml version="1.0" encoding="utf-8"?>
<Properties xmlns="http://schemas.openxmlformats.org/officeDocument/2006/custom-properties" xmlns:vt="http://schemas.openxmlformats.org/officeDocument/2006/docPropsVTypes"/>
</file>