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6: Insight Analysis</w:t>
      </w:r>
    </w:p>
    <w:p>
      <w:pPr>
        <w:pStyle w:val="Heading2"/>
      </w:pPr>
      <w:r>
        <w:t xml:space="preserve">6.1 Introduction</w:t>
      </w:r>
    </w:p>
    <w:p>
      <w:pPr>
        <w:spacing w:after="160" w:line="360"/>
      </w:pPr>
      <w:r>
        <w:rPr>
          <w:rFonts w:ascii="Arial" w:cs="Arial" w:eastAsia="Arial" w:hAnsi="Arial"/>
          <w:sz w:val="24"/>
          <w:szCs w:val="24"/>
        </w:rPr>
        <w:t xml:space="preserve">The purpose of a Business Intelligence system is not merely to store and display data — it is to generate actionable insights that can inform real business decisions. With the data warehouse populated and the dashboard constructed, this chapter focuses on interpreting the results produced by the analytical queries described in Chapter 5.</w:t>
      </w:r>
    </w:p>
    <w:p>
      <w:pPr>
        <w:spacing w:after="160" w:line="360"/>
      </w:pPr>
      <w:r>
        <w:rPr>
          <w:rFonts w:ascii="Arial" w:cs="Arial" w:eastAsia="Arial" w:hAnsi="Arial"/>
          <w:sz w:val="24"/>
          <w:szCs w:val="24"/>
        </w:rPr>
        <w:t xml:space="preserve">Each section of this chapter corresponds to one analytical dimension of the e-commerce dataset: revenue trends over time, geographic distribution of sales, customer purchase behavior, and product and category performance. For each area, the findings are presented, explained in context, and translated into business implications — the kind of reasoning that would actually guide decisions in an e-commerce company.</w:t>
      </w:r>
    </w:p>
    <w:p>
      <w:pPr>
        <w:spacing w:after="160" w:line="360"/>
      </w:pPr>
      <w:r>
        <w:rPr>
          <w:rFonts w:ascii="Arial" w:cs="Arial" w:eastAsia="Arial" w:hAnsi="Arial"/>
          <w:sz w:val="24"/>
          <w:szCs w:val="24"/>
        </w:rPr>
        <w:t xml:space="preserve">It is important to note that the dataset covers orders placed between 2016 and 2018, and represents a Brazilian e-commerce marketplace at a specific stage of its growth. The insights should therefore be interpreted in that context, and generalizations to other markets or time periods should be made cautiously. Nevertheless, the patterns revealed are consistent with what is broadly observed in emerging e-commerce markets, giving the findings both local and broader relevance.</w:t>
      </w:r>
    </w:p>
    <w:p>
      <w:pPr>
        <w:pStyle w:val="Heading2"/>
      </w:pPr>
      <w:r>
        <w:t xml:space="preserve">6.2 Monthly Revenue Trend</w:t>
      </w:r>
    </w:p>
    <w:p>
      <w:pPr>
        <w:pStyle w:val="Heading3"/>
      </w:pPr>
      <w:r>
        <w:t xml:space="preserve">6.2.1 Overall Growth Trajectory</w:t>
      </w:r>
    </w:p>
    <w:p>
      <w:pPr>
        <w:spacing w:after="160" w:line="360"/>
      </w:pPr>
      <w:r>
        <w:rPr>
          <w:rFonts w:ascii="Arial" w:cs="Arial" w:eastAsia="Arial" w:hAnsi="Arial"/>
          <w:sz w:val="24"/>
          <w:szCs w:val="24"/>
        </w:rPr>
        <w:t xml:space="preserve">The monthly revenue trend chart reveals a clear and sustained upward growth trajectory from the beginning of 2017 through the first half of 2018. Revenue in early 2017 was modest and relatively flat, reflecting a platform still in an early growth phase. From mid-2017 onwards, a consistent upward trend is visible, with revenue roughly doubling between the first quarter and the third quarter of 2017.</w:t>
      </w:r>
    </w:p>
    <w:p>
      <w:pPr>
        <w:spacing w:after="160" w:line="360"/>
      </w:pPr>
      <w:r>
        <w:rPr>
          <w:rFonts w:ascii="Arial" w:cs="Arial" w:eastAsia="Arial" w:hAnsi="Arial"/>
          <w:sz w:val="24"/>
          <w:szCs w:val="24"/>
        </w:rPr>
        <w:t xml:space="preserve">This pattern is consistent with the general trajectory of Brazilian e-commerce during this period. Brazil experienced significant e-commerce growth between 2016 and 2018, driven by increasing smartphone adoption, improved logistics infrastructure, and growing consumer confidence in online shopping. The Olist dataset reflects this macro trend at the platform level.</w:t>
      </w:r>
    </w:p>
    <w:p>
      <w:pPr>
        <w:spacing w:after="160" w:line="360"/>
      </w:pPr>
      <w:r>
        <w:rPr>
          <w:rFonts w:ascii="Arial" w:cs="Arial" w:eastAsia="Arial" w:hAnsi="Arial"/>
          <w:sz w:val="24"/>
          <w:szCs w:val="24"/>
        </w:rPr>
        <w:t xml:space="preserve">Data from 2016 shows very low volumes and should be treated with caution in trend analysis. As discussed in Chapter 2, 2016 represents Olist's early-stage operations, and the dataset for that year is sparse compared to subsequent years. The meaningful trend analysis therefore focuses on the January 2017 to August 2018 window.</w:t>
      </w:r>
    </w:p>
    <w:p>
      <w:pPr>
        <w:pStyle w:val="Heading3"/>
      </w:pPr>
      <w:r>
        <w:t xml:space="preserve">6.2.2 Seasonal Patterns and Peak Periods</w:t>
      </w:r>
    </w:p>
    <w:p>
      <w:pPr>
        <w:spacing w:after="160" w:line="360"/>
      </w:pPr>
      <w:r>
        <w:rPr>
          <w:rFonts w:ascii="Arial" w:cs="Arial" w:eastAsia="Arial" w:hAnsi="Arial"/>
          <w:sz w:val="24"/>
          <w:szCs w:val="24"/>
        </w:rPr>
        <w:t xml:space="preserve">Within the overall growth trend, two notable revenue spikes are visible. The first and most prominent occurs in November 2017, corresponding to Brazil's Black Friday (Sexta-feira Negra). Black Friday has become one of the most significant retail events in Brazil, with online sales typically surging by a factor of three to five compared to a typical week. The November 2017 spike in the Olist data is consistent with this pattern and represents one of the platform's strongest individual months in the dataset.</w:t>
      </w:r>
    </w:p>
    <w:p>
      <w:pPr>
        <w:spacing w:after="160" w:line="360"/>
      </w:pPr>
      <w:r>
        <w:rPr>
          <w:rFonts w:ascii="Arial" w:cs="Arial" w:eastAsia="Arial" w:hAnsi="Arial"/>
          <w:sz w:val="24"/>
          <w:szCs w:val="24"/>
        </w:rPr>
        <w:t xml:space="preserve">A secondary spike is visible in the first quarter of 2018, particularly around February and March. This may correspond to post-holiday spending, the Brazilian Carnival period (which stimulates certain consumer categories such as clothing and beauty products), or simply the continuation of the strong upward trend from late 2017.</w:t>
      </w:r>
    </w:p>
    <w:p>
      <w:pPr>
        <w:spacing w:after="160" w:line="360"/>
      </w:pPr>
      <w:r>
        <w:rPr>
          <w:rFonts w:ascii="Arial" w:cs="Arial" w:eastAsia="Arial" w:hAnsi="Arial"/>
          <w:sz w:val="24"/>
          <w:szCs w:val="24"/>
        </w:rPr>
        <w:t xml:space="preserve">A slight dip is observable in January 2018 following the November–December 2017 peak. This post-holiday slowdown is a common seasonal pattern in retail globally, and its presence in the data further validates the quality and representativeness of the dataset.</w:t>
      </w:r>
    </w:p>
    <w:p>
      <w:pPr>
        <w:pStyle w:val="Heading3"/>
      </w:pPr>
      <w:r>
        <w:t xml:space="preserve">6.2.3 Business Implications</w:t>
      </w:r>
    </w:p>
    <w:p>
      <w:pPr>
        <w:spacing w:after="160" w:line="360"/>
      </w:pPr>
      <w:r>
        <w:rPr>
          <w:rFonts w:ascii="Arial" w:cs="Arial" w:eastAsia="Arial" w:hAnsi="Arial"/>
          <w:sz w:val="24"/>
          <w:szCs w:val="24"/>
        </w:rPr>
        <w:t xml:space="preserve">The revenue trend analysis yields several actionable implications for an e-commerce platform operator:</w:t>
      </w:r>
    </w:p>
    <w:p>
      <w:pPr>
        <w:pStyle w:val="ListParagraph"/>
        <w:numPr>
          <w:ilvl w:val="0"/>
          <w:numId w:val="2"/>
        </w:numPr>
        <w:spacing w:after="100" w:line="360"/>
      </w:pPr>
      <w:r>
        <w:rPr>
          <w:rFonts w:ascii="Arial" w:cs="Arial" w:eastAsia="Arial" w:hAnsi="Arial"/>
          <w:b/>
          <w:bCs/>
          <w:sz w:val="24"/>
          <w:szCs w:val="24"/>
        </w:rPr>
        <w:t xml:space="preserve">Inventory and logistics planning: </w:t>
      </w:r>
      <w:r>
        <w:rPr>
          <w:rFonts w:ascii="Arial" w:cs="Arial" w:eastAsia="Arial" w:hAnsi="Arial"/>
          <w:b w:val="false"/>
          <w:bCs w:val="false"/>
          <w:sz w:val="24"/>
          <w:szCs w:val="24"/>
        </w:rPr>
        <w:t xml:space="preserve">The November peak is predictable and recurring. Platform operators should increase inventory levels and negotiate additional logistics capacity ahead of Black Friday to avoid stockouts and delivery delays during the highest-revenue period of the year.</w:t>
      </w:r>
    </w:p>
    <w:p>
      <w:pPr>
        <w:pStyle w:val="ListParagraph"/>
        <w:numPr>
          <w:ilvl w:val="0"/>
          <w:numId w:val="2"/>
        </w:numPr>
        <w:spacing w:after="100" w:line="360"/>
      </w:pPr>
      <w:r>
        <w:rPr>
          <w:rFonts w:ascii="Arial" w:cs="Arial" w:eastAsia="Arial" w:hAnsi="Arial"/>
          <w:b/>
          <w:bCs/>
          <w:sz w:val="24"/>
          <w:szCs w:val="24"/>
        </w:rPr>
        <w:t xml:space="preserve">Marketing investment timing: </w:t>
      </w:r>
      <w:r>
        <w:rPr>
          <w:rFonts w:ascii="Arial" w:cs="Arial" w:eastAsia="Arial" w:hAnsi="Arial"/>
          <w:b w:val="false"/>
          <w:bCs w:val="false"/>
          <w:sz w:val="24"/>
          <w:szCs w:val="24"/>
        </w:rPr>
        <w:t xml:space="preserve">The consistent growth from mid-2017 suggests that marketing spend has a compounding effect over time. Investment in customer acquisition during growth periods yields higher long-term returns than during flat periods.</w:t>
      </w:r>
    </w:p>
    <w:p>
      <w:pPr>
        <w:pStyle w:val="ListParagraph"/>
        <w:numPr>
          <w:ilvl w:val="0"/>
          <w:numId w:val="2"/>
        </w:numPr>
        <w:spacing w:after="100" w:line="360"/>
      </w:pPr>
      <w:r>
        <w:rPr>
          <w:rFonts w:ascii="Arial" w:cs="Arial" w:eastAsia="Arial" w:hAnsi="Arial"/>
          <w:b/>
          <w:bCs/>
          <w:sz w:val="24"/>
          <w:szCs w:val="24"/>
        </w:rPr>
        <w:t xml:space="preserve">Revenue forecasting: </w:t>
      </w:r>
      <w:r>
        <w:rPr>
          <w:rFonts w:ascii="Arial" w:cs="Arial" w:eastAsia="Arial" w:hAnsi="Arial"/>
          <w:b w:val="false"/>
          <w:bCs w:val="false"/>
          <w:sz w:val="24"/>
          <w:szCs w:val="24"/>
        </w:rPr>
        <w:t xml:space="preserve">The overall trend is sufficiently smooth (aside from the November spike) to support simple time-series forecasting. A platform could use this trend to set monthly revenue targets and identify months where actual performance deviates significantly from the expected trajectory.</w:t>
      </w:r>
    </w:p>
    <w:p>
      <w:pPr>
        <w:spacing w:after="160"/>
      </w:pPr>
    </w:p>
    <w:p>
      <w:pPr>
        <w:pStyle w:val="Heading2"/>
      </w:pPr>
      <w:r>
        <w:t xml:space="preserve">6.3 Geographic Distribution of Sales</w:t>
      </w:r>
    </w:p>
    <w:p>
      <w:pPr>
        <w:pStyle w:val="Heading3"/>
      </w:pPr>
      <w:r>
        <w:t xml:space="preserve">6.3.1 Regional Concentration</w:t>
      </w:r>
    </w:p>
    <w:p>
      <w:pPr>
        <w:spacing w:after="160" w:line="360"/>
      </w:pPr>
      <w:r>
        <w:rPr>
          <w:rFonts w:ascii="Arial" w:cs="Arial" w:eastAsia="Arial" w:hAnsi="Arial"/>
          <w:sz w:val="24"/>
          <w:szCs w:val="24"/>
        </w:rPr>
        <w:t xml:space="preserve">The geographic distribution of sales reveals a highly concentrated pattern. The state of São Paulo (SP) dominates all other states by a substantial margin, accounting for the largest share of both order volume and total revenue across the dataset. This is not surprising — São Paulo is Brazil's largest state by population and GDP, and home to its most important financial and commercial center. The São Paulo metropolitan area alone contains over 20 million people and represents the core of Brazil's consumer economy.</w:t>
      </w:r>
    </w:p>
    <w:p>
      <w:pPr>
        <w:spacing w:after="160" w:line="360"/>
      </w:pPr>
      <w:r>
        <w:rPr>
          <w:rFonts w:ascii="Arial" w:cs="Arial" w:eastAsia="Arial" w:hAnsi="Arial"/>
          <w:sz w:val="24"/>
          <w:szCs w:val="24"/>
        </w:rPr>
        <w:t xml:space="preserve">The states of Rio de Janeiro (RJ) and Minas Gerais (MG) rank second and third respectively, forming a southeastern cluster of high e-commerce activity. Together, SP, RJ, and MG account for a disproportionately large fraction of total revenue relative to their share of Brazil's total area. This southeastern concentration reflects both population density and higher average consumer purchasing power in those states.</w:t>
      </w:r>
    </w:p>
    <w:p>
      <w:pPr>
        <w:spacing w:after="160" w:line="360"/>
      </w:pPr>
      <w:r>
        <w:rPr>
          <w:rFonts w:ascii="Arial" w:cs="Arial" w:eastAsia="Arial" w:hAnsi="Arial"/>
          <w:sz w:val="24"/>
          <w:szCs w:val="24"/>
        </w:rPr>
        <w:t xml:space="preserve">The map visualization makes this concentration pattern immediately intuitive. The southern and southeastern regions of Brazil show dense clusters of high-revenue data points, while the northern and northeastern states — which are geographically large but less economically developed — show sparser and lower-revenue activity.</w:t>
      </w:r>
    </w:p>
    <w:p>
      <w:pPr>
        <w:pStyle w:val="Heading3"/>
      </w:pPr>
      <w:r>
        <w:t xml:space="preserve">6.3.2 Emerging Markets Within Brazil</w:t>
      </w:r>
    </w:p>
    <w:p>
      <w:pPr>
        <w:spacing w:after="160" w:line="360"/>
      </w:pPr>
      <w:r>
        <w:rPr>
          <w:rFonts w:ascii="Arial" w:cs="Arial" w:eastAsia="Arial" w:hAnsi="Arial"/>
          <w:sz w:val="24"/>
          <w:szCs w:val="24"/>
        </w:rPr>
        <w:t xml:space="preserve">While the southeastern states dominate, several other states show meaningful and growing e-commerce activity. The state of Paraná (PR) in the south and Rio Grande do Sul (RS) rank among the higher-performing states outside the SE cluster. Bahia (BA) and Ceará (CE) in the northeast also show notable activity, reflecting the growing penetration of e-commerce into Brazil's less traditionally online regions.</w:t>
      </w:r>
    </w:p>
    <w:p>
      <w:pPr>
        <w:spacing w:after="160" w:line="360"/>
      </w:pPr>
      <w:r>
        <w:rPr>
          <w:rFonts w:ascii="Arial" w:cs="Arial" w:eastAsia="Arial" w:hAnsi="Arial"/>
          <w:sz w:val="24"/>
          <w:szCs w:val="24"/>
        </w:rPr>
        <w:t xml:space="preserve">These states represent potential growth markets for an e-commerce platform. Their relatively lower current revenue volumes — despite significant populations — suggest that e-commerce adoption has not yet reached saturation there. As infrastructure improves and consumer confidence grows in these regions, they could become important revenue contributors in future periods.</w:t>
      </w:r>
    </w:p>
    <w:p>
      <w:pPr>
        <w:pStyle w:val="Heading3"/>
      </w:pPr>
      <w:r>
        <w:t xml:space="preserve">6.3.3 Business Implications</w:t>
      </w:r>
    </w:p>
    <w:p>
      <w:pPr>
        <w:pStyle w:val="ListParagraph"/>
        <w:numPr>
          <w:ilvl w:val="0"/>
          <w:numId w:val="2"/>
        </w:numPr>
        <w:spacing w:after="100" w:line="360"/>
      </w:pPr>
      <w:r>
        <w:rPr>
          <w:rFonts w:ascii="Arial" w:cs="Arial" w:eastAsia="Arial" w:hAnsi="Arial"/>
          <w:b/>
          <w:bCs/>
          <w:sz w:val="24"/>
          <w:szCs w:val="24"/>
        </w:rPr>
        <w:t xml:space="preserve">Logistics prioritization: </w:t>
      </w:r>
      <w:r>
        <w:rPr>
          <w:rFonts w:ascii="Arial" w:cs="Arial" w:eastAsia="Arial" w:hAnsi="Arial"/>
          <w:b w:val="false"/>
          <w:bCs w:val="false"/>
          <w:sz w:val="24"/>
          <w:szCs w:val="24"/>
        </w:rPr>
        <w:t xml:space="preserve">The high concentration of orders in São Paulo justifies investment in warehouse and fulfillment infrastructure in or near the city. A fulfillment center in greater São Paulo would serve the largest single concentration of customers and reduce average delivery times and costs for the most important market.</w:t>
      </w:r>
    </w:p>
    <w:p>
      <w:pPr>
        <w:pStyle w:val="ListParagraph"/>
        <w:numPr>
          <w:ilvl w:val="0"/>
          <w:numId w:val="2"/>
        </w:numPr>
        <w:spacing w:after="100" w:line="360"/>
      </w:pPr>
      <w:r>
        <w:rPr>
          <w:rFonts w:ascii="Arial" w:cs="Arial" w:eastAsia="Arial" w:hAnsi="Arial"/>
          <w:b/>
          <w:bCs/>
          <w:sz w:val="24"/>
          <w:szCs w:val="24"/>
        </w:rPr>
        <w:t xml:space="preserve">Targeted regional marketing: </w:t>
      </w:r>
      <w:r>
        <w:rPr>
          <w:rFonts w:ascii="Arial" w:cs="Arial" w:eastAsia="Arial" w:hAnsi="Arial"/>
          <w:b w:val="false"/>
          <w:bCs w:val="false"/>
          <w:sz w:val="24"/>
          <w:szCs w:val="24"/>
        </w:rPr>
        <w:t xml:space="preserve">States with growing but sub-peak activity (Bahia, Paraná, Ceará) represent high-potential markets for targeted marketing campaigns. Customer acquisition costs in these regions may be lower than in saturated southeastern markets, while long-term revenue potential is significant.</w:t>
      </w:r>
    </w:p>
    <w:p>
      <w:pPr>
        <w:pStyle w:val="ListParagraph"/>
        <w:numPr>
          <w:ilvl w:val="0"/>
          <w:numId w:val="2"/>
        </w:numPr>
        <w:spacing w:after="100" w:line="360"/>
      </w:pPr>
      <w:r>
        <w:rPr>
          <w:rFonts w:ascii="Arial" w:cs="Arial" w:eastAsia="Arial" w:hAnsi="Arial"/>
          <w:b/>
          <w:bCs/>
          <w:sz w:val="24"/>
          <w:szCs w:val="24"/>
        </w:rPr>
        <w:t xml:space="preserve">Regional product assortment: </w:t>
      </w:r>
      <w:r>
        <w:rPr>
          <w:rFonts w:ascii="Arial" w:cs="Arial" w:eastAsia="Arial" w:hAnsi="Arial"/>
          <w:b w:val="false"/>
          <w:bCs w:val="false"/>
          <w:sz w:val="24"/>
          <w:szCs w:val="24"/>
        </w:rPr>
        <w:t xml:space="preserve">Consumer preferences can vary significantly by region in a geographically diverse country like Brazil. The geographic dimension of the warehouse enables analysis of which product categories perform best in each state, allowing for region-specific product promotion strategies.</w:t>
      </w:r>
    </w:p>
    <w:p>
      <w:pPr>
        <w:spacing w:after="160"/>
      </w:pPr>
    </w:p>
    <w:p>
      <w:pPr>
        <w:pStyle w:val="Heading2"/>
      </w:pPr>
      <w:r>
        <w:t xml:space="preserve">6.4 Customer Purchase Behavior</w:t>
      </w:r>
    </w:p>
    <w:p>
      <w:pPr>
        <w:pStyle w:val="Heading3"/>
      </w:pPr>
      <w:r>
        <w:t xml:space="preserve">6.4.1 One-Time vs. Repeat Buyers</w:t>
      </w:r>
    </w:p>
    <w:p>
      <w:pPr>
        <w:spacing w:after="160" w:line="360"/>
      </w:pPr>
      <w:r>
        <w:rPr>
          <w:rFonts w:ascii="Arial" w:cs="Arial" w:eastAsia="Arial" w:hAnsi="Arial"/>
          <w:sz w:val="24"/>
          <w:szCs w:val="24"/>
        </w:rPr>
        <w:t xml:space="preserve">The customer behavior analysis classifies all customers in the dataset into two groups based on their order history: one-time buyers (customers who placed exactly one order during the dataset period) and repeat buyers (customers who placed two or more orders). The results reveal a pattern that is common in e-commerce markets at an early growth stage: the vast majority of customers — approximately 96 to 97 percent — are one-time buyers.</w:t>
      </w:r>
    </w:p>
    <w:p>
      <w:pPr>
        <w:spacing w:after="160" w:line="360"/>
      </w:pPr>
      <w:r>
        <w:rPr>
          <w:rFonts w:ascii="Arial" w:cs="Arial" w:eastAsia="Arial" w:hAnsi="Arial"/>
          <w:sz w:val="24"/>
          <w:szCs w:val="24"/>
        </w:rPr>
        <w:t xml:space="preserve">This means that only a small fraction of Olist's customer base during 2016–2018 returned to make a second purchase on the platform. While this figure may seem concerning at first glance, it is worth contextualizing: the dataset covers only 32 months of a rapidly growing platform. Many customers who appear as one-time buyers in this period may have made repeat purchases after August 2018, which is where the dataset ends. Additionally, Brazilian e-commerce overall was still in a relatively early adoption phase during this period, with many consumers making their first-ever online purchases.</w:t>
      </w:r>
    </w:p>
    <w:p>
      <w:pPr>
        <w:pStyle w:val="Heading3"/>
      </w:pPr>
      <w:r>
        <w:t xml:space="preserve">6.4.2 Revenue Contribution by Customer Type</w:t>
      </w:r>
    </w:p>
    <w:p>
      <w:pPr>
        <w:spacing w:after="160" w:line="360"/>
      </w:pPr>
      <w:r>
        <w:rPr>
          <w:rFonts w:ascii="Arial" w:cs="Arial" w:eastAsia="Arial" w:hAnsi="Arial"/>
          <w:sz w:val="24"/>
          <w:szCs w:val="24"/>
        </w:rPr>
        <w:t xml:space="preserve">Despite being a much smaller group by count, repeat buyers contribute a disproportionately high share of revenue relative to their numbers. A customer who makes multiple purchases over the dataset period naturally spends more in total than a single-order customer. This higher lifetime value of repeat buyers is a fundamental concept in e-commerce economics — acquiring a new customer is typically far more expensive than retaining an existing one, and loyal customers tend to spend more per transaction over time as their trust in the platform grows.</w:t>
      </w:r>
    </w:p>
    <w:p>
      <w:pPr>
        <w:spacing w:after="160" w:line="360"/>
      </w:pPr>
      <w:r>
        <w:rPr>
          <w:rFonts w:ascii="Arial" w:cs="Arial" w:eastAsia="Arial" w:hAnsi="Arial"/>
          <w:sz w:val="24"/>
          <w:szCs w:val="24"/>
        </w:rPr>
        <w:t xml:space="preserve">The revenue comparison between the two groups underscores the strategic value of customer retention. Even if repeat buyers represent a small fraction of the customer base, their revenue contribution per customer is significantly higher than that of one-time buyers. This makes retention-focused initiatives — loyalty programs, re-engagement emails, post-purchase follow-ups — economically justified even when they require upfront investment.</w:t>
      </w:r>
    </w:p>
    <w:p>
      <w:pPr>
        <w:pStyle w:val="Heading3"/>
      </w:pPr>
      <w:r>
        <w:t xml:space="preserve">6.4.3 Business Implications</w:t>
      </w:r>
    </w:p>
    <w:p>
      <w:pPr>
        <w:pStyle w:val="ListParagraph"/>
        <w:numPr>
          <w:ilvl w:val="0"/>
          <w:numId w:val="2"/>
        </w:numPr>
        <w:spacing w:after="100" w:line="360"/>
      </w:pPr>
      <w:r>
        <w:rPr>
          <w:rFonts w:ascii="Arial" w:cs="Arial" w:eastAsia="Arial" w:hAnsi="Arial"/>
          <w:b/>
          <w:bCs/>
          <w:sz w:val="24"/>
          <w:szCs w:val="24"/>
        </w:rPr>
        <w:t xml:space="preserve">Customer retention as a growth lever: </w:t>
      </w:r>
      <w:r>
        <w:rPr>
          <w:rFonts w:ascii="Arial" w:cs="Arial" w:eastAsia="Arial" w:hAnsi="Arial"/>
          <w:b w:val="false"/>
          <w:bCs w:val="false"/>
          <w:sz w:val="24"/>
          <w:szCs w:val="24"/>
        </w:rPr>
        <w:t xml:space="preserve">Given the high proportion of one-time buyers, even a modest improvement in repeat purchase rate would have a significant impact on total revenue. Moving the repeat rate from 3% to 6% would effectively double the number of high-value returning customers.</w:t>
      </w:r>
    </w:p>
    <w:p>
      <w:pPr>
        <w:pStyle w:val="ListParagraph"/>
        <w:numPr>
          <w:ilvl w:val="0"/>
          <w:numId w:val="2"/>
        </w:numPr>
        <w:spacing w:after="100" w:line="360"/>
      </w:pPr>
      <w:r>
        <w:rPr>
          <w:rFonts w:ascii="Arial" w:cs="Arial" w:eastAsia="Arial" w:hAnsi="Arial"/>
          <w:b/>
          <w:bCs/>
          <w:sz w:val="24"/>
          <w:szCs w:val="24"/>
        </w:rPr>
        <w:t xml:space="preserve">Post-purchase engagement: </w:t>
      </w:r>
      <w:r>
        <w:rPr>
          <w:rFonts w:ascii="Arial" w:cs="Arial" w:eastAsia="Arial" w:hAnsi="Arial"/>
          <w:b w:val="false"/>
          <w:bCs w:val="false"/>
          <w:sz w:val="24"/>
          <w:szCs w:val="24"/>
        </w:rPr>
        <w:t xml:space="preserve">Targeted email campaigns or push notifications sent after a customer's first purchase — offering personalized product recommendations or discount codes — are a proven mechanism for driving repeat purchases. The customer dimension in the data warehouse supports this by enabling identification of all customers who have not returned after their first order.</w:t>
      </w:r>
    </w:p>
    <w:p>
      <w:pPr>
        <w:pStyle w:val="ListParagraph"/>
        <w:numPr>
          <w:ilvl w:val="0"/>
          <w:numId w:val="2"/>
        </w:numPr>
        <w:spacing w:after="100" w:line="360"/>
      </w:pPr>
      <w:r>
        <w:rPr>
          <w:rFonts w:ascii="Arial" w:cs="Arial" w:eastAsia="Arial" w:hAnsi="Arial"/>
          <w:b/>
          <w:bCs/>
          <w:sz w:val="24"/>
          <w:szCs w:val="24"/>
        </w:rPr>
        <w:t xml:space="preserve">Loyalty program design: </w:t>
      </w:r>
      <w:r>
        <w:rPr>
          <w:rFonts w:ascii="Arial" w:cs="Arial" w:eastAsia="Arial" w:hAnsi="Arial"/>
          <w:b w:val="false"/>
          <w:bCs w:val="false"/>
          <w:sz w:val="24"/>
          <w:szCs w:val="24"/>
        </w:rPr>
        <w:t xml:space="preserve">A tiered loyalty program that rewards customers for repeat purchases would incentivize the one-time buyer segment to return. The data warehouse provides the analytical foundation for measuring the effectiveness of such a program over time.</w:t>
      </w:r>
    </w:p>
    <w:p>
      <w:pPr>
        <w:pStyle w:val="ListParagraph"/>
        <w:numPr>
          <w:ilvl w:val="0"/>
          <w:numId w:val="2"/>
        </w:numPr>
        <w:spacing w:after="100" w:line="360"/>
      </w:pPr>
      <w:r>
        <w:rPr>
          <w:rFonts w:ascii="Arial" w:cs="Arial" w:eastAsia="Arial" w:hAnsi="Arial"/>
          <w:b/>
          <w:bCs/>
          <w:sz w:val="24"/>
          <w:szCs w:val="24"/>
        </w:rPr>
        <w:t xml:space="preserve">Cohort analysis opportunity: </w:t>
      </w:r>
      <w:r>
        <w:rPr>
          <w:rFonts w:ascii="Arial" w:cs="Arial" w:eastAsia="Arial" w:hAnsi="Arial"/>
          <w:b w:val="false"/>
          <w:bCs w:val="false"/>
          <w:sz w:val="24"/>
          <w:szCs w:val="24"/>
        </w:rPr>
        <w:t xml:space="preserve">A natural extension of this analysis would be a cohort analysis — grouping customers by the month of their first purchase and tracking what percentage of each cohort made a second purchase within 30, 60, or 90 days. This would provide more actionable insight into retention dynamics than the aggregate one-time vs. repeat classification.</w:t>
      </w:r>
    </w:p>
    <w:p>
      <w:pPr>
        <w:spacing w:after="160"/>
      </w:pPr>
    </w:p>
    <w:p>
      <w:pPr>
        <w:pStyle w:val="Heading2"/>
      </w:pPr>
      <w:r>
        <w:t xml:space="preserve">6.5 Product and Category Performance</w:t>
      </w:r>
    </w:p>
    <w:p>
      <w:pPr>
        <w:pStyle w:val="Heading3"/>
      </w:pPr>
      <w:r>
        <w:t xml:space="preserve">6.5.1 Top-Selling Categories by Revenue</w:t>
      </w:r>
    </w:p>
    <w:p>
      <w:pPr>
        <w:spacing w:after="160" w:line="360"/>
      </w:pPr>
      <w:r>
        <w:rPr>
          <w:rFonts w:ascii="Arial" w:cs="Arial" w:eastAsia="Arial" w:hAnsi="Arial"/>
          <w:sz w:val="24"/>
          <w:szCs w:val="24"/>
        </w:rPr>
        <w:t xml:space="preserve">The top 10 product categories by total revenue reveal the structural composition of Olist's business. The leading categories by revenue are consistently in the higher-price-point consumer goods segments. Categories such as health and beauty, watches and gifts, bed, table and bath products, sports and leisure, and computers and accessories consistently rank among the top revenue generators.</w:t>
      </w:r>
    </w:p>
    <w:p>
      <w:pPr>
        <w:spacing w:after="160" w:line="360"/>
      </w:pPr>
      <w:r>
        <w:rPr>
          <w:rFonts w:ascii="Arial" w:cs="Arial" w:eastAsia="Arial" w:hAnsi="Arial"/>
          <w:sz w:val="24"/>
          <w:szCs w:val="24"/>
        </w:rPr>
        <w:t xml:space="preserve">This distribution reflects several characteristics of the Brazilian e-commerce market during this period. Health and beauty products are among the fastest-growing e-commerce categories globally, driven by the convenience of online repurchase and the breadth of selection available online versus in physical stores. Furniture and home goods (including bed and bath products) perform strongly because these are categories where online shopping offers significant price advantages and selection depth compared to physical retail.</w:t>
      </w:r>
    </w:p>
    <w:p>
      <w:pPr>
        <w:spacing w:after="160" w:line="360"/>
      </w:pPr>
      <w:r>
        <w:rPr>
          <w:rFonts w:ascii="Arial" w:cs="Arial" w:eastAsia="Arial" w:hAnsi="Arial"/>
          <w:sz w:val="24"/>
          <w:szCs w:val="24"/>
        </w:rPr>
        <w:t xml:space="preserve">Electronics and computer accessories also feature prominently, which is consistent with global e-commerce patterns where electronics have historically been one of the first categories consumers adopt for online purchase, driven by clear product specifications and significant price competition.</w:t>
      </w:r>
    </w:p>
    <w:p>
      <w:pPr>
        <w:pStyle w:val="Heading3"/>
      </w:pPr>
      <w:r>
        <w:t xml:space="preserve">6.5.2 Revenue vs. Volume Analysis</w:t>
      </w:r>
    </w:p>
    <w:p>
      <w:pPr>
        <w:spacing w:after="160" w:line="360"/>
      </w:pPr>
      <w:r>
        <w:rPr>
          <w:rFonts w:ascii="Arial" w:cs="Arial" w:eastAsia="Arial" w:hAnsi="Arial"/>
          <w:sz w:val="24"/>
          <w:szCs w:val="24"/>
        </w:rPr>
        <w:t xml:space="preserve">An important distinction exists between categories that generate high revenue through high prices (such as computers and furniture) and categories that generate high revenue through high order volume (such as health and beauty or sports accessories). Both contribute significantly to total revenue but represent different business dynamics.</w:t>
      </w:r>
    </w:p>
    <w:p>
      <w:pPr>
        <w:spacing w:after="160" w:line="360"/>
      </w:pPr>
      <w:r>
        <w:rPr>
          <w:rFonts w:ascii="Arial" w:cs="Arial" w:eastAsia="Arial" w:hAnsi="Arial"/>
          <w:sz w:val="24"/>
          <w:szCs w:val="24"/>
        </w:rPr>
        <w:t xml:space="preserve">High-price, lower-volume categories carry higher per-order revenue but may be more sensitive to economic conditions — consumers are more likely to defer discretionary purchases of expensive items during economic uncertainty. High-volume, moderate-price categories tend to be more resilient because they include everyday or frequently repurchased items.</w:t>
      </w:r>
    </w:p>
    <w:p>
      <w:pPr>
        <w:spacing w:after="160" w:line="360"/>
      </w:pPr>
      <w:r>
        <w:rPr>
          <w:rFonts w:ascii="Arial" w:cs="Arial" w:eastAsia="Arial" w:hAnsi="Arial"/>
          <w:sz w:val="24"/>
          <w:szCs w:val="24"/>
        </w:rPr>
        <w:t xml:space="preserve">Understanding this distinction helps the platform prioritize different aspects of its operations. High-price categories may require better product photography, more detailed descriptions, and stronger return policies to reduce purchase hesitation. High-volume categories benefit from streamlined checkout, efficient fulfillment, and replenishment reminders.</w:t>
      </w:r>
    </w:p>
    <w:p>
      <w:pPr>
        <w:pStyle w:val="Heading3"/>
      </w:pPr>
      <w:r>
        <w:t xml:space="preserve">6.5.3 Top Products Within Categories</w:t>
      </w:r>
    </w:p>
    <w:p>
      <w:pPr>
        <w:spacing w:after="160" w:line="360"/>
      </w:pPr>
      <w:r>
        <w:rPr>
          <w:rFonts w:ascii="Arial" w:cs="Arial" w:eastAsia="Arial" w:hAnsi="Arial"/>
          <w:sz w:val="24"/>
          <w:szCs w:val="24"/>
        </w:rPr>
        <w:t xml:space="preserve">The top-3-per-category analysis reveals that within each category, revenue is often concentrated in a small number of products. This is a manifestation of the Pareto principle (the 80/20 rule) at the product level: a small fraction of the product catalog typically generates the majority of revenue within any given category.</w:t>
      </w:r>
    </w:p>
    <w:p>
      <w:pPr>
        <w:spacing w:after="160" w:line="360"/>
      </w:pPr>
      <w:r>
        <w:rPr>
          <w:rFonts w:ascii="Arial" w:cs="Arial" w:eastAsia="Arial" w:hAnsi="Arial"/>
          <w:sz w:val="24"/>
          <w:szCs w:val="24"/>
        </w:rPr>
        <w:t xml:space="preserve">This concentration has important implications for inventory management. The top 3 products per category should be given priority in inventory replenishment, promotional placement, and quality control. Stockouts of these products would have a disproportionate impact on category revenue compared to stockouts of lower-ranked items.</w:t>
      </w:r>
    </w:p>
    <w:p>
      <w:pPr>
        <w:spacing w:after="160" w:line="360"/>
      </w:pPr>
      <w:r>
        <w:rPr>
          <w:rFonts w:ascii="Arial" w:cs="Arial" w:eastAsia="Arial" w:hAnsi="Arial"/>
          <w:sz w:val="24"/>
          <w:szCs w:val="24"/>
        </w:rPr>
        <w:t xml:space="preserve">Conversely, products that appear in the catalog but never feature in the top performers for their category represent potential candidates for delisting or promotion review. A data warehouse query can easily identify zero-revenue or near-zero-revenue products, enabling systematic catalog rationalization.</w:t>
      </w:r>
    </w:p>
    <w:p>
      <w:pPr>
        <w:pStyle w:val="Heading3"/>
      </w:pPr>
      <w:r>
        <w:t xml:space="preserve">6.5.4 Business Implications</w:t>
      </w:r>
    </w:p>
    <w:p>
      <w:pPr>
        <w:pStyle w:val="ListParagraph"/>
        <w:numPr>
          <w:ilvl w:val="0"/>
          <w:numId w:val="2"/>
        </w:numPr>
        <w:spacing w:after="100" w:line="360"/>
      </w:pPr>
      <w:r>
        <w:rPr>
          <w:rFonts w:ascii="Arial" w:cs="Arial" w:eastAsia="Arial" w:hAnsi="Arial"/>
          <w:b/>
          <w:bCs/>
          <w:sz w:val="24"/>
          <w:szCs w:val="24"/>
        </w:rPr>
        <w:t xml:space="preserve">Promotional strategy: </w:t>
      </w:r>
      <w:r>
        <w:rPr>
          <w:rFonts w:ascii="Arial" w:cs="Arial" w:eastAsia="Arial" w:hAnsi="Arial"/>
          <w:b w:val="false"/>
          <w:bCs w:val="false"/>
          <w:sz w:val="24"/>
          <w:szCs w:val="24"/>
        </w:rPr>
        <w:t xml:space="preserve">The top-performing categories should receive the greatest promotional investment — featured placement on the homepage, inclusion in email newsletters, and priority in paid advertising. Products already generating strong revenue typically have higher conversion rates and better reviews, making promotional spend on them more efficient.</w:t>
      </w:r>
    </w:p>
    <w:p>
      <w:pPr>
        <w:pStyle w:val="ListParagraph"/>
        <w:numPr>
          <w:ilvl w:val="0"/>
          <w:numId w:val="2"/>
        </w:numPr>
        <w:spacing w:after="100" w:line="360"/>
      </w:pPr>
      <w:r>
        <w:rPr>
          <w:rFonts w:ascii="Arial" w:cs="Arial" w:eastAsia="Arial" w:hAnsi="Arial"/>
          <w:b/>
          <w:bCs/>
          <w:sz w:val="24"/>
          <w:szCs w:val="24"/>
        </w:rPr>
        <w:t xml:space="preserve">Supplier negotiations: </w:t>
      </w:r>
      <w:r>
        <w:rPr>
          <w:rFonts w:ascii="Arial" w:cs="Arial" w:eastAsia="Arial" w:hAnsi="Arial"/>
          <w:b w:val="false"/>
          <w:bCs w:val="false"/>
          <w:sz w:val="24"/>
          <w:szCs w:val="24"/>
        </w:rPr>
        <w:t xml:space="preserve">For top-selling categories and products, the platform has leverage to negotiate better margins with suppliers, given the demonstrated demand. The data warehouse provides the evidence base — total units sold and total revenue — needed to support those negotiations.</w:t>
      </w:r>
    </w:p>
    <w:p>
      <w:pPr>
        <w:pStyle w:val="ListParagraph"/>
        <w:numPr>
          <w:ilvl w:val="0"/>
          <w:numId w:val="2"/>
        </w:numPr>
        <w:spacing w:after="100" w:line="360"/>
      </w:pPr>
      <w:r>
        <w:rPr>
          <w:rFonts w:ascii="Arial" w:cs="Arial" w:eastAsia="Arial" w:hAnsi="Arial"/>
          <w:b/>
          <w:bCs/>
          <w:sz w:val="24"/>
          <w:szCs w:val="24"/>
        </w:rPr>
        <w:t xml:space="preserve">Cross-selling opportunities: </w:t>
      </w:r>
      <w:r>
        <w:rPr>
          <w:rFonts w:ascii="Arial" w:cs="Arial" w:eastAsia="Arial" w:hAnsi="Arial"/>
          <w:b w:val="false"/>
          <w:bCs w:val="false"/>
          <w:sz w:val="24"/>
          <w:szCs w:val="24"/>
        </w:rPr>
        <w:t xml:space="preserve">Categories that tend to be purchased together (e.g., sports accessories and sportswear, or computers and accessories) represent natural cross-selling opportunities. The fact table supports this analysis by grouping multiple items within the same order_id, enabling basket analysis.</w:t>
      </w:r>
    </w:p>
    <w:p>
      <w:pPr>
        <w:pStyle w:val="ListParagraph"/>
        <w:numPr>
          <w:ilvl w:val="0"/>
          <w:numId w:val="2"/>
        </w:numPr>
        <w:spacing w:after="100" w:line="360"/>
      </w:pPr>
      <w:r>
        <w:rPr>
          <w:rFonts w:ascii="Arial" w:cs="Arial" w:eastAsia="Arial" w:hAnsi="Arial"/>
          <w:b/>
          <w:bCs/>
          <w:sz w:val="24"/>
          <w:szCs w:val="24"/>
        </w:rPr>
        <w:t xml:space="preserve">New category expansion: </w:t>
      </w:r>
      <w:r>
        <w:rPr>
          <w:rFonts w:ascii="Arial" w:cs="Arial" w:eastAsia="Arial" w:hAnsi="Arial"/>
          <w:b w:val="false"/>
          <w:bCs w:val="false"/>
          <w:sz w:val="24"/>
          <w:szCs w:val="24"/>
        </w:rPr>
        <w:t xml:space="preserve">Categories with high average order value but lower volume may indicate unmet demand — consumers willing to spend significantly per order but finding limited selection. These represent opportunities for expanding the product catalog in under-served but high-value segments.</w:t>
      </w:r>
    </w:p>
    <w:p>
      <w:pPr>
        <w:spacing w:after="160"/>
      </w:pPr>
    </w:p>
    <w:p>
      <w:pPr>
        <w:pStyle w:val="Heading2"/>
      </w:pPr>
      <w:r>
        <w:t xml:space="preserve">6.6 Cross-Dimensional Insights</w:t>
      </w:r>
    </w:p>
    <w:p>
      <w:pPr>
        <w:spacing w:after="160" w:line="360"/>
      </w:pPr>
      <w:r>
        <w:rPr>
          <w:rFonts w:ascii="Arial" w:cs="Arial" w:eastAsia="Arial" w:hAnsi="Arial"/>
          <w:sz w:val="24"/>
          <w:szCs w:val="24"/>
        </w:rPr>
        <w:t xml:space="preserve">Some of the most valuable insights emerge not from any single dimension in isolation, but from combining multiple dimensions simultaneously. The Star Schema structure of the data warehouse makes these cross-dimensional analyses straightforward, requiring only additional JOIN clauses and GROUP BY dimensions in SQL.</w:t>
      </w:r>
    </w:p>
    <w:p>
      <w:pPr>
        <w:pStyle w:val="Heading3"/>
      </w:pPr>
      <w:r>
        <w:t xml:space="preserve">6.6.1 Category Performance by Region</w:t>
      </w:r>
    </w:p>
    <w:p>
      <w:pPr>
        <w:spacing w:after="160" w:line="360"/>
      </w:pPr>
      <w:r>
        <w:rPr>
          <w:rFonts w:ascii="Arial" w:cs="Arial" w:eastAsia="Arial" w:hAnsi="Arial"/>
          <w:sz w:val="24"/>
          <w:szCs w:val="24"/>
        </w:rPr>
        <w:t xml:space="preserve">By joining fact_order_item with both dim_item and dim_region, it is possible to analyze which product categories perform best in each state. Preliminary analysis suggests that the southeastern states (SP, RJ, MG) not only lead in overall revenue but also show more balanced category distributions, reflecting their more diverse and mature consumer markets. In contrast, northeastern states tend to show higher concentration in specific categories, suggesting more targeted purchasing patterns driven by regional lifestyle and climate differences.</w:t>
      </w:r>
    </w:p>
    <w:p>
      <w:pPr>
        <w:spacing w:after="160" w:line="360"/>
      </w:pPr>
      <w:r>
        <w:rPr>
          <w:rFonts w:ascii="Arial" w:cs="Arial" w:eastAsia="Arial" w:hAnsi="Arial"/>
          <w:sz w:val="24"/>
          <w:szCs w:val="24"/>
        </w:rPr>
        <w:t xml:space="preserve">For example, categories related to air conditioning, fans, and cooling equipment might perform relatively better in northern and northeastern states where the climate is consistently hot, while categories related to outdoor sports and hiking gear may perform better in the southern states with more temperate climates and outdoor culture.</w:t>
      </w:r>
    </w:p>
    <w:p>
      <w:pPr>
        <w:pStyle w:val="Heading3"/>
      </w:pPr>
      <w:r>
        <w:t xml:space="preserve">6.6.2 Seasonal Category Patterns</w:t>
      </w:r>
    </w:p>
    <w:p>
      <w:pPr>
        <w:spacing w:after="160" w:line="360"/>
      </w:pPr>
      <w:r>
        <w:rPr>
          <w:rFonts w:ascii="Arial" w:cs="Arial" w:eastAsia="Arial" w:hAnsi="Arial"/>
          <w:sz w:val="24"/>
          <w:szCs w:val="24"/>
        </w:rPr>
        <w:t xml:space="preserve">Combining the time dimension with the product dimension enables seasonal category analysis. By grouping revenue by category and month, it becomes possible to identify categories whose sales are heavily seasonal versus those that maintain consistent year-round performance.</w:t>
      </w:r>
    </w:p>
    <w:p>
      <w:pPr>
        <w:spacing w:after="160" w:line="360"/>
      </w:pPr>
      <w:r>
        <w:rPr>
          <w:rFonts w:ascii="Arial" w:cs="Arial" w:eastAsia="Arial" w:hAnsi="Arial"/>
          <w:sz w:val="24"/>
          <w:szCs w:val="24"/>
        </w:rPr>
        <w:t xml:space="preserve">The Black Friday spike visible in the overall revenue trend is not equally distributed across all categories. Electronics and high-value gift items tend to show particularly strong Black Friday spikes, consistent with global patterns where consumers time large electronics purchases around discount events. Health and beauty products, by contrast, tend to show more consistent monthly performance with smaller seasonal peaks.</w:t>
      </w:r>
    </w:p>
    <w:p>
      <w:pPr>
        <w:spacing w:after="160" w:line="360"/>
      </w:pPr>
      <w:r>
        <w:rPr>
          <w:rFonts w:ascii="Arial" w:cs="Arial" w:eastAsia="Arial" w:hAnsi="Arial"/>
          <w:sz w:val="24"/>
          <w:szCs w:val="24"/>
        </w:rPr>
        <w:t xml:space="preserve">This seasonal pattern analysis enables better demand forecasting at the category level. A platform that knows Category A peaks in November while Category B is flat year-round can plan its inventory, marketing spend, and logistics capacity much more precisely than one that treats all categories as having the same seasonal profile.</w:t>
      </w:r>
    </w:p>
    <w:p>
      <w:pPr>
        <w:pStyle w:val="Heading3"/>
      </w:pPr>
      <w:r>
        <w:t xml:space="preserve">6.6.3 Freight Cost Analysis</w:t>
      </w:r>
    </w:p>
    <w:p>
      <w:pPr>
        <w:spacing w:after="160" w:line="360"/>
      </w:pPr>
      <w:r>
        <w:rPr>
          <w:rFonts w:ascii="Arial" w:cs="Arial" w:eastAsia="Arial" w:hAnsi="Arial"/>
          <w:sz w:val="24"/>
          <w:szCs w:val="24"/>
        </w:rPr>
        <w:t xml:space="preserve">The freight_value measure stored in the fact table enables a dimension of analysis beyond revenue: the cost and efficiency of logistics. By comparing price and freight_value across different dimensions, several useful insights emerge.</w:t>
      </w:r>
    </w:p>
    <w:p>
      <w:pPr>
        <w:spacing w:after="160" w:line="360"/>
      </w:pPr>
      <w:r>
        <w:rPr>
          <w:rFonts w:ascii="Arial" w:cs="Arial" w:eastAsia="Arial" w:hAnsi="Arial"/>
          <w:sz w:val="24"/>
          <w:szCs w:val="24"/>
        </w:rPr>
        <w:t xml:space="preserve">Freight cost as a percentage of product price (freight_value / price) varies significantly by product category. Heavy or bulky categories — such as furniture, large appliances, and construction materials — have high absolute freight costs, and in some cases freight represents a significant fraction of the product's sale price. This has implications for competitive pricing: if freight costs are high relative to product price, the total cost to the consumer is substantially higher than the listed product price, which can depress conversion rates.</w:t>
      </w:r>
    </w:p>
    <w:p>
      <w:pPr>
        <w:spacing w:after="160" w:line="360"/>
      </w:pPr>
      <w:r>
        <w:rPr>
          <w:rFonts w:ascii="Arial" w:cs="Arial" w:eastAsia="Arial" w:hAnsi="Arial"/>
          <w:sz w:val="24"/>
          <w:szCs w:val="24"/>
        </w:rPr>
        <w:t xml:space="preserve">Geographically, freight costs also vary by destination state. Customers in distant or less-served states (particularly in the north and northeast) typically face higher freight charges due to greater distances from fulfillment centers. This geographic freight cost disparity is a structural challenge for e-commerce platforms serving a geographically large country like Brazil, and addressing it through regional warehousing or logistics partnerships is an ongoing strategic priority for the industry.</w:t>
      </w:r>
    </w:p>
    <w:p>
      <w:pPr>
        <w:pStyle w:val="Heading2"/>
      </w:pPr>
      <w:r>
        <w:t xml:space="preserve">6.7 Summary of Key Insights</w:t>
      </w:r>
    </w:p>
    <w:p>
      <w:pPr>
        <w:spacing w:after="160" w:line="360"/>
      </w:pPr>
      <w:r>
        <w:rPr>
          <w:rFonts w:ascii="Arial" w:cs="Arial" w:eastAsia="Arial" w:hAnsi="Arial"/>
          <w:sz w:val="24"/>
          <w:szCs w:val="24"/>
        </w:rPr>
        <w:t xml:space="preserve">The following table summarizes the most important business insights derived from the data warehouse analysis, along with the recommended actions they support:</w:t>
      </w:r>
    </w:p>
    <w:p>
      <w:pPr>
        <w:spacing w:after="80" w:before="200"/>
      </w:pPr>
      <w:r>
        <w:rPr>
          <w:rFonts w:ascii="Arial" w:cs="Arial" w:eastAsia="Arial" w:hAnsi="Arial"/>
          <w:b/>
          <w:bCs/>
          <w:i/>
          <w:iCs/>
          <w:color w:val="555555"/>
          <w:sz w:val="22"/>
          <w:szCs w:val="22"/>
        </w:rPr>
        <w:t xml:space="preserve">Table 6.1 — Key business insights and recommended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Area</w:t>
            </w:r>
          </w:p>
        </w:tc>
        <w:tc>
          <w:tcPr>
            <w:tcW w:type="dxa" w:w="36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Key Finding</w:t>
            </w:r>
          </w:p>
        </w:tc>
        <w:tc>
          <w:tcPr>
            <w:tcW w:type="dxa" w:w="36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Recommended Action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Revenue Trend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Strong growth from mid-2017; clear November Black Friday spike.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Plan inventory and logistics capacity increases ahead of Q4 each year.</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Geography</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SP, RJ, MG dominate revenue; northern/northeastern states underserved.</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Invest in southeastern logistics; run targeted acquisition in northeast.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Customers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~97% of customers are one-time buyers; repeat buyers have higher LTV.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Invest in post-purchase retention programs and loyalty incentives.</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Products</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Health &amp; beauty, watches, bed &amp; bath lead by revenue; Pareto pattern within categories.</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Prioritize top-3 products per category for stock and promotion.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Freight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High freight-to-price ratios in bulky categories and remote regions.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Explore regional fulfillment or subsidized shipping for high-value categories.</w:t>
            </w:r>
          </w:p>
        </w:tc>
      </w:tr>
    </w:tbl>
    <w:p>
      <w:pPr>
        <w:spacing w:after="160"/>
      </w:pPr>
    </w:p>
    <w:p>
      <w:pPr>
        <w:spacing w:after="160" w:line="360"/>
      </w:pPr>
      <w:r>
        <w:rPr>
          <w:rFonts w:ascii="Arial" w:cs="Arial" w:eastAsia="Arial" w:hAnsi="Arial"/>
          <w:sz w:val="24"/>
          <w:szCs w:val="24"/>
        </w:rPr>
        <w:t xml:space="preserve">These insights demonstrate the core value proposition of a Business Intelligence system: raw transactional data, which on its own provides no guidance, has been transformed through the data warehouse and dashboard into specific, evidence-based findings that directly inform business strategy. Each finding is tied to a concrete action, making the BI system not just descriptive but prescriptive — it tells decision-makers not only what has happened, but what they should consider doing about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2026-06-11T07:27:12.187Z</dcterms:created>
  <dcterms:modified xsi:type="dcterms:W3CDTF">2026-06-11T07:27:12.202Z</dcterms:modified>
</cp:coreProperties>
</file>

<file path=docProps/custom.xml><?xml version="1.0" encoding="utf-8"?>
<Properties xmlns="http://schemas.openxmlformats.org/officeDocument/2006/custom-properties" xmlns:vt="http://schemas.openxmlformats.org/officeDocument/2006/docPropsVTypes"/>
</file>