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7: Conclusion</w:t>
      </w:r>
    </w:p>
    <w:p>
      <w:pPr>
        <w:pStyle w:val="Heading2"/>
      </w:pPr>
      <w:r>
        <w:t xml:space="preserve">7.1 Project Summary</w:t>
      </w:r>
    </w:p>
    <w:p>
      <w:pPr>
        <w:spacing w:after="160" w:line="360"/>
      </w:pPr>
      <w:r>
        <w:rPr>
          <w:rFonts w:ascii="Arial" w:cs="Arial" w:eastAsia="Arial" w:hAnsi="Arial"/>
          <w:sz w:val="24"/>
          <w:szCs w:val="24"/>
        </w:rPr>
        <w:t xml:space="preserve">This project set out to design and implement a complete, end-to-end Business Intelligence system for e-commerce data analysis, using real-world transactional data from the Olist Brazilian e-commerce platform. Starting from a collection of raw CSV files and ending with an interactive dashboard that surfaces actionable business insights, the project traversed every layer of a modern BI pipeline: data sourcing, data warehouse design, ETL implementation, visualization, and insight analysis.</w:t>
      </w:r>
    </w:p>
    <w:p>
      <w:pPr>
        <w:spacing w:after="160" w:line="360"/>
      </w:pPr>
      <w:r>
        <w:rPr>
          <w:rFonts w:ascii="Arial" w:cs="Arial" w:eastAsia="Arial" w:hAnsi="Arial"/>
          <w:sz w:val="24"/>
          <w:szCs w:val="24"/>
        </w:rPr>
        <w:t xml:space="preserve">The work undertaken across each chapter can be summarized as follows. The dataset — approximately 100,000 orders from the Olist marketplace spanning 2016 to 2018 — was assessed for structure, quality issues, and analytical potential. A Star Schema data warehouse was designed in PostgreSQL, consisting of four dimension tables (dim_customer, dim_region, dim_item, dim_order_time) and one central fact table (fact_order_item), following Kimball's dimensional modeling methodology. A Python ETL pipeline was implemented using Pandas and SQLAlchemy to extract data from the raw CSVs, apply all necessary transformations, and load the resulting tables into the warehouse in the correct dependency order. A Metabase BI dashboard was built on top of the warehouse, containerized alongside PostgreSQL using Docker Compose, and configured with six visualizations covering the three core required analyses plus geographic and freight cost extensions. Finally, the dashboard results were interpreted in depth, generating five categories of business insight with specific recommended actions.</w:t>
      </w:r>
    </w:p>
    <w:p>
      <w:pPr>
        <w:spacing w:after="160" w:line="360"/>
      </w:pPr>
      <w:r>
        <w:rPr>
          <w:rFonts w:ascii="Arial" w:cs="Arial" w:eastAsia="Arial" w:hAnsi="Arial"/>
          <w:sz w:val="24"/>
          <w:szCs w:val="24"/>
        </w:rPr>
        <w:t xml:space="preserve">The project successfully meets all requirements set out in the course assignment: the dataset is an online retail / e-commerce dataset, the fact table is based on orders, the four required dimension tables are implemented, and the dashboard covers top-selling products, monthly revenue trends, and customer purchase behavior. Additionally, the project extends beyond the minimum requirements through the geographic map visualization, the freight cost analysis, and the cross-dimensional insights presented in Chapter 6.</w:t>
      </w:r>
    </w:p>
    <w:p>
      <w:pPr>
        <w:pStyle w:val="Heading2"/>
      </w:pPr>
      <w:r>
        <w:t xml:space="preserve">7.2 Review of Objectives</w:t>
      </w:r>
    </w:p>
    <w:p>
      <w:pPr>
        <w:spacing w:after="160" w:line="360"/>
      </w:pPr>
      <w:r>
        <w:rPr>
          <w:rFonts w:ascii="Arial" w:cs="Arial" w:eastAsia="Arial" w:hAnsi="Arial"/>
          <w:sz w:val="24"/>
          <w:szCs w:val="24"/>
        </w:rPr>
        <w:t xml:space="preserve">Chapter 1 defined five specific objectives for this project. Each is reviewed below against the work completed:</w:t>
      </w:r>
    </w:p>
    <w:p>
      <w:pPr>
        <w:spacing w:after="80" w:before="200"/>
      </w:pPr>
      <w:r>
        <w:rPr>
          <w:rFonts w:ascii="Arial" w:cs="Arial" w:eastAsia="Arial" w:hAnsi="Arial"/>
          <w:b/>
          <w:bCs/>
          <w:i/>
          <w:iCs/>
          <w:color w:val="555555"/>
          <w:sz w:val="22"/>
          <w:szCs w:val="22"/>
        </w:rPr>
        <w:t xml:space="preserve">Table 7.1 — Objectives vs.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Objective</w:t>
            </w:r>
          </w:p>
        </w:tc>
        <w:tc>
          <w:tcPr>
            <w:tcW w:type="dxa" w:w="50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Outcome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Design a Star Schema data warehouse with fact and four dimension tables.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Fully implemented in PostgreSQL. fact_order_item + dim_customer, dim_region, dim_item, dim_order_time, with FK constraints.</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Build a Python ETL pipeline to process raw CSV data and populate the warehouse.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Implemented in etl_pipeline.py using Pandas and SQLAlchemy. All five tables loaded with full transformation logic.</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Deploy PostgreSQL and Metabase using Docker Compose.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Fully containerized. Both services defined in docker-compose.yml and started with a single command.</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Build an interactive BI dashboard in Metabase with key visualizations.</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Six-card dashboard built: KPI cards, line chart, map, bar chart, SQL table, and customer behavior chart.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Derive and interpret business insights from the data.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Five insight areas covered in Chapter 6 with specific business recommendations for each.</w:t>
            </w:r>
          </w:p>
        </w:tc>
      </w:tr>
    </w:tbl>
    <w:p>
      <w:pPr>
        <w:spacing w:after="160"/>
      </w:pPr>
    </w:p>
    <w:p>
      <w:pPr>
        <w:pStyle w:val="Heading2"/>
      </w:pPr>
      <w:r>
        <w:t xml:space="preserve">7.3 Challenges Encountered</w:t>
      </w:r>
    </w:p>
    <w:p>
      <w:pPr>
        <w:spacing w:after="160" w:line="360"/>
      </w:pPr>
      <w:r>
        <w:rPr>
          <w:rFonts w:ascii="Arial" w:cs="Arial" w:eastAsia="Arial" w:hAnsi="Arial"/>
          <w:sz w:val="24"/>
          <w:szCs w:val="24"/>
        </w:rPr>
        <w:t xml:space="preserve">The project encountered several challenges during implementation. Documenting these is valuable both for academic reflection and as practical guidance for anyone building a similar system.</w:t>
      </w:r>
    </w:p>
    <w:p>
      <w:pPr>
        <w:pStyle w:val="Heading3"/>
      </w:pPr>
      <w:r>
        <w:t xml:space="preserve">7.3.1 Data Quality Issues in the Source Dataset</w:t>
      </w:r>
    </w:p>
    <w:p>
      <w:pPr>
        <w:spacing w:after="160" w:line="360"/>
      </w:pPr>
      <w:r>
        <w:rPr>
          <w:rFonts w:ascii="Arial" w:cs="Arial" w:eastAsia="Arial" w:hAnsi="Arial"/>
          <w:sz w:val="24"/>
          <w:szCs w:val="24"/>
        </w:rPr>
        <w:t xml:space="preserve">The most pervasive challenge was the data quality of the raw Olist dataset. As discussed in Chapter 2, the dataset contains the dual customer identifier issue (customer_id vs. customer_unique_id), multiple geolocation entries per zip code, orphan records with missing foreign key references, and product category names exclusively in Portuguese. Each of these required specific handling logic in the ETL pipeline.</w:t>
      </w:r>
    </w:p>
    <w:p>
      <w:pPr>
        <w:spacing w:after="160" w:line="360"/>
      </w:pPr>
      <w:r>
        <w:rPr>
          <w:rFonts w:ascii="Arial" w:cs="Arial" w:eastAsia="Arial" w:hAnsi="Arial"/>
          <w:sz w:val="24"/>
          <w:szCs w:val="24"/>
        </w:rPr>
        <w:t xml:space="preserve">The customer identifier issue in particular was a subtle trap. On a first pass, it would be easy to build dim_customer using customer_id as the natural key and end up with a dimension table that counts repeat customers as multiple distinct individuals — producing inflated customer counts and making the repeat-buyer analysis impossible. Catching this issue required careful reading of the Olist dataset documentation and cross-referencing the two identifier columns to understand their semantics.</w:t>
      </w:r>
    </w:p>
    <w:p>
      <w:pPr>
        <w:spacing w:after="160" w:line="360"/>
      </w:pPr>
      <w:r>
        <w:rPr>
          <w:rFonts w:ascii="Arial" w:cs="Arial" w:eastAsia="Arial" w:hAnsi="Arial"/>
          <w:sz w:val="24"/>
          <w:szCs w:val="24"/>
        </w:rPr>
        <w:t xml:space="preserve">This experience reinforces an important principle in data engineering: thorough data profiling before ETL design is not optional. Time spent understanding the source data — its structure, its quirks, and its hidden semantics — saves significantly more time than it costs, by preventing incorrect assumptions from being baked into the warehouse schema.</w:t>
      </w:r>
    </w:p>
    <w:p>
      <w:pPr>
        <w:pStyle w:val="Heading3"/>
      </w:pPr>
      <w:r>
        <w:t xml:space="preserve">7.3.2 Surrogate Key Resolution in the Fact Table</w:t>
      </w:r>
    </w:p>
    <w:p>
      <w:pPr>
        <w:spacing w:after="160" w:line="360"/>
      </w:pPr>
      <w:r>
        <w:rPr>
          <w:rFonts w:ascii="Arial" w:cs="Arial" w:eastAsia="Arial" w:hAnsi="Arial"/>
          <w:sz w:val="24"/>
          <w:szCs w:val="24"/>
        </w:rPr>
        <w:t xml:space="preserve">Resolving surrogate keys for the fact table — replacing natural keys (customer_unique_id, product_id, zip_code_prefix, order_purchase_timestamp) with the integer surrogate keys assigned by PostgreSQL — required reading the dimension tables back from the database after loading them, then performing a series of merge operations. This is a standard pattern in ETL development, but implementing it correctly required careful attention to the order of operations and the handling of rows where the merge could not find a match.</w:t>
      </w:r>
    </w:p>
    <w:p>
      <w:pPr>
        <w:spacing w:after="160" w:line="360"/>
      </w:pPr>
      <w:r>
        <w:rPr>
          <w:rFonts w:ascii="Arial" w:cs="Arial" w:eastAsia="Arial" w:hAnsi="Arial"/>
          <w:sz w:val="24"/>
          <w:szCs w:val="24"/>
        </w:rPr>
        <w:t xml:space="preserve">A particular complication arose from the fact that the order_purchase_timestamp field needed to be used as a join key between the working fact DataFrame and dim_order_time. Timestamp matching requires exact equality, which means any discrepancy in timestamp formatting between the orders CSV and the loaded dim_order_time table would cause join failures. Ensuring consistent datetime formatting throughout the pipeline — using pd.to_datetime() with a consistent format specification — was necessary to prevent silent data loss from failed timestamp joins.</w:t>
      </w:r>
    </w:p>
    <w:p>
      <w:pPr>
        <w:pStyle w:val="Heading3"/>
      </w:pPr>
      <w:r>
        <w:t xml:space="preserve">7.3.3 Docker Networking and Service Communication</w:t>
      </w:r>
    </w:p>
    <w:p>
      <w:pPr>
        <w:spacing w:after="160" w:line="360"/>
      </w:pPr>
      <w:r>
        <w:rPr>
          <w:rFonts w:ascii="Arial" w:cs="Arial" w:eastAsia="Arial" w:hAnsi="Arial"/>
          <w:sz w:val="24"/>
          <w:szCs w:val="24"/>
        </w:rPr>
        <w:t xml:space="preserve">Configuring the Docker Compose environment required understanding how Docker's internal networking works. Metabase, running inside a Docker container, cannot connect to PostgreSQL using localhost — it must use the Docker service name (postgres) as the host, which Docker's internal DNS resolves to the PostgreSQL container's IP address. This distinction is not immediately obvious to someone new to Docker networking, and caused initial connection failures during setup.</w:t>
      </w:r>
    </w:p>
    <w:p>
      <w:pPr>
        <w:spacing w:after="160" w:line="360"/>
      </w:pPr>
      <w:r>
        <w:rPr>
          <w:rFonts w:ascii="Arial" w:cs="Arial" w:eastAsia="Arial" w:hAnsi="Arial"/>
          <w:sz w:val="24"/>
          <w:szCs w:val="24"/>
        </w:rPr>
        <w:t xml:space="preserve">Similarly, the Python ETL script runs on the host machine (outside Docker) and connects to PostgreSQL via localhost:5432. This means the connection string used in the ETL script is different from the one used in Metabase's configuration, even though both are connecting to the same database — a potential source of confusion when debugging connection issues.</w:t>
      </w:r>
    </w:p>
    <w:p>
      <w:pPr>
        <w:pStyle w:val="Heading3"/>
      </w:pPr>
      <w:r>
        <w:t xml:space="preserve">7.3.4 Metabase SQL Query Complexity</w:t>
      </w:r>
    </w:p>
    <w:p>
      <w:pPr>
        <w:spacing w:after="160" w:line="360"/>
      </w:pPr>
      <w:r>
        <w:rPr>
          <w:rFonts w:ascii="Arial" w:cs="Arial" w:eastAsia="Arial" w:hAnsi="Arial"/>
          <w:sz w:val="24"/>
          <w:szCs w:val="24"/>
        </w:rPr>
        <w:t xml:space="preserve">Some of the more sophisticated analyses — particularly the top-3-per-category ranking using RANK() OVER PARTITION BY and the two-level customer behavior aggregation — required SQL window functions and subqueries that go beyond what Metabase's visual query builder can express. Writing these queries correctly, testing them directly in PostgreSQL, and then transferring them to Metabase's SQL editor required solid SQL knowledge and careful debugging.</w:t>
      </w:r>
    </w:p>
    <w:p>
      <w:pPr>
        <w:spacing w:after="160" w:line="360"/>
      </w:pPr>
      <w:r>
        <w:rPr>
          <w:rFonts w:ascii="Arial" w:cs="Arial" w:eastAsia="Arial" w:hAnsi="Arial"/>
          <w:sz w:val="24"/>
          <w:szCs w:val="24"/>
        </w:rPr>
        <w:t xml:space="preserve">The RANK() window function in particular required understanding the difference between RANK() (which assigns tied rows the same rank and skips the next rank) and DENSE_RANK() (which assigns tied rows the same rank without skipping). For the top-3-per-category use case, either could be justified depending on whether tied products at the cutoff should all be included or only one should be shown — a business decision as much as a technical one.</w:t>
      </w:r>
    </w:p>
    <w:p>
      <w:pPr>
        <w:pStyle w:val="Heading2"/>
      </w:pPr>
      <w:r>
        <w:t xml:space="preserve">7.4 Future Improvements</w:t>
      </w:r>
    </w:p>
    <w:p>
      <w:pPr>
        <w:spacing w:after="160" w:line="360"/>
      </w:pPr>
      <w:r>
        <w:rPr>
          <w:rFonts w:ascii="Arial" w:cs="Arial" w:eastAsia="Arial" w:hAnsi="Arial"/>
          <w:sz w:val="24"/>
          <w:szCs w:val="24"/>
        </w:rPr>
        <w:t xml:space="preserve">While the project fully meets its stated objectives, several improvements and extensions would make the system more powerful, robust, and production-ready. These are discussed below as directions for future work.</w:t>
      </w:r>
    </w:p>
    <w:p>
      <w:pPr>
        <w:pStyle w:val="Heading3"/>
      </w:pPr>
      <w:r>
        <w:t xml:space="preserve">7.4.1 Incremental ETL and Scheduled Refresh</w:t>
      </w:r>
    </w:p>
    <w:p>
      <w:pPr>
        <w:spacing w:after="160" w:line="360"/>
      </w:pPr>
      <w:r>
        <w:rPr>
          <w:rFonts w:ascii="Arial" w:cs="Arial" w:eastAsia="Arial" w:hAnsi="Arial"/>
          <w:sz w:val="24"/>
          <w:szCs w:val="24"/>
        </w:rPr>
        <w:t xml:space="preserve">The current ETL pipeline performs a full historical load — it reads all source data and loads it into the warehouse once. In a production BI system, data needs to be refreshed regularly (daily, hourly, or even in near-real-time) as new orders arrive. This requires replacing the full load approach with an incremental ETL strategy: only new or changed records since the last run are extracted and loaded.</w:t>
      </w:r>
    </w:p>
    <w:p>
      <w:pPr>
        <w:spacing w:after="160" w:line="360"/>
      </w:pPr>
      <w:r>
        <w:rPr>
          <w:rFonts w:ascii="Arial" w:cs="Arial" w:eastAsia="Arial" w:hAnsi="Arial"/>
          <w:sz w:val="24"/>
          <w:szCs w:val="24"/>
        </w:rPr>
        <w:t xml:space="preserve">Implementing incremental ETL would require adding a "high watermark" mechanism — tracking the timestamp of the last successful load and only extracting records with order_purchase_timestamp greater than that watermark. Tools such as Apache Airflow could be used to schedule the ETL pipeline to run automatically on a defined interval, making the warehouse continuously up to date.</w:t>
      </w:r>
    </w:p>
    <w:p>
      <w:pPr>
        <w:pStyle w:val="Heading3"/>
      </w:pPr>
      <w:r>
        <w:t xml:space="preserve">7.4.2 Additional Dimensions and Analyses</w:t>
      </w:r>
    </w:p>
    <w:p>
      <w:pPr>
        <w:spacing w:after="160" w:line="360"/>
      </w:pPr>
      <w:r>
        <w:rPr>
          <w:rFonts w:ascii="Arial" w:cs="Arial" w:eastAsia="Arial" w:hAnsi="Arial"/>
          <w:sz w:val="24"/>
          <w:szCs w:val="24"/>
        </w:rPr>
        <w:t xml:space="preserve">The current schema uses four dimensions. The Olist dataset contains additional entities — sellers, payment methods, and order reviews — that could support richer analyses if incorporated into the warehouse.</w:t>
      </w:r>
    </w:p>
    <w:p>
      <w:pPr>
        <w:pStyle w:val="ListParagraph"/>
        <w:numPr>
          <w:ilvl w:val="0"/>
          <w:numId w:val="2"/>
        </w:numPr>
        <w:spacing w:after="100" w:line="360"/>
      </w:pPr>
      <w:r>
        <w:rPr>
          <w:rFonts w:ascii="Arial" w:cs="Arial" w:eastAsia="Arial" w:hAnsi="Arial"/>
          <w:b/>
          <w:bCs/>
          <w:sz w:val="24"/>
          <w:szCs w:val="24"/>
        </w:rPr>
        <w:t xml:space="preserve">A seller dimension </w:t>
      </w:r>
      <w:r>
        <w:rPr>
          <w:rFonts w:ascii="Arial" w:cs="Arial" w:eastAsia="Arial" w:hAnsi="Arial"/>
          <w:b w:val="false"/>
          <w:bCs w:val="false"/>
          <w:sz w:val="24"/>
          <w:szCs w:val="24"/>
        </w:rPr>
        <w:t xml:space="preserve">would enable analysis of seller performance: which sellers generate the most revenue, which have the highest freight costs, and which receive the best customer reviews. This would be valuable for a marketplace platform managing hundreds of individual vendors.</w:t>
      </w:r>
    </w:p>
    <w:p>
      <w:pPr>
        <w:pStyle w:val="ListParagraph"/>
        <w:numPr>
          <w:ilvl w:val="0"/>
          <w:numId w:val="2"/>
        </w:numPr>
        <w:spacing w:after="100" w:line="360"/>
      </w:pPr>
      <w:r>
        <w:rPr>
          <w:rFonts w:ascii="Arial" w:cs="Arial" w:eastAsia="Arial" w:hAnsi="Arial"/>
          <w:b/>
          <w:bCs/>
          <w:sz w:val="24"/>
          <w:szCs w:val="24"/>
        </w:rPr>
        <w:t xml:space="preserve">A payment dimension </w:t>
      </w:r>
      <w:r>
        <w:rPr>
          <w:rFonts w:ascii="Arial" w:cs="Arial" w:eastAsia="Arial" w:hAnsi="Arial"/>
          <w:b w:val="false"/>
          <w:bCs w:val="false"/>
          <w:sz w:val="24"/>
          <w:szCs w:val="24"/>
        </w:rPr>
        <w:t xml:space="preserve">would enable analysis of payment method preferences by region, average transaction value by payment type, and installment purchase behavior — a significant factor in Brazilian e-commerce, where credit card installment payments (parcelamento) are extremely common.</w:t>
      </w:r>
    </w:p>
    <w:p>
      <w:pPr>
        <w:pStyle w:val="ListParagraph"/>
        <w:numPr>
          <w:ilvl w:val="0"/>
          <w:numId w:val="2"/>
        </w:numPr>
        <w:spacing w:after="100" w:line="360"/>
      </w:pPr>
      <w:r>
        <w:rPr>
          <w:rFonts w:ascii="Arial" w:cs="Arial" w:eastAsia="Arial" w:hAnsi="Arial"/>
          <w:b/>
          <w:bCs/>
          <w:sz w:val="24"/>
          <w:szCs w:val="24"/>
        </w:rPr>
        <w:t xml:space="preserve">An order reviews dimension </w:t>
      </w:r>
      <w:r>
        <w:rPr>
          <w:rFonts w:ascii="Arial" w:cs="Arial" w:eastAsia="Arial" w:hAnsi="Arial"/>
          <w:b w:val="false"/>
          <w:bCs w:val="false"/>
          <w:sz w:val="24"/>
          <w:szCs w:val="24"/>
        </w:rPr>
        <w:t xml:space="preserve">would enable sentiment and satisfaction analysis: correlating customer satisfaction scores with product categories, delivery times, or regions. This would add a qualitative dimension to the currently revenue-focused analytical picture.</w:t>
      </w:r>
    </w:p>
    <w:p>
      <w:pPr>
        <w:spacing w:after="100"/>
      </w:pPr>
    </w:p>
    <w:p>
      <w:pPr>
        <w:pStyle w:val="Heading3"/>
      </w:pPr>
      <w:r>
        <w:t xml:space="preserve">7.4.3 Advanced Analytics and Machine Learning Integration</w:t>
      </w:r>
    </w:p>
    <w:p>
      <w:pPr>
        <w:spacing w:after="160" w:line="360"/>
      </w:pPr>
      <w:r>
        <w:rPr>
          <w:rFonts w:ascii="Arial" w:cs="Arial" w:eastAsia="Arial" w:hAnsi="Arial"/>
          <w:sz w:val="24"/>
          <w:szCs w:val="24"/>
        </w:rPr>
        <w:t xml:space="preserve">The data warehouse as built provides a strong foundation for more advanced analytics beyond descriptive reporting. Several extensions into predictive and prescriptive analytics are natural next steps:</w:t>
      </w:r>
    </w:p>
    <w:p>
      <w:pPr>
        <w:pStyle w:val="ListParagraph"/>
        <w:numPr>
          <w:ilvl w:val="0"/>
          <w:numId w:val="2"/>
        </w:numPr>
        <w:spacing w:after="100" w:line="360"/>
      </w:pPr>
      <w:r>
        <w:rPr>
          <w:rFonts w:ascii="Arial" w:cs="Arial" w:eastAsia="Arial" w:hAnsi="Arial"/>
          <w:b/>
          <w:bCs/>
          <w:sz w:val="24"/>
          <w:szCs w:val="24"/>
        </w:rPr>
        <w:t xml:space="preserve">Customer churn prediction: </w:t>
      </w:r>
      <w:r>
        <w:rPr>
          <w:rFonts w:ascii="Arial" w:cs="Arial" w:eastAsia="Arial" w:hAnsi="Arial"/>
          <w:b w:val="false"/>
          <w:bCs w:val="false"/>
          <w:sz w:val="24"/>
          <w:szCs w:val="24"/>
        </w:rPr>
        <w:t xml:space="preserve">Using the customer purchase history in the warehouse, a machine learning model could be trained to predict which customers are at risk of churning (i.e., not making a repeat purchase). This would allow targeted retention campaigns to be deployed proactively rather than reactively.</w:t>
      </w:r>
    </w:p>
    <w:p>
      <w:pPr>
        <w:pStyle w:val="ListParagraph"/>
        <w:numPr>
          <w:ilvl w:val="0"/>
          <w:numId w:val="2"/>
        </w:numPr>
        <w:spacing w:after="100" w:line="360"/>
      </w:pPr>
      <w:r>
        <w:rPr>
          <w:rFonts w:ascii="Arial" w:cs="Arial" w:eastAsia="Arial" w:hAnsi="Arial"/>
          <w:b/>
          <w:bCs/>
          <w:sz w:val="24"/>
          <w:szCs w:val="24"/>
        </w:rPr>
        <w:t xml:space="preserve">Demand forecasting: </w:t>
      </w:r>
      <w:r>
        <w:rPr>
          <w:rFonts w:ascii="Arial" w:cs="Arial" w:eastAsia="Arial" w:hAnsi="Arial"/>
          <w:b w:val="false"/>
          <w:bCs w:val="false"/>
          <w:sz w:val="24"/>
          <w:szCs w:val="24"/>
        </w:rPr>
        <w:t xml:space="preserve">The monthly revenue and order volume time series in the warehouse provide the training data for a time-series forecasting model (such as Facebook Prophet or ARIMA). Accurate demand forecasts would improve inventory planning and reduce both stockouts and overstock situations.</w:t>
      </w:r>
    </w:p>
    <w:p>
      <w:pPr>
        <w:pStyle w:val="ListParagraph"/>
        <w:numPr>
          <w:ilvl w:val="0"/>
          <w:numId w:val="2"/>
        </w:numPr>
        <w:spacing w:after="100" w:line="360"/>
      </w:pPr>
      <w:r>
        <w:rPr>
          <w:rFonts w:ascii="Arial" w:cs="Arial" w:eastAsia="Arial" w:hAnsi="Arial"/>
          <w:b/>
          <w:bCs/>
          <w:sz w:val="24"/>
          <w:szCs w:val="24"/>
        </w:rPr>
        <w:t xml:space="preserve">Product recommendation: </w:t>
      </w:r>
      <w:r>
        <w:rPr>
          <w:rFonts w:ascii="Arial" w:cs="Arial" w:eastAsia="Arial" w:hAnsi="Arial"/>
          <w:b w:val="false"/>
          <w:bCs w:val="false"/>
          <w:sz w:val="24"/>
          <w:szCs w:val="24"/>
        </w:rPr>
        <w:t xml:space="preserve">The fact table captures which products were purchased together within the same order (via order_id grouping). This co-purchase data is the input for collaborative filtering algorithms that power "customers who bought X also bought Y" recommendation systems.</w:t>
      </w:r>
    </w:p>
    <w:p>
      <w:pPr>
        <w:spacing w:after="100"/>
      </w:pPr>
    </w:p>
    <w:p>
      <w:pPr>
        <w:pStyle w:val="Heading3"/>
      </w:pPr>
      <w:r>
        <w:t xml:space="preserve">7.4.4 Production Hardening</w:t>
      </w:r>
    </w:p>
    <w:p>
      <w:pPr>
        <w:spacing w:after="160" w:line="360"/>
      </w:pPr>
      <w:r>
        <w:rPr>
          <w:rFonts w:ascii="Arial" w:cs="Arial" w:eastAsia="Arial" w:hAnsi="Arial"/>
          <w:sz w:val="24"/>
          <w:szCs w:val="24"/>
        </w:rPr>
        <w:t xml:space="preserve">The current system is designed for academic demonstration and runs locally on a single machine. Moving it toward a production-grade system would require several hardening steps:</w:t>
      </w:r>
    </w:p>
    <w:p>
      <w:pPr>
        <w:pStyle w:val="ListParagraph"/>
        <w:numPr>
          <w:ilvl w:val="0"/>
          <w:numId w:val="2"/>
        </w:numPr>
        <w:spacing w:after="100" w:line="360"/>
      </w:pPr>
      <w:r>
        <w:rPr>
          <w:rFonts w:ascii="Arial" w:cs="Arial" w:eastAsia="Arial" w:hAnsi="Arial"/>
          <w:b/>
          <w:bCs/>
          <w:sz w:val="24"/>
          <w:szCs w:val="24"/>
        </w:rPr>
        <w:t xml:space="preserve">Persistent storage: </w:t>
      </w:r>
      <w:r>
        <w:rPr>
          <w:rFonts w:ascii="Arial" w:cs="Arial" w:eastAsia="Arial" w:hAnsi="Arial"/>
          <w:b w:val="false"/>
          <w:bCs w:val="false"/>
          <w:sz w:val="24"/>
          <w:szCs w:val="24"/>
        </w:rPr>
        <w:t xml:space="preserve">The current Docker setup does not define named volumes for the PostgreSQL data directory, meaning the database contents are lost if the container is recreated. Adding a persistent volume would preserve the warehouse data across container restarts.</w:t>
      </w:r>
    </w:p>
    <w:p>
      <w:pPr>
        <w:pStyle w:val="ListParagraph"/>
        <w:numPr>
          <w:ilvl w:val="0"/>
          <w:numId w:val="2"/>
        </w:numPr>
        <w:spacing w:after="100" w:line="360"/>
      </w:pPr>
      <w:r>
        <w:rPr>
          <w:rFonts w:ascii="Arial" w:cs="Arial" w:eastAsia="Arial" w:hAnsi="Arial"/>
          <w:b/>
          <w:bCs/>
          <w:sz w:val="24"/>
          <w:szCs w:val="24"/>
        </w:rPr>
        <w:t xml:space="preserve">Security: </w:t>
      </w:r>
      <w:r>
        <w:rPr>
          <w:rFonts w:ascii="Arial" w:cs="Arial" w:eastAsia="Arial" w:hAnsi="Arial"/>
          <w:b w:val="false"/>
          <w:bCs w:val="false"/>
          <w:sz w:val="24"/>
          <w:szCs w:val="24"/>
        </w:rPr>
        <w:t xml:space="preserve">The database credentials (admin/admin123) are hardcoded in the docker-compose.yml and ETL script. A production system would use environment variables or a secrets management tool to handle credentials securely.</w:t>
      </w:r>
    </w:p>
    <w:p>
      <w:pPr>
        <w:pStyle w:val="ListParagraph"/>
        <w:numPr>
          <w:ilvl w:val="0"/>
          <w:numId w:val="2"/>
        </w:numPr>
        <w:spacing w:after="100" w:line="360"/>
      </w:pPr>
      <w:r>
        <w:rPr>
          <w:rFonts w:ascii="Arial" w:cs="Arial" w:eastAsia="Arial" w:hAnsi="Arial"/>
          <w:b/>
          <w:bCs/>
          <w:sz w:val="24"/>
          <w:szCs w:val="24"/>
        </w:rPr>
        <w:t xml:space="preserve">Error handling and logging: </w:t>
      </w:r>
      <w:r>
        <w:rPr>
          <w:rFonts w:ascii="Arial" w:cs="Arial" w:eastAsia="Arial" w:hAnsi="Arial"/>
          <w:b w:val="false"/>
          <w:bCs w:val="false"/>
          <w:sz w:val="24"/>
          <w:szCs w:val="24"/>
        </w:rPr>
        <w:t xml:space="preserve">The ETL pipeline would benefit from structured logging (using Python's logging module), retry logic for transient database connection failures, and alerting if a pipeline run fails or produces an unexpectedly low row count.</w:t>
      </w:r>
    </w:p>
    <w:p>
      <w:pPr>
        <w:pStyle w:val="ListParagraph"/>
        <w:numPr>
          <w:ilvl w:val="0"/>
          <w:numId w:val="2"/>
        </w:numPr>
        <w:spacing w:after="100" w:line="360"/>
      </w:pPr>
      <w:r>
        <w:rPr>
          <w:rFonts w:ascii="Arial" w:cs="Arial" w:eastAsia="Arial" w:hAnsi="Arial"/>
          <w:b/>
          <w:bCs/>
          <w:sz w:val="24"/>
          <w:szCs w:val="24"/>
        </w:rPr>
        <w:t xml:space="preserve">Cloud deployment: </w:t>
      </w:r>
      <w:r>
        <w:rPr>
          <w:rFonts w:ascii="Arial" w:cs="Arial" w:eastAsia="Arial" w:hAnsi="Arial"/>
          <w:b w:val="false"/>
          <w:bCs w:val="false"/>
          <w:sz w:val="24"/>
          <w:szCs w:val="24"/>
        </w:rPr>
        <w:t xml:space="preserve">For accessibility beyond a local machine, the system could be deployed on a cloud platform such as AWS, GCP, or Azure. PostgreSQL could be replaced with a managed database service (e.g., Amazon RDS) and Metabase hosted on a small virtual machine or container service.</w:t>
      </w:r>
    </w:p>
    <w:p>
      <w:pPr>
        <w:spacing w:after="160"/>
      </w:pPr>
    </w:p>
    <w:p>
      <w:pPr>
        <w:pStyle w:val="Heading2"/>
      </w:pPr>
      <w:r>
        <w:t xml:space="preserve">7.5 Lessons Learned</w:t>
      </w:r>
    </w:p>
    <w:p>
      <w:pPr>
        <w:spacing w:after="160" w:line="360"/>
      </w:pPr>
      <w:r>
        <w:rPr>
          <w:rFonts w:ascii="Arial" w:cs="Arial" w:eastAsia="Arial" w:hAnsi="Arial"/>
          <w:sz w:val="24"/>
          <w:szCs w:val="24"/>
        </w:rPr>
        <w:t xml:space="preserve">Beyond the technical outcomes, the project produced several broader lessons about the practice of Business Intelligence that are worth reflecting on.</w:t>
      </w:r>
    </w:p>
    <w:p>
      <w:pPr>
        <w:spacing w:after="160" w:line="360"/>
      </w:pPr>
      <w:r>
        <w:rPr>
          <w:rFonts w:ascii="Arial" w:cs="Arial" w:eastAsia="Arial" w:hAnsi="Arial"/>
          <w:sz w:val="24"/>
          <w:szCs w:val="24"/>
        </w:rPr>
        <w:t xml:space="preserve">First, data quality is the foundation of everything. A beautifully designed star schema and an elegant ETL pipeline produce meaningless results if the underlying data is not properly understood and cleaned. The time invested in data profiling and quality assessment in the early stages of the project paid dividends throughout — every transformation decision was grounded in a concrete understanding of what the data actually contained.</w:t>
      </w:r>
    </w:p>
    <w:p>
      <w:pPr>
        <w:spacing w:after="160" w:line="360"/>
      </w:pPr>
      <w:r>
        <w:rPr>
          <w:rFonts w:ascii="Arial" w:cs="Arial" w:eastAsia="Arial" w:hAnsi="Arial"/>
          <w:sz w:val="24"/>
          <w:szCs w:val="24"/>
        </w:rPr>
        <w:t xml:space="preserve">Second, the separation of concerns between schema definition (init.sql), data transformation (etl_pipeline.py), and visualization (Metabase) makes the system easier to understand, debug, and extend. Each layer has a clear responsibility, and changes to one layer — such as adding a new dimension — can be made without touching the others, beyond the minimal necessary updates.</w:t>
      </w:r>
    </w:p>
    <w:p>
      <w:pPr>
        <w:spacing w:after="160" w:line="360"/>
      </w:pPr>
      <w:r>
        <w:rPr>
          <w:rFonts w:ascii="Arial" w:cs="Arial" w:eastAsia="Arial" w:hAnsi="Arial"/>
          <w:sz w:val="24"/>
          <w:szCs w:val="24"/>
        </w:rPr>
        <w:t xml:space="preserve">Third, choosing the right tool for each job matters. Python and Pandas are excellent for data transformation, but using them to try to replicate what a relational database does natively (enforcing constraints, managing relationships) would be both more complex and less reliable. Conversely, PostgreSQL's SQL is expressive and powerful for analytical queries, but would be verbose and slow compared to Pandas for the kind of bulk row-by-row transformation involved in ETL. Using each tool in its area of strength — Pandas for transformation, PostgreSQL for storage and querying, Metabase for visualization — produces a cleaner and more maintainable system than any single-tool approach.</w:t>
      </w:r>
    </w:p>
    <w:p>
      <w:pPr>
        <w:spacing w:after="160" w:line="360"/>
      </w:pPr>
      <w:r>
        <w:rPr>
          <w:rFonts w:ascii="Arial" w:cs="Arial" w:eastAsia="Arial" w:hAnsi="Arial"/>
          <w:sz w:val="24"/>
          <w:szCs w:val="24"/>
        </w:rPr>
        <w:t xml:space="preserve">Finally, the project reinforced the value of the Star Schema as a design pattern. Its simplicity — just a fact table and dimension tables, connected by integer foreign keys — belies its analytical power. Once the schema was in place, every business question we wanted to answer could be expressed as a straightforward SQL query involving at most two or three JOINs. The time invested in designing the schema correctly at the start of the project made every subsequent step faster and easier.</w:t>
      </w:r>
    </w:p>
    <w:p>
      <w:pPr>
        <w:pStyle w:val="Heading2"/>
      </w:pPr>
      <w:r>
        <w:t xml:space="preserve">7.6 Closing Remarks</w:t>
      </w:r>
    </w:p>
    <w:p>
      <w:pPr>
        <w:spacing w:after="160" w:line="360"/>
      </w:pPr>
      <w:r>
        <w:rPr>
          <w:rFonts w:ascii="Arial" w:cs="Arial" w:eastAsia="Arial" w:hAnsi="Arial"/>
          <w:sz w:val="24"/>
          <w:szCs w:val="24"/>
        </w:rPr>
        <w:t xml:space="preserve">This project demonstrates that a fully functional Business Intelligence system — capable of ingesting real-world data, organizing it in a query-optimized data warehouse, and surfacing actionable insights through an interactive dashboard — can be built with open-source tools at no licensing cost, and run on a standard laptop using Docker. The barrier to implementing BI is no longer primarily one of tooling or infrastructure cost; it is one of design skill, data engineering discipline, and analytical thinking.</w:t>
      </w:r>
    </w:p>
    <w:p>
      <w:pPr>
        <w:spacing w:after="160" w:line="360"/>
      </w:pPr>
      <w:r>
        <w:rPr>
          <w:rFonts w:ascii="Arial" w:cs="Arial" w:eastAsia="Arial" w:hAnsi="Arial"/>
          <w:sz w:val="24"/>
          <w:szCs w:val="24"/>
        </w:rPr>
        <w:t xml:space="preserve">The Olist dataset provided a rich and realistic foundation for this work. Its scale, diversity of dimensions, and real-world messiness made it a genuine test of the full BI pipeline — not just the happy path, but the edge cases, data quality issues, and design trade-offs that real systems must navigate. Working through those challenges produced a more robust and better-understood system than a cleaner, pre-processed dataset would have.</w:t>
      </w:r>
    </w:p>
    <w:p>
      <w:pPr>
        <w:spacing w:after="160" w:line="360"/>
      </w:pPr>
      <w:r>
        <w:rPr>
          <w:rFonts w:ascii="Arial" w:cs="Arial" w:eastAsia="Arial" w:hAnsi="Arial"/>
          <w:sz w:val="24"/>
          <w:szCs w:val="24"/>
        </w:rPr>
        <w:t xml:space="preserve">The skills and patterns demonstrated in this project — dimensional modeling, ETL development, SQL analytics, and dashboard design — are directly applicable to real-world data engineering and analytics roles. The specific tools (PostgreSQL, Python, Metabase, Docker) are representative of the open-source BI stack used by many organizations today. We hope this project serves not only as a demonstration of competency in Business Intelligence concepts, but as a practical reference for building similar systems in future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2026-06-11T07:30:32.099Z</dcterms:created>
  <dcterms:modified xsi:type="dcterms:W3CDTF">2026-06-11T07:30:32.099Z</dcterms:modified>
</cp:coreProperties>
</file>

<file path=docProps/custom.xml><?xml version="1.0" encoding="utf-8"?>
<Properties xmlns="http://schemas.openxmlformats.org/officeDocument/2006/custom-properties" xmlns:vt="http://schemas.openxmlformats.org/officeDocument/2006/docPropsVTypes"/>
</file>