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Mảng Đối ngoại là cầu nối vững chắc đưa Ban Văn nghệ Thể thao đảm bảo nguồn lực tài chính ổn định cho mọi chương trình. Công việc cụ thể bao gồm:</w:t>
      </w:r>
    </w:p>
    <w:p w:rsidR="00000000" w:rsidDel="00000000" w:rsidP="00000000" w:rsidRDefault="00000000" w:rsidRPr="00000000" w14:paraId="00000002">
      <w:pPr>
        <w:numPr>
          <w:ilvl w:val="0"/>
          <w:numId w:val="1"/>
        </w:numPr>
        <w:spacing w:after="0" w:afterAutospacing="0" w:before="240" w:lineRule="auto"/>
        <w:ind w:left="720" w:hanging="360"/>
        <w:rPr>
          <w:rFonts w:ascii="Be Vietnam Pro" w:cs="Be Vietnam Pro" w:eastAsia="Be Vietnam Pro" w:hAnsi="Be Vietnam Pro"/>
          <w:sz w:val="24"/>
          <w:szCs w:val="24"/>
          <w:u w:val="none"/>
        </w:rPr>
      </w:pPr>
      <w:r w:rsidDel="00000000" w:rsidR="00000000" w:rsidRPr="00000000">
        <w:rPr>
          <w:rFonts w:ascii="Be Vietnam Pro" w:cs="Be Vietnam Pro" w:eastAsia="Be Vietnam Pro" w:hAnsi="Be Vietnam Pro"/>
          <w:sz w:val="24"/>
          <w:szCs w:val="24"/>
          <w:rtl w:val="0"/>
        </w:rPr>
        <w:t xml:space="preserve">Kêu gọi tài trợ: Chủ động tìm kiếm, tiếp cận và đàm phán với các doanh nghiệp, nhà tài trợ để đồng hành cùng các chương trình, sự kiện, cuộc thi hay giải đấu.</w:t>
      </w:r>
    </w:p>
    <w:p w:rsidR="00000000" w:rsidDel="00000000" w:rsidP="00000000" w:rsidRDefault="00000000" w:rsidRPr="00000000" w14:paraId="00000003">
      <w:pPr>
        <w:numPr>
          <w:ilvl w:val="0"/>
          <w:numId w:val="1"/>
        </w:numPr>
        <w:spacing w:after="0" w:afterAutospacing="0" w:before="0" w:beforeAutospacing="0" w:lineRule="auto"/>
        <w:ind w:left="720" w:hanging="360"/>
        <w:rPr>
          <w:rFonts w:ascii="Be Vietnam Pro" w:cs="Be Vietnam Pro" w:eastAsia="Be Vietnam Pro" w:hAnsi="Be Vietnam Pro"/>
          <w:sz w:val="24"/>
          <w:szCs w:val="24"/>
          <w:u w:val="none"/>
        </w:rPr>
      </w:pPr>
      <w:r w:rsidDel="00000000" w:rsidR="00000000" w:rsidRPr="00000000">
        <w:rPr>
          <w:rFonts w:ascii="Be Vietnam Pro" w:cs="Be Vietnam Pro" w:eastAsia="Be Vietnam Pro" w:hAnsi="Be Vietnam Pro"/>
          <w:sz w:val="24"/>
          <w:szCs w:val="24"/>
          <w:rtl w:val="0"/>
        </w:rPr>
        <w:t xml:space="preserve">Chăm sóc đối tác: Duy trì, giữ vững và phát triển mối quan hệ bền chặt với các nhà tài trợ, đối tác chiến lược.</w:t>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Be Vietnam Pro" w:cs="Be Vietnam Pro" w:eastAsia="Be Vietnam Pro" w:hAnsi="Be Vietnam Pro"/>
          <w:sz w:val="24"/>
          <w:szCs w:val="24"/>
          <w:u w:val="none"/>
        </w:rPr>
      </w:pPr>
      <w:r w:rsidDel="00000000" w:rsidR="00000000" w:rsidRPr="00000000">
        <w:rPr>
          <w:rFonts w:ascii="Be Vietnam Pro" w:cs="Be Vietnam Pro" w:eastAsia="Be Vietnam Pro" w:hAnsi="Be Vietnam Pro"/>
          <w:sz w:val="24"/>
          <w:szCs w:val="24"/>
          <w:rtl w:val="0"/>
        </w:rPr>
        <w:t xml:space="preserve">Quản lý tài chính: Lên kế hoạch thu - chi chi tiết, lập bảng dự trù tài chính cho từng hoạt động, sự kiện và cuộc thi</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Be Vietnam Pro" w:cs="Be Vietnam Pro" w:eastAsia="Be Vietnam Pro" w:hAnsi="Be Vietnam Pro"/>
          <w:sz w:val="24"/>
          <w:szCs w:val="24"/>
          <w:u w:val="none"/>
        </w:rPr>
      </w:pPr>
      <w:r w:rsidDel="00000000" w:rsidR="00000000" w:rsidRPr="00000000">
        <w:rPr>
          <w:rFonts w:ascii="Be Vietnam Pro" w:cs="Be Vietnam Pro" w:eastAsia="Be Vietnam Pro" w:hAnsi="Be Vietnam Pro"/>
          <w:sz w:val="24"/>
          <w:szCs w:val="24"/>
          <w:rtl w:val="0"/>
        </w:rPr>
        <w:t xml:space="preserve">Mở rộng mạng lưới: Kết nối Ban Văn nghệ Thể thao với các đơn vị, tập thể khác để xây dựng một mạng lưới sinh viên vững mạnh, năng động và đoàn kết.</w:t>
      </w:r>
    </w:p>
    <w:p w:rsidR="00000000" w:rsidDel="00000000" w:rsidP="00000000" w:rsidRDefault="00000000" w:rsidRPr="00000000" w14:paraId="00000006">
      <w:pPr>
        <w:numPr>
          <w:ilvl w:val="0"/>
          <w:numId w:val="1"/>
        </w:numPr>
        <w:spacing w:after="240" w:before="0" w:beforeAutospacing="0" w:lineRule="auto"/>
        <w:ind w:left="720" w:hanging="360"/>
        <w:rPr>
          <w:rFonts w:ascii="Be Vietnam Pro" w:cs="Be Vietnam Pro" w:eastAsia="Be Vietnam Pro" w:hAnsi="Be Vietnam Pro"/>
          <w:sz w:val="24"/>
          <w:szCs w:val="24"/>
          <w:u w:val="none"/>
        </w:rPr>
      </w:pPr>
      <w:r w:rsidDel="00000000" w:rsidR="00000000" w:rsidRPr="00000000">
        <w:rPr>
          <w:rFonts w:ascii="Be Vietnam Pro" w:cs="Be Vietnam Pro" w:eastAsia="Be Vietnam Pro" w:hAnsi="Be Vietnam Pro"/>
          <w:sz w:val="24"/>
          <w:szCs w:val="24"/>
          <w:rtl w:val="0"/>
        </w:rPr>
        <w:t xml:space="preserve">Gắn kết nội bộ: Phối hợp nhịp nhàng cùng mảng Tổ chức để thực hiện các hoạt động nội bộ của Ban.</w:t>
      </w:r>
    </w:p>
    <w:p w:rsidR="00000000" w:rsidDel="00000000" w:rsidP="00000000" w:rsidRDefault="00000000" w:rsidRPr="00000000" w14:paraId="00000007">
      <w:pPr>
        <w:rPr>
          <w:rFonts w:ascii="Be Vietnam Pro" w:cs="Be Vietnam Pro" w:eastAsia="Be Vietnam Pro" w:hAnsi="Be Vietnam Pr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e Vietnam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eVietnamPro-regular.ttf"/><Relationship Id="rId2" Type="http://schemas.openxmlformats.org/officeDocument/2006/relationships/font" Target="fonts/BeVietnamPro-bold.ttf"/><Relationship Id="rId3" Type="http://schemas.openxmlformats.org/officeDocument/2006/relationships/font" Target="fonts/BeVietnamPro-italic.ttf"/><Relationship Id="rId4" Type="http://schemas.openxmlformats.org/officeDocument/2006/relationships/font" Target="fonts/BeVietnam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