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Mảng Truyền thông là người định hướng tiếng nói, lan tỏa thông điệp và kết nối các chương trình đến gần hơn với mọi người. Công việc cụ thể bao gồm:</w:t>
      </w:r>
    </w:p>
    <w:p w:rsidR="00000000" w:rsidDel="00000000" w:rsidP="00000000" w:rsidRDefault="00000000" w:rsidRPr="00000000" w14:paraId="00000002">
      <w:pPr>
        <w:numPr>
          <w:ilvl w:val="0"/>
          <w:numId w:val="1"/>
        </w:numPr>
        <w:spacing w:after="0" w:afterAutospacing="0" w:before="240" w:lineRule="auto"/>
        <w:ind w:left="720" w:hanging="360"/>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Lên kế hoạch truyền thông: Xây dựng kế hoạch truyền thông toàn diện (cả online và offline) cho các chương trình, sự kiện và cuộc thi</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Quản lý kênh thông tin: Quản lý và phát triển các nền tảng mạng xã hội của Ban cũng như các dự án, sự kiện trực thuộc.</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Sáng tạo nội dung: Lên ý tưởng, viết bài và sáng tạo thông điệp thu hút trên các phương tiện truyền thông xã hội.</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Phối hợp sản xuất: Làm việc chặt chẽ cùng mảng Media - Design để định hướng và cho ra đời những ấn phẩm, buổi chụp hình chất lượng.</w:t>
      </w:r>
    </w:p>
    <w:p w:rsidR="00000000" w:rsidDel="00000000" w:rsidP="00000000" w:rsidRDefault="00000000" w:rsidRPr="00000000" w14:paraId="00000006">
      <w:pPr>
        <w:numPr>
          <w:ilvl w:val="0"/>
          <w:numId w:val="1"/>
        </w:numPr>
        <w:spacing w:after="240" w:before="0" w:beforeAutospacing="0" w:lineRule="auto"/>
        <w:ind w:left="720" w:hanging="360"/>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Làm mẫu ảnh: Trực tiếp tham gia làm mẫu ảnh, diễn xuất trong các video truyền thông, giải trí... để tạo điểm nhấn hút mắt cho các sự kiện</w:t>
      </w:r>
    </w:p>
    <w:p w:rsidR="00000000" w:rsidDel="00000000" w:rsidP="00000000" w:rsidRDefault="00000000" w:rsidRPr="00000000" w14:paraId="00000007">
      <w:pPr>
        <w:rPr>
          <w:rFonts w:ascii="Be Vietnam Pro" w:cs="Be Vietnam Pro" w:eastAsia="Be Vietnam Pro" w:hAnsi="Be Vietnam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