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Bank Procurement Policy</w:t>
      </w:r>
    </w:p>
    <w:p>
      <w:r>
        <w:t>This policy governs purchases of goods and services from suppliers. It does not cover employee expense claims.</w:t>
      </w:r>
    </w:p>
    <w:p>
      <w:pPr>
        <w:pStyle w:val="Heading2"/>
      </w:pPr>
      <w:r>
        <w:t>Purchase Order Approval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 value</w:t>
            </w:r>
          </w:p>
        </w:tc>
        <w:tc>
          <w:tcPr>
            <w:tcW w:type="dxa" w:w="4320"/>
          </w:tcPr>
          <w:p>
            <w:r>
              <w:t>Approver</w:t>
            </w:r>
          </w:p>
        </w:tc>
      </w:tr>
      <w:tr>
        <w:tc>
          <w:tcPr>
            <w:tcW w:type="dxa" w:w="4320"/>
          </w:tcPr>
          <w:p>
            <w:r>
              <w:t>Up to 500 dollars</w:t>
            </w:r>
          </w:p>
        </w:tc>
        <w:tc>
          <w:tcPr>
            <w:tcW w:type="dxa" w:w="4320"/>
          </w:tcPr>
          <w:p>
            <w:r>
              <w:t>Team lead</w:t>
            </w:r>
          </w:p>
        </w:tc>
      </w:tr>
      <w:tr>
        <w:tc>
          <w:tcPr>
            <w:tcW w:type="dxa" w:w="4320"/>
          </w:tcPr>
          <w:p>
            <w:r>
              <w:t>501 to 5,000 dollars</w:t>
            </w:r>
          </w:p>
        </w:tc>
        <w:tc>
          <w:tcPr>
            <w:tcW w:type="dxa" w:w="4320"/>
          </w:tcPr>
          <w:p>
            <w:r>
              <w:t>Procurement manager</w:t>
            </w:r>
          </w:p>
        </w:tc>
      </w:tr>
      <w:tr>
        <w:tc>
          <w:tcPr>
            <w:tcW w:type="dxa" w:w="4320"/>
          </w:tcPr>
          <w:p>
            <w:r>
              <w:t>Over 5,000 dollars</w:t>
            </w:r>
          </w:p>
        </w:tc>
        <w:tc>
          <w:tcPr>
            <w:tcW w:type="dxa" w:w="4320"/>
          </w:tcPr>
          <w:p>
            <w:r>
              <w:t>Chief operating officer</w:t>
            </w:r>
          </w:p>
        </w:tc>
      </w:tr>
    </w:tbl>
    <w:p>
      <w:pPr>
        <w:pStyle w:val="Heading2"/>
      </w:pPr>
      <w:r>
        <w:t>Supplier Invoices</w:t>
      </w:r>
    </w:p>
    <w:p>
      <w:r>
        <w:t>Approved supplier invoices are paid within 45 days of receipt. Invoices received after the 25th are processed in the following month's payment run.</w:t>
      </w:r>
    </w:p>
    <w:p>
      <w:pPr>
        <w:pStyle w:val="Heading2"/>
      </w:pPr>
      <w:r>
        <w:t>Supplier Travel</w:t>
      </w:r>
    </w:p>
    <w:p>
      <w:r>
        <w:t>Suppliers visiting Acme Bank sites are not reimbursed for hotels or meals unless the contract says so. Contracted hotel stays are capped at 140 dollars per night.</w:t>
      </w:r>
    </w:p>
    <w:p>
      <w:pPr>
        <w:pStyle w:val="Heading2"/>
      </w:pPr>
      <w:r>
        <w:t>Equipment Purchases</w:t>
      </w:r>
    </w:p>
    <w:p>
      <w:r>
        <w:t>Laptops and phones are ordered through the central equipment catalogue. Replacement of damaged equipment needs a written incident report within 5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