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Bank Travel and Expense Policy</w:t>
      </w:r>
    </w:p>
    <w:p>
      <w:r>
        <w:t>Employees are reimbursed for reasonable business expenses. All claims must be submitted within 30 days with original receipts.</w:t>
      </w:r>
    </w:p>
    <w:p>
      <w:pPr>
        <w:pStyle w:val="Heading2"/>
      </w:pPr>
      <w:r>
        <w:t>Approval Limits</w:t>
      </w:r>
    </w:p>
    <w:tbl>
      <w:tblPr>
        <w:tblStyle w:val="TableGrid"/>
        <w:tblW w:type="auto" w:w="0"/>
        <w:tblLook w:firstColumn="1" w:firstRow="1" w:lastColumn="0" w:lastRow="0" w:noHBand="0" w:noVBand="1" w:val="04A0"/>
      </w:tblPr>
      <w:tblGrid>
        <w:gridCol w:w="4320"/>
        <w:gridCol w:w="4320"/>
      </w:tblGrid>
      <w:tr>
        <w:tc>
          <w:tcPr>
            <w:tcW w:type="dxa" w:w="4320"/>
          </w:tcPr>
          <w:p>
            <w:r>
              <w:t>Amount</w:t>
            </w:r>
          </w:p>
        </w:tc>
        <w:tc>
          <w:tcPr>
            <w:tcW w:type="dxa" w:w="4320"/>
          </w:tcPr>
          <w:p>
            <w:r>
              <w:t>Approver</w:t>
            </w:r>
          </w:p>
        </w:tc>
      </w:tr>
      <w:tr>
        <w:tc>
          <w:tcPr>
            <w:tcW w:type="dxa" w:w="4320"/>
          </w:tcPr>
          <w:p>
            <w:r>
              <w:t>Up to 200 dollars</w:t>
            </w:r>
          </w:p>
        </w:tc>
        <w:tc>
          <w:tcPr>
            <w:tcW w:type="dxa" w:w="4320"/>
          </w:tcPr>
          <w:p>
            <w:r>
              <w:t>Line manager</w:t>
            </w:r>
          </w:p>
        </w:tc>
      </w:tr>
      <w:tr>
        <w:tc>
          <w:tcPr>
            <w:tcW w:type="dxa" w:w="4320"/>
          </w:tcPr>
          <w:p>
            <w:r>
              <w:t>201 to 2,000 dollars</w:t>
            </w:r>
          </w:p>
        </w:tc>
        <w:tc>
          <w:tcPr>
            <w:tcW w:type="dxa" w:w="4320"/>
          </w:tcPr>
          <w:p>
            <w:r>
              <w:t>Department head</w:t>
            </w:r>
          </w:p>
        </w:tc>
      </w:tr>
      <w:tr>
        <w:tc>
          <w:tcPr>
            <w:tcW w:type="dxa" w:w="4320"/>
          </w:tcPr>
          <w:p>
            <w:r>
              <w:t>Over 2,000 dollars</w:t>
            </w:r>
          </w:p>
        </w:tc>
        <w:tc>
          <w:tcPr>
            <w:tcW w:type="dxa" w:w="4320"/>
          </w:tcPr>
          <w:p>
            <w:r>
              <w:t>Finance director</w:t>
            </w:r>
          </w:p>
        </w:tc>
      </w:tr>
    </w:tbl>
    <w:p>
      <w:pPr>
        <w:pStyle w:val="Heading2"/>
      </w:pPr>
      <w:r>
        <w:t>Meals</w:t>
      </w:r>
    </w:p>
    <w:p>
      <w:r>
        <w:t>Daily meal allowance during business travel is 60 dollars. Alcohol is not reimbursed under any circumstances.</w:t>
      </w:r>
    </w:p>
    <w:p>
      <w:pPr>
        <w:pStyle w:val="Heading2"/>
      </w:pPr>
      <w:r>
        <w:t>Flights and Hotels</w:t>
      </w:r>
    </w:p>
    <w:p>
      <w:r>
        <w:t>Flights under 6 hours must be booked in economy class. Hotel stays are capped at 180 dollars per night in major cities and 120 dollars elsewhere. Bookings must be made through the company travel portal.</w:t>
      </w:r>
    </w:p>
    <w:p>
      <w:pPr>
        <w:pStyle w:val="Heading2"/>
      </w:pPr>
      <w:r>
        <w:t>Reimbursement Timeline</w:t>
      </w:r>
    </w:p>
    <w:p>
      <w:r>
        <w:t>Approved claims are paid with the next monthly payroll. Claims submitted after the 20th are paid the following month.</w:t>
      </w:r>
    </w:p>
    <w:p>
      <w:pPr>
        <w:pStyle w:val="Heading2"/>
      </w:pPr>
      <w:r>
        <w:t>Mileage</w:t>
      </w:r>
    </w:p>
    <w:p>
      <w:r>
        <w:t>Business use of a personal car is reimbursed at 0.58 dollars per kilometre.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