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Acme Bank Information Security Policy</w:t>
      </w:r>
    </w:p>
    <w:p>
      <w:r>
        <w:t>All staff must follow this policy when using Acme Bank systems and data.</w:t>
      </w:r>
    </w:p>
    <w:p>
      <w:pPr>
        <w:pStyle w:val="Heading2"/>
      </w:pPr>
      <w:r>
        <w:t>Passwords and Authentication</w:t>
      </w:r>
    </w:p>
    <w:p>
      <w:r>
        <w:t>Passwords must be at least 12 characters long and include letters, numbers and a symbol. Passwords expire every 90 days and the last 5 passwords cannot be reused.</w:t>
      </w:r>
    </w:p>
    <w:p>
      <w:r>
        <w:t>Multi-factor authentication (MFA) is mandatory for email, the VPN and the core banking system. To reset a forgotten password, use the IT portal or call the service desk on extension 4100.</w:t>
      </w:r>
    </w:p>
    <w:p>
      <w:pPr>
        <w:pStyle w:val="Heading2"/>
      </w:pPr>
      <w:r>
        <w:t>Devices</w:t>
      </w:r>
    </w:p>
    <w:p>
      <w:pPr>
        <w:pStyle w:val="ListBullet"/>
      </w:pPr>
      <w:r>
        <w:t>Company laptops must use full-disk encryption.</w:t>
      </w:r>
    </w:p>
    <w:p>
      <w:pPr>
        <w:pStyle w:val="ListBullet"/>
      </w:pPr>
      <w:r>
        <w:t>Personal devices may access email only through the managed mobile app.</w:t>
      </w:r>
    </w:p>
    <w:p>
      <w:pPr>
        <w:pStyle w:val="ListBullet"/>
      </w:pPr>
      <w:r>
        <w:t>Lost or stolen devices must be reported to the service desk within 2 hours.</w:t>
      </w:r>
    </w:p>
    <w:p>
      <w:pPr>
        <w:pStyle w:val="Heading2"/>
      </w:pPr>
      <w:r>
        <w:t>Remote Access</w:t>
      </w:r>
    </w:p>
    <w:p>
      <w:r>
        <w:t>Remote work requires the company VPN. Public Wi-Fi may be used only with the VPN active. Customer data must never be saved on personal cloud storage.</w:t>
      </w:r>
    </w:p>
    <w:p>
      <w:pPr>
        <w:pStyle w:val="Heading2"/>
      </w:pPr>
      <w:r>
        <w:t>Phishing and Incident Reporting</w:t>
      </w:r>
    </w:p>
    <w:p>
      <w:r>
        <w:t>Suspicious emails must be reported with the Report Phish button. Any suspected data breach must be reported to the security team at once. The security team will classify the incident within 24 hours.</w:t>
      </w:r>
    </w:p>
    <w:p>
      <w:pPr>
        <w:pStyle w:val="Heading2"/>
      </w:pPr>
      <w:r>
        <w:t>Data Classification</w:t>
      </w:r>
    </w:p>
    <w:tbl>
      <w:tblPr>
        <w:tblStyle w:val="TableGrid"/>
        <w:tblW w:type="auto" w:w="0"/>
        <w:tblLook w:firstColumn="1" w:firstRow="1" w:lastColumn="0" w:lastRow="0" w:noHBand="0" w:noVBand="1" w:val="04A0"/>
      </w:tblPr>
      <w:tblGrid>
        <w:gridCol w:w="2880"/>
        <w:gridCol w:w="2880"/>
        <w:gridCol w:w="2880"/>
      </w:tblGrid>
      <w:tr>
        <w:tc>
          <w:tcPr>
            <w:tcW w:type="dxa" w:w="2880"/>
          </w:tcPr>
          <w:p>
            <w:r>
              <w:t>Level</w:t>
            </w:r>
          </w:p>
        </w:tc>
        <w:tc>
          <w:tcPr>
            <w:tcW w:type="dxa" w:w="2880"/>
          </w:tcPr>
          <w:p>
            <w:r>
              <w:t>Example</w:t>
            </w:r>
          </w:p>
        </w:tc>
        <w:tc>
          <w:tcPr>
            <w:tcW w:type="dxa" w:w="2880"/>
          </w:tcPr>
          <w:p>
            <w:r>
              <w:t>Handling</w:t>
            </w:r>
          </w:p>
        </w:tc>
      </w:tr>
      <w:tr>
        <w:tc>
          <w:tcPr>
            <w:tcW w:type="dxa" w:w="2880"/>
          </w:tcPr>
          <w:p>
            <w:r>
              <w:t>Public</w:t>
            </w:r>
          </w:p>
        </w:tc>
        <w:tc>
          <w:tcPr>
            <w:tcW w:type="dxa" w:w="2880"/>
          </w:tcPr>
          <w:p>
            <w:r>
              <w:t>Marketing brochures</w:t>
            </w:r>
          </w:p>
        </w:tc>
        <w:tc>
          <w:tcPr>
            <w:tcW w:type="dxa" w:w="2880"/>
          </w:tcPr>
          <w:p>
            <w:r>
              <w:t>No restrictions</w:t>
            </w:r>
          </w:p>
        </w:tc>
      </w:tr>
      <w:tr>
        <w:tc>
          <w:tcPr>
            <w:tcW w:type="dxa" w:w="2880"/>
          </w:tcPr>
          <w:p>
            <w:r>
              <w:t>Internal</w:t>
            </w:r>
          </w:p>
        </w:tc>
        <w:tc>
          <w:tcPr>
            <w:tcW w:type="dxa" w:w="2880"/>
          </w:tcPr>
          <w:p>
            <w:r>
              <w:t>Staff directory</w:t>
            </w:r>
          </w:p>
        </w:tc>
        <w:tc>
          <w:tcPr>
            <w:tcW w:type="dxa" w:w="2880"/>
          </w:tcPr>
          <w:p>
            <w:r>
              <w:t>Company staff only</w:t>
            </w:r>
          </w:p>
        </w:tc>
      </w:tr>
      <w:tr>
        <w:tc>
          <w:tcPr>
            <w:tcW w:type="dxa" w:w="2880"/>
          </w:tcPr>
          <w:p>
            <w:r>
              <w:t>Confidential</w:t>
            </w:r>
          </w:p>
        </w:tc>
        <w:tc>
          <w:tcPr>
            <w:tcW w:type="dxa" w:w="2880"/>
          </w:tcPr>
          <w:p>
            <w:r>
              <w:t>Customer account records</w:t>
            </w:r>
          </w:p>
        </w:tc>
        <w:tc>
          <w:tcPr>
            <w:tcW w:type="dxa" w:w="2880"/>
          </w:tcPr>
          <w:p>
            <w:r>
              <w:t>Encrypted, need-to-know access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