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FF3B30"/>
          <w:spacing w:val="200"/>
          <w:sz w:val="20"/>
          <w:szCs w:val="20"/>
        </w:rPr>
        <w:t xml:space="preserve">PRODUCT REQUIREMENTS DOCUMENT</w:t>
      </w:r>
    </w:p>
    <w:p>
      <w:pPr>
        <w:pBdr>
          <w:bottom w:val="single" w:color="FF3B30" w:sz="4" w:space="8"/>
        </w:pBdr>
        <w:spacing w:after="100" w:before="100"/>
      </w:pPr>
    </w:p>
    <w:p>
      <w:pPr>
        <w:spacing w:after="300"/>
      </w:pPr>
    </w:p>
    <w:p>
      <w:pPr>
        <w:spacing w:after="200"/>
        <w:jc w:val="center"/>
      </w:pPr>
      <w:r>
        <w:rPr>
          <w:rFonts w:ascii="Arial" w:cs="Arial" w:eastAsia="Arial" w:hAnsi="Arial"/>
          <w:b/>
          <w:bCs/>
          <w:color w:val="1A1A2E"/>
          <w:sz w:val="56"/>
          <w:szCs w:val="56"/>
        </w:rPr>
        <w:t xml:space="preserve">Global Energy Crisis</w:t>
      </w:r>
    </w:p>
    <w:p>
      <w:pPr>
        <w:spacing w:after="120"/>
        <w:jc w:val="center"/>
      </w:pPr>
      <w:r>
        <w:rPr>
          <w:rFonts w:ascii="Arial" w:cs="Arial" w:eastAsia="Arial" w:hAnsi="Arial"/>
          <w:b/>
          <w:bCs/>
          <w:color w:val="FF3B30"/>
          <w:sz w:val="56"/>
          <w:szCs w:val="56"/>
        </w:rPr>
        <w:t xml:space="preserve">Command Center</w:t>
      </w:r>
    </w:p>
    <w:p>
      <w:pPr>
        <w:spacing w:after="200"/>
      </w:pPr>
    </w:p>
    <w:p>
      <w:pPr>
        <w:spacing w:after="80"/>
        <w:jc w:val="center"/>
      </w:pPr>
      <w:r>
        <w:rPr>
          <w:rFonts w:ascii="Arial" w:cs="Arial" w:eastAsia="Arial" w:hAnsi="Arial"/>
          <w:color w:val="444466"/>
          <w:sz w:val="24"/>
          <w:szCs w:val="24"/>
        </w:rPr>
        <w:t xml:space="preserve">Interactive Economics Dashboard Application</w:t>
      </w:r>
    </w:p>
    <w:p>
      <w:pPr>
        <w:spacing w:after="80"/>
        <w:jc w:val="center"/>
      </w:pPr>
      <w:r>
        <w:rPr>
          <w:rFonts w:ascii="Arial" w:cs="Arial" w:eastAsia="Arial" w:hAnsi="Arial"/>
          <w:color w:val="8E8E93"/>
          <w:sz w:val="22"/>
          <w:szCs w:val="22"/>
        </w:rPr>
        <w:t xml:space="preserve">2026 Iran War | Strait of Hormuz Blockade | Real-Time Data</w:t>
      </w:r>
    </w:p>
    <w:p>
      <w:pPr>
        <w:spacing w:after="800"/>
      </w:pPr>
    </w:p>
    <w:p>
      <w:pPr>
        <w:spacing w:after="80"/>
        <w:jc w:val="center"/>
      </w:pPr>
      <w:r>
        <w:rPr>
          <w:rFonts w:ascii="Arial" w:cs="Arial" w:eastAsia="Arial" w:hAnsi="Arial"/>
          <w:color w:val="444466"/>
          <w:sz w:val="20"/>
          <w:szCs w:val="20"/>
        </w:rPr>
        <w:t xml:space="preserve">Version 1.0  |  April 11, 2026</w:t>
      </w:r>
    </w:p>
    <w:p>
      <w:pPr>
        <w:jc w:val="center"/>
      </w:pPr>
      <w:r>
        <w:rPr>
          <w:rFonts w:ascii="Arial" w:cs="Arial" w:eastAsia="Arial" w:hAnsi="Arial"/>
          <w:color w:val="8E8E93"/>
          <w:sz w:val="20"/>
          <w:szCs w:val="20"/>
        </w:rPr>
        <w:t xml:space="preserve">Classification: Internal  |  Status: Draft</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t xml:space="preserve">The Global Energy Crisis Command Center is a cutting-edge, interactive web application that provides real-time economic analysis and visualization of the 2026 energy crisis triggered by the Iran war and the closure of the Strait of Hormuz. This is the most significant disruption to global energy markets in history, and this application serves as the definitive analytical tool for understanding its cascading economic impacts.</w:t>
      </w:r>
    </w:p>
    <w:p>
      <w:pPr>
        <w:spacing w:after="80"/>
      </w:pPr>
    </w:p>
    <w:p>
      <w:pPr>
        <w:spacing w:after="120"/>
      </w:pPr>
      <w:r>
        <w:rPr>
          <w:b/>
          <w:bCs/>
        </w:rPr>
        <w:t xml:space="preserve">Product Name: </w:t>
      </w:r>
      <w:r>
        <w:t xml:space="preserve">Global Energy Crisis Command Center</w:t>
      </w:r>
    </w:p>
    <w:p>
      <w:pPr>
        <w:spacing w:after="120"/>
      </w:pPr>
      <w:r>
        <w:rPr>
          <w:b/>
          <w:bCs/>
        </w:rPr>
        <w:t xml:space="preserve">Version: </w:t>
      </w:r>
      <w:r>
        <w:t xml:space="preserve">1.0 (MVP)</w:t>
      </w:r>
    </w:p>
    <w:p>
      <w:pPr>
        <w:spacing w:after="120"/>
      </w:pPr>
      <w:r>
        <w:rPr>
          <w:b/>
          <w:bCs/>
        </w:rPr>
        <w:t xml:space="preserve">Platform: </w:t>
      </w:r>
      <w:r>
        <w:t xml:space="preserve">Web Application (React SPA)</w:t>
      </w:r>
    </w:p>
    <w:p>
      <w:pPr>
        <w:spacing w:after="120"/>
      </w:pPr>
      <w:r>
        <w:rPr>
          <w:b/>
          <w:bCs/>
        </w:rPr>
        <w:t xml:space="preserve">Target Users: </w:t>
      </w:r>
      <w:r>
        <w:t xml:space="preserve">Economists, policy analysts, journalists, students, investors, general public</w:t>
      </w:r>
    </w:p>
    <w:p>
      <w:pPr>
        <w:spacing w:after="120"/>
      </w:pPr>
      <w:r>
        <w:rPr>
          <w:b/>
          <w:bCs/>
        </w:rPr>
        <w:t xml:space="preserve">Tech Stack: </w:t>
      </w:r>
      <w:r>
        <w:t xml:space="preserve">React 18+, Tailwind CSS utilities, vanilla SVG charts, zero backend dependencies</w:t>
      </w:r>
    </w:p>
    <w:p>
      <w:pPr>
        <w:spacing w:after="120"/>
      </w:pPr>
      <w:r>
        <w:rPr>
          <w:b/>
          <w:bCs/>
        </w:rPr>
        <w:t xml:space="preserve">Data Sources: </w:t>
      </w:r>
      <w:r>
        <w:t xml:space="preserve">IEA, EIA (US), OECD, ECB, IEEFA, UN Trade &amp; Development, S&amp;P Global, Kpler, CNBC</w:t>
      </w:r>
    </w:p>
    <w:p>
      <w:pPr>
        <w:spacing w:after="100"/>
      </w:pPr>
    </w:p>
    <w:p>
      <w:pPr>
        <w:pStyle w:val="Heading2"/>
      </w:pPr>
      <w:r>
        <w:t xml:space="preserve">Key Value Propositions</w:t>
      </w:r>
    </w:p>
    <w:p>
      <w:pPr>
        <w:pStyle w:val="ListParagraph"/>
        <w:numPr>
          <w:ilvl w:val="0"/>
          <w:numId w:val="2"/>
        </w:numPr>
        <w:spacing w:after="80"/>
      </w:pPr>
      <w:r>
        <w:rPr>
          <w:sz w:val="22"/>
          <w:szCs w:val="22"/>
        </w:rPr>
        <w:t xml:space="preserve">14 interactive analytical panels covering every dimension of the crisis</w:t>
      </w:r>
    </w:p>
    <w:p>
      <w:pPr>
        <w:pStyle w:val="ListParagraph"/>
        <w:numPr>
          <w:ilvl w:val="0"/>
          <w:numId w:val="2"/>
        </w:numPr>
        <w:spacing w:after="80"/>
      </w:pPr>
      <w:r>
        <w:rPr>
          <w:sz w:val="22"/>
          <w:szCs w:val="22"/>
        </w:rPr>
        <w:t xml:space="preserve">Real-time economic simulation with adjustable parameters (oil price, duration, severity)</w:t>
      </w:r>
    </w:p>
    <w:p>
      <w:pPr>
        <w:pStyle w:val="ListParagraph"/>
        <w:numPr>
          <w:ilvl w:val="0"/>
          <w:numId w:val="2"/>
        </w:numPr>
        <w:spacing w:after="80"/>
      </w:pPr>
      <w:r>
        <w:rPr>
          <w:sz w:val="22"/>
          <w:szCs w:val="22"/>
        </w:rPr>
        <w:t xml:space="preserve">Supply chain cascade visualization showing non-obvious second/third-order effects</w:t>
      </w:r>
    </w:p>
    <w:p>
      <w:pPr>
        <w:pStyle w:val="ListParagraph"/>
        <w:numPr>
          <w:ilvl w:val="0"/>
          <w:numId w:val="2"/>
        </w:numPr>
        <w:spacing w:after="80"/>
      </w:pPr>
      <w:r>
        <w:rPr>
          <w:sz w:val="22"/>
          <w:szCs w:val="22"/>
        </w:rPr>
        <w:t xml:space="preserve">Probability-weighted scenario modeling with 4 distinct geopolitical outcomes</w:t>
      </w:r>
    </w:p>
    <w:p>
      <w:pPr>
        <w:pStyle w:val="ListParagraph"/>
        <w:numPr>
          <w:ilvl w:val="0"/>
          <w:numId w:val="2"/>
        </w:numPr>
        <w:spacing w:after="80"/>
      </w:pPr>
      <w:r>
        <w:rPr>
          <w:sz w:val="22"/>
          <w:szCs w:val="22"/>
        </w:rPr>
        <w:t xml:space="preserve">Stagflation risk dashboard tracking 8 critical macro indicators in real-time</w:t>
      </w:r>
    </w:p>
    <w:p>
      <w:pPr>
        <w:pStyle w:val="ListParagraph"/>
        <w:numPr>
          <w:ilvl w:val="0"/>
          <w:numId w:val="2"/>
        </w:numPr>
        <w:spacing w:after="80"/>
      </w:pPr>
      <w:r>
        <w:rPr>
          <w:sz w:val="22"/>
          <w:szCs w:val="22"/>
        </w:rPr>
        <w:t xml:space="preserve">100% open-source with zero paid dependencies or API keys required</w:t>
      </w:r>
    </w:p>
    <w:p>
      <w:r>
        <w:br w:type="page"/>
      </w:r>
    </w:p>
    <w:p>
      <w:pPr>
        <w:pStyle w:val="Heading1"/>
      </w:pPr>
      <w:r>
        <w:t xml:space="preserve">Problem Statement</w:t>
      </w:r>
    </w:p>
    <w:p>
      <w:pPr>
        <w:pStyle w:val="Heading2"/>
      </w:pPr>
      <w:r>
        <w:t xml:space="preserve">Context</w:t>
      </w:r>
    </w:p>
    <w:p>
      <w:pPr>
        <w:spacing w:after="160"/>
      </w:pPr>
      <w:r>
        <w:t xml:space="preserve">The 2026 Iran war and subsequent closure of the Strait of Hormuz has created what the International Energy Agency calls the "largest supply disruption in the history of the oil market." The crisis has shut in 9.1 million barrels per day of oil production, blocked 20% of global oil and LNG flows, damaged 40+ major energy infrastructure assets, and sent Brent crude above $100/barrel.</w:t>
      </w:r>
    </w:p>
    <w:p>
      <w:pPr>
        <w:spacing w:after="160"/>
      </w:pPr>
      <w:r>
        <w:t xml:space="preserve">The economic impacts cascade far beyond energy: fertilizer trade (33% disrupted), helium supply (40% from the Gulf), petrochemicals, shipping routes, aviation, food prices, and industrial output are all severely affected. The UN projects global trade growth halving from 4.7% to 1.5-2.5%.</w:t>
      </w:r>
    </w:p>
    <w:p>
      <w:pPr>
        <w:spacing w:after="80"/>
      </w:pPr>
    </w:p>
    <w:p>
      <w:pPr>
        <w:pStyle w:val="Heading2"/>
      </w:pPr>
      <w:r>
        <w:t xml:space="preserve">The Gap</w:t>
      </w:r>
    </w:p>
    <w:p>
      <w:pPr>
        <w:spacing w:after="160"/>
      </w:pPr>
      <w:r>
        <w:t xml:space="preserve">Existing tools for tracking this crisis are fragmented across dozens of sources (IEA trackers, EIA outlooks, ECB projections, shipping monitors). No single application provides an integrated, interactive view of the full economic picture — from oil price dynamics to country-level vulnerability to supply chain cascades to scenario modeling. This application fills that gap.</w:t>
      </w:r>
    </w:p>
    <w:p>
      <w:r>
        <w:br w:type="page"/>
      </w:r>
    </w:p>
    <w:p>
      <w:pPr>
        <w:pStyle w:val="Heading1"/>
      </w:pPr>
      <w:r>
        <w:t xml:space="preserve">Feature Specification</w:t>
      </w:r>
    </w:p>
    <w:p>
      <w:pPr>
        <w:spacing w:after="160"/>
      </w:pPr>
      <w:r>
        <w:t xml:space="preserve">The application consists of 14 interactive panels, organized into a tabbed interface. Each panel is designed to provide a specific analytical lens on the crisis.</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360"/>
        <w:gridCol w:w="1400"/>
        <w:gridCol w:w="140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Panel Name</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 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summary with 6 KPI cards + oil chart + briefing</w:t>
            </w:r>
          </w:p>
        </w:tc>
        <w:tc>
          <w:tcPr>
            <w:tcW w:type="dxa" w:w="1400"/>
            <w:tcBorders>
              <w:top w:val="single" w:color="CCCCCC" w:sz="1"/>
              <w:left w:val="single" w:color="CCCCCC" w:sz="1"/>
              <w:bottom w:val="single" w:color="CCCCCC" w:sz="1"/>
              <w:right w:val="single" w:color="CCCCCC" w:sz="1"/>
            </w:tcBorders>
            <w:shd w:fill="FFE0DE"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Hormuz Monitor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Shipping traffic collapse visualization + ceasefire status</w:t>
            </w:r>
          </w:p>
        </w:tc>
        <w:tc>
          <w:tcPr>
            <w:tcW w:type="dxa" w:w="1400"/>
            <w:tcBorders>
              <w:top w:val="single" w:color="CCCCCC" w:sz="1"/>
              <w:left w:val="single" w:color="CCCCCC" w:sz="1"/>
              <w:bottom w:val="single" w:color="CCCCCC" w:sz="1"/>
              <w:right w:val="single" w:color="CCCCCC" w:sz="1"/>
            </w:tcBorders>
            <w:shd w:fill="FFE0DE"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GDP/CPI Heatmap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Country-by-country GDP revisions + inflation forecasts</w:t>
            </w:r>
          </w:p>
        </w:tc>
        <w:tc>
          <w:tcPr>
            <w:tcW w:type="dxa" w:w="1400"/>
            <w:tcBorders>
              <w:top w:val="single" w:color="CCCCCC" w:sz="1"/>
              <w:left w:val="single" w:color="CCCCCC" w:sz="1"/>
              <w:bottom w:val="single" w:color="CCCCCC" w:sz="1"/>
              <w:right w:val="single" w:color="CCCCCC" w:sz="1"/>
            </w:tcBorders>
            <w:shd w:fill="FFE0DE"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Stagflation Dashboard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macro indicators tracking stagflation risk</w:t>
            </w:r>
          </w:p>
        </w:tc>
        <w:tc>
          <w:tcPr>
            <w:tcW w:type="dxa" w:w="1400"/>
            <w:tcBorders>
              <w:top w:val="single" w:color="CCCCCC" w:sz="1"/>
              <w:left w:val="single" w:color="CCCCCC" w:sz="1"/>
              <w:bottom w:val="single" w:color="CCCCCC" w:sz="1"/>
              <w:right w:val="single" w:color="CCCCCC" w:sz="1"/>
            </w:tcBorders>
            <w:shd w:fill="FFE0DE"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Chain Cascade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node graph of 19 supply chain dependencies</w:t>
            </w:r>
          </w:p>
        </w:tc>
        <w:tc>
          <w:tcPr>
            <w:tcW w:type="dxa" w:w="1400"/>
            <w:tcBorders>
              <w:top w:val="single" w:color="CCCCCC" w:sz="1"/>
              <w:left w:val="single" w:color="CCCCCC" w:sz="1"/>
              <w:bottom w:val="single" w:color="CCCCCC" w:sz="1"/>
              <w:right w:val="single" w:color="CCCCCC" w:sz="1"/>
            </w:tcBorders>
            <w:shd w:fill="FFE0DE"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War Room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probability-weighted geopolitical scenarios</w:t>
            </w:r>
          </w:p>
        </w:tc>
        <w:tc>
          <w:tcPr>
            <w:tcW w:type="dxa" w:w="1400"/>
            <w:tcBorders>
              <w:top w:val="single" w:color="CCCCCC" w:sz="1"/>
              <w:left w:val="single" w:color="CCCCCC" w:sz="1"/>
              <w:bottom w:val="single" w:color="CCCCCC" w:sz="1"/>
              <w:right w:val="single" w:color="CCCCCC" w:sz="1"/>
            </w:tcBorders>
            <w:shd w:fill="FFE0DE"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Oil Price Chart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Interactive Brent/WTI 7-month trajectory with events</w:t>
            </w:r>
          </w:p>
        </w:tc>
        <w:tc>
          <w:tcPr>
            <w:tcW w:type="dxa" w:w="1400"/>
            <w:tcBorders>
              <w:top w:val="single" w:color="CCCCCC" w:sz="1"/>
              <w:left w:val="single" w:color="CCCCCC" w:sz="1"/>
              <w:bottom w:val="single" w:color="CCCCCC" w:sz="1"/>
              <w:right w:val="single" w:color="CCCCCC" w:sz="1"/>
            </w:tcBorders>
            <w:shd w:fill="FFE0DE"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Disruption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gauges showing disrupted commodity flows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C6600"/>
                <w:sz w:val="20"/>
                <w:szCs w:val="20"/>
              </w:rPr>
              <w:t xml:space="preserve">Medium</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 Vulnerability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8-country vulnerability index with detailed breakdowns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C6600"/>
                <w:sz w:val="20"/>
                <w:szCs w:val="20"/>
              </w:rPr>
              <w:t xml:space="preserve">Medium</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 Simulator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3-slider interactive model: oil price, duration, severity</w:t>
            </w:r>
          </w:p>
        </w:tc>
        <w:tc>
          <w:tcPr>
            <w:tcW w:type="dxa" w:w="1400"/>
            <w:tcBorders>
              <w:top w:val="single" w:color="CCCCCC" w:sz="1"/>
              <w:left w:val="single" w:color="CCCCCC" w:sz="1"/>
              <w:bottom w:val="single" w:color="CCCCCC" w:sz="1"/>
              <w:right w:val="single" w:color="CCCCCC" w:sz="1"/>
            </w:tcBorders>
            <w:shd w:fill="FFE0DE"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Crisis Timeline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12-event expandable timeline with severity ratings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C6600"/>
                <w:sz w:val="20"/>
                <w:szCs w:val="20"/>
              </w:rPr>
              <w:t xml:space="preserve">Medium</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Tracker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Filterable feed of 11 global government responses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C6600"/>
                <w:sz w:val="20"/>
                <w:szCs w:val="20"/>
              </w:rPr>
              <w:t xml:space="preserve">Medium</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Comparison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major energy crises since 1973 compared side-by-side</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C6600"/>
                <w:sz w:val="20"/>
                <w:szCs w:val="20"/>
              </w:rPr>
              <w:t xml:space="preserve">Medium</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Transition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indicators tracking green energy acceleration/regression</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C6600"/>
                <w:sz w:val="20"/>
                <w:szCs w:val="20"/>
              </w:rPr>
              <w:t xml:space="preserve">Medium</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MVP</w:t>
            </w:r>
          </w:p>
        </w:tc>
      </w:tr>
    </w:tbl>
    <w:p>
      <w:r>
        <w:br w:type="page"/>
      </w:r>
    </w:p>
    <w:p>
      <w:pPr>
        <w:pStyle w:val="Heading1"/>
      </w:pPr>
      <w:r>
        <w:t xml:space="preserve">Screen Mockups &amp; UI Specifications</w:t>
      </w:r>
    </w:p>
    <w:p>
      <w:pPr>
        <w:spacing w:after="160"/>
      </w:pPr>
      <w:r>
        <w:t xml:space="preserve">The following wireframe mockups illustrate the core interface design, layout, and data presentation for each major panel. The application uses a dark theme (background #0a0a0f) with a red accent (#ff3b30) creating an urgent, data-rich command center aesthetic.</w:t>
      </w:r>
    </w:p>
    <w:p>
      <w:pPr>
        <w:spacing w:after="100"/>
      </w:pPr>
    </w:p>
    <w:p>
      <w:pPr>
        <w:pStyle w:val="Heading2"/>
      </w:pPr>
      <w:r>
        <w:t xml:space="preserve">4.1 Overview Dashboard</w:t>
      </w:r>
    </w:p>
    <w:p>
      <w:pPr>
        <w:spacing w:after="160"/>
      </w:pPr>
      <w:r>
        <w:t xml:space="preserve">The primary landing screen. Features 6 KPI stat cards in a 2-column grid, a situation briefing panel, and an interactive oil price chart with hover tooltips. The header includes a pulsing live indicator and real-time clock.</w:t>
      </w:r>
    </w:p>
    <w:p>
      <w:pPr>
        <w:spacing w:after="200"/>
      </w:pPr>
      <w:r>
        <w:drawing>
          <wp:inline distT="0" distB="0" distL="0" distR="0">
            <wp:extent cx="5905500" cy="3838575"/>
            <wp:effectExtent t="0" r="0" b="0" l="0"/>
            <wp:docPr id="1" name="overview-mockup" descr="Overview dashboard showing 6 KPI cards, briefing, and oil chart" title="Overview Dashboard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38575"/>
                    </a:xfrm>
                    <a:prstGeom prst="rect">
                      <a:avLst/>
                    </a:prstGeom>
                  </pic:spPr>
                </pic:pic>
              </a:graphicData>
            </a:graphic>
          </wp:inline>
        </w:drawing>
      </w:r>
    </w:p>
    <w:p>
      <w:pPr>
        <w:pStyle w:val="Heading2"/>
      </w:pPr>
      <w:r>
        <w:t xml:space="preserve">4.2 Hormuz Shipping Monitor</w:t>
      </w:r>
    </w:p>
    <w:p>
      <w:pPr>
        <w:spacing w:after="160"/>
      </w:pPr>
      <w:r>
        <w:t xml:space="preserve">Visualizes the catastrophic decline in Strait of Hormuz shipping traffic from 140 vessels/day pre-war to approximately 4/day post-ceasefire. Includes real-time ceasefire status panel showing tankers waiting (230), Iran toll charges ($2M in yuan/crypto), sea mine status, and recovery estimates. Horizontal bar chart enables instant visual comparison of traffic levels across 9 time periods.</w:t>
      </w:r>
    </w:p>
    <w:p>
      <w:pPr>
        <w:spacing w:after="200"/>
      </w:pPr>
      <w:r>
        <w:drawing>
          <wp:inline distT="0" distB="0" distL="0" distR="0">
            <wp:extent cx="5905500" cy="3838575"/>
            <wp:effectExtent t="0" r="0" b="0" l="0"/>
            <wp:docPr id="1" name="hormuz-mockup" descr="Hormuz shipping traffic collapse visualization" title="Hormuz Monitor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38575"/>
                    </a:xfrm>
                    <a:prstGeom prst="rect">
                      <a:avLst/>
                    </a:prstGeom>
                  </pic:spPr>
                </pic:pic>
              </a:graphicData>
            </a:graphic>
          </wp:inline>
        </w:drawing>
      </w:r>
    </w:p>
    <w:p>
      <w:r>
        <w:br w:type="page"/>
      </w:r>
    </w:p>
    <w:p>
      <w:pPr>
        <w:pStyle w:val="Heading2"/>
      </w:pPr>
      <w:r>
        <w:t xml:space="preserve">4.3 GDP &amp; Inflation Impact Heatmap</w:t>
      </w:r>
    </w:p>
    <w:p>
      <w:pPr>
        <w:spacing w:after="160"/>
      </w:pPr>
      <w:r>
        <w:t xml:space="preserve">Sortable data grid showing 8 regions/countries with dual-bar visualization comparing GDP revision severity and 2026 inflation forecasts. Users can toggle between sorting by GDP hit or inflation severity. Data sourced from OECD and ECB March 2026 projections. Color-coded from blue (moderate) through orange to red (severe).</w:t>
      </w:r>
    </w:p>
    <w:p>
      <w:pPr>
        <w:spacing w:after="200"/>
      </w:pPr>
      <w:r>
        <w:drawing>
          <wp:inline distT="0" distB="0" distL="0" distR="0">
            <wp:extent cx="5905500" cy="3838575"/>
            <wp:effectExtent t="0" r="0" b="0" l="0"/>
            <wp:docPr id="1" name="gdp-mockup" descr="GDP and inflation impact heatmap by country" title="GDP Heatmap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838575"/>
                    </a:xfrm>
                    <a:prstGeom prst="rect">
                      <a:avLst/>
                    </a:prstGeom>
                  </pic:spPr>
                </pic:pic>
              </a:graphicData>
            </a:graphic>
          </wp:inline>
        </w:drawing>
      </w:r>
    </w:p>
    <w:p>
      <w:pPr>
        <w:pStyle w:val="Heading2"/>
      </w:pPr>
      <w:r>
        <w:t xml:space="preserve">4.4 Scenario War Room</w:t>
      </w:r>
    </w:p>
    <w:p>
      <w:pPr>
        <w:spacing w:after="160"/>
      </w:pPr>
      <w:r>
        <w:t xml:space="preserve">Four probability-weighted scenarios (Swift Resolution 15%, Baseline 45%, Prolonged Blockade 30%, Major Escalation 10%) presented as selectable cards. Each scenario reveals projected oil price (6-month average), GDP impact, inflation addition, trade impact, and estimated recovery timeline. A visual probability distribution bar at the bottom allows instant comparison.</w:t>
      </w:r>
    </w:p>
    <w:p>
      <w:pPr>
        <w:spacing w:after="200"/>
      </w:pPr>
      <w:r>
        <w:drawing>
          <wp:inline distT="0" distB="0" distL="0" distR="0">
            <wp:extent cx="5905500" cy="3838575"/>
            <wp:effectExtent t="0" r="0" b="0" l="0"/>
            <wp:docPr id="1" name="scenarios-mockup" descr="Four probability-weighted scenario cards" title="Scenario War Room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838575"/>
                    </a:xfrm>
                    <a:prstGeom prst="rect">
                      <a:avLst/>
                    </a:prstGeom>
                  </pic:spPr>
                </pic:pic>
              </a:graphicData>
            </a:graphic>
          </wp:inline>
        </w:drawing>
      </w:r>
    </w:p>
    <w:p>
      <w:r>
        <w:br w:type="page"/>
      </w:r>
    </w:p>
    <w:p>
      <w:pPr>
        <w:pStyle w:val="Heading2"/>
      </w:pPr>
      <w:r>
        <w:t xml:space="preserve">4.5 Supply Chain Cascade Explorer</w:t>
      </w:r>
    </w:p>
    <w:p>
      <w:pPr>
        <w:spacing w:after="160"/>
      </w:pPr>
      <w:r>
        <w:t xml:space="preserve">Interactive node-based explorer with 19 interconnected supply chain nodes. Users tap any node to see its disruption level (0-100%), upstream causes, and downstream effects. Reveals non-obvious cascading relationships like: Helium shortage (40% from Gulf) cascading into semiconductor manufacturing and MRI machine operations globally. Each node shows a description and colored disruption bar.</w:t>
      </w:r>
    </w:p>
    <w:p>
      <w:pPr>
        <w:spacing w:after="200"/>
      </w:pPr>
      <w:r>
        <w:drawing>
          <wp:inline distT="0" distB="0" distL="0" distR="0">
            <wp:extent cx="5905500" cy="3838575"/>
            <wp:effectExtent t="0" r="0" b="0" l="0"/>
            <wp:docPr id="1" name="cascade-mockup" descr="Interactive supply chain cascade explorer" title="Supply Chain Cascad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38575"/>
                    </a:xfrm>
                    <a:prstGeom prst="rect">
                      <a:avLst/>
                    </a:prstGeom>
                  </pic:spPr>
                </pic:pic>
              </a:graphicData>
            </a:graphic>
          </wp:inline>
        </w:drawing>
      </w:r>
    </w:p>
    <w:p>
      <w:pPr>
        <w:pStyle w:val="Heading2"/>
      </w:pPr>
      <w:r>
        <w:t xml:space="preserve">4.6 Economic Impact Simulator</w:t>
      </w:r>
    </w:p>
    <w:p>
      <w:pPr>
        <w:spacing w:after="160"/>
      </w:pPr>
      <w:r>
        <w:t xml:space="preserve">Three interactive range sliders (Oil Price $70-160, Duration 1-18 months, Severity 10-100%) that dynamically compute five output metrics: GDP impact, added inflation, trade slowdown, food price rise, and estimated job impact. All calculations update in real-time as sliders are dragged, enabling rapid what-if analysis. Outputs displayed as large-font stat cards for immediate readability.</w:t>
      </w:r>
    </w:p>
    <w:p>
      <w:pPr>
        <w:spacing w:after="200"/>
      </w:pPr>
      <w:r>
        <w:drawing>
          <wp:inline distT="0" distB="0" distL="0" distR="0">
            <wp:extent cx="5905500" cy="3838575"/>
            <wp:effectExtent t="0" r="0" b="0" l="0"/>
            <wp:docPr id="1" name="simulator-mockup" descr="Economic impact simulator with 3 sliders" title="Simulator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38575"/>
                    </a:xfrm>
                    <a:prstGeom prst="rect">
                      <a:avLst/>
                    </a:prstGeom>
                  </pic:spPr>
                </pic:pic>
              </a:graphicData>
            </a:graphic>
          </wp:inline>
        </w:drawing>
      </w:r>
    </w:p>
    <w:p>
      <w:r>
        <w:br w:type="page"/>
      </w:r>
    </w:p>
    <w:p>
      <w:pPr>
        <w:pStyle w:val="Heading1"/>
      </w:pPr>
      <w:r>
        <w:t xml:space="preserve">Data Architecture</w:t>
      </w:r>
    </w:p>
    <w:p>
      <w:pPr>
        <w:pStyle w:val="Heading2"/>
      </w:pPr>
      <w:r>
        <w:t xml:space="preserve">Data Sources &amp;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Frequency</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Methodology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Oil prices (Brent/WTI)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EIA Short-Term Energy Outlook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 daily spot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EIA STEO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shut-ins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EIA STEO April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EIA assessment methodology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 forecasts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OECD Interim Report Mar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OECD macro modeling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 area inflation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ECB Staff Projections Mar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HICP-based projections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G20 inflation/GDP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OECD Economic Outlook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Semi-annual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Harmonized projections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Shipping traffic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S&amp;P Global, Kpler, MarineTraffic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AIS tracking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 vulnerability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World Mag / IEEFA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hoc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7-factor composite index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responses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IEA Policy Response Tracker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 reporting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chain impacts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IEEFA, UN Trade &amp; Dev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Expert analysis + trade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probabilities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analyst consensus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Multi-source synthesis</w:t>
            </w:r>
          </w:p>
        </w:tc>
      </w:tr>
    </w:tbl>
    <w:p>
      <w:pPr>
        <w:spacing w:after="200"/>
      </w:pPr>
    </w:p>
    <w:p>
      <w:pPr>
        <w:pStyle w:val="Heading2"/>
      </w:pPr>
      <w:r>
        <w:t xml:space="preserve">Data Model</w:t>
      </w:r>
    </w:p>
    <w:p>
      <w:pPr>
        <w:spacing w:after="160"/>
      </w:pPr>
      <w:r>
        <w:t xml:space="preserve">All data is embedded as static JSON constants within the React application. This architectural decision was made for the MVP to ensure zero backend dependencies, instant loading, and full offline capability. The data model consists of 12 primary data structures: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200"/>
        <w:gridCol w:w="28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Structure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Records</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2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OIL_HISTORY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brent, wti, event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Oil Price Chart, Overview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DISRUPTION_DATA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shutInPeak, globalOilPct, etc.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 Disruption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VULNERABLE_COUNTRIES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score, fossil, importDep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 Vulnerability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POLICY_RESPONSES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 action, type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Tracker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label, desc, severity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Crisis Timeline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HISTORICAL_CRISES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name, priceChange, gdpHit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Historical Comparison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HORMUZ_TRAFFIC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daily, label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Hormuz Monitor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GDP_FORECASTS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 pre, post, delta, inflation26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 Heatmap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SUPPLY_CHAIN_CASCADE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label, impact, children, desc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Explorer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probability, oil6mo, etc.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War Room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STAGFLATION_INDICATORS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current, preCrisis, danger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Stagflation Dashboard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CEASEFIRE_STATUS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transits, tankersWaiting, toll, etc.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Hormuz Monitor</w:t>
            </w:r>
          </w:p>
        </w:tc>
      </w:tr>
    </w:tbl>
    <w:p>
      <w:r>
        <w:br w:type="page"/>
      </w:r>
    </w:p>
    <w:p>
      <w:pPr>
        <w:pStyle w:val="Heading1"/>
      </w:pPr>
      <w:r>
        <w:t xml:space="preserve">Technical Specification</w:t>
      </w:r>
    </w:p>
    <w:p>
      <w:pPr>
        <w:pStyle w:val="Heading2"/>
      </w:pPr>
      <w: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(functional components with hooks)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useState/useEffect (no external state library)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Inline CSS-in-JS with CSS variables for theming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SVG-based charts (no charting library dependency)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@keyframes + transition properties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Single-file SPA (.jsx) — no build step required for artifact rendering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Bundle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~30KB uncompressed (single component, zero dependencies)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Support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90+, Firefox 90+, Safari 15+, Edge 90+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 design, touch-optimized (tap interactions)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HTML, keyboard navigable tabs, sufficient color contrast</w:t>
            </w:r>
          </w:p>
        </w:tc>
      </w:tr>
    </w:tbl>
    <w:p>
      <w:pPr>
        <w:spacing w:after="200"/>
      </w:pPr>
    </w:p>
    <w:p>
      <w:pPr>
        <w:pStyle w:val="Heading2"/>
      </w:pPr>
      <w:r>
        <w:t xml:space="preserve">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#0a0a0f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app background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#111118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Card/panel backgrounds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#1e1e2a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borders and dividers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#ff3b30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action, alerts, critical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(Orange)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#ff9500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emphasis, medium severity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 (Green)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#30d158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indicators, pre-war baselines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 (Blue)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#0a84ff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Informational, neutral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#64d2ff</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Tertiary accent, LNG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#bf5af2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 categories (helium, jobs)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Primary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#e5e5ea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body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Secondary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#8e8e93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Labels, descriptions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Muted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#48484a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Timestamps, footnotes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Display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UI (-apple-system, Segoe UI)</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Headings,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Monospace (system monospace)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Numbers, labels, timestamps</w:t>
            </w:r>
          </w:p>
        </w:tc>
      </w:tr>
    </w:tbl>
    <w:p>
      <w:r>
        <w:br w:type="page"/>
      </w:r>
    </w:p>
    <w:p>
      <w:pPr>
        <w:pStyle w:val="Heading1"/>
      </w:pPr>
      <w:r>
        <w:t xml:space="preserve">Interaction Design</w:t>
      </w:r>
    </w:p>
    <w:p>
      <w:pPr>
        <w:pStyle w:val="Heading2"/>
      </w:pPr>
      <w:r>
        <w:t xml:space="preserve">Interaction Patterns by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Panel</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Interaction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Secondary Interaction</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Feedback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Oil Price Chart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Hover/tap data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event markers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Tooltip with month, Brent, WTI, event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Hormuz Monitor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Scroll bar chart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status panel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Color-coded bars + insight box</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GDP Heatmap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sort (GDP/Inflation)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dual bars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re-sort with animation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Stagflation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indicators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insight box</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Danger/safe icons per indicator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Explorer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nodes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Navigate up/downstream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 detail + children 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 War Room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scenario card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probability bar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highlight + detail panel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3 sliders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5 output metrics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calculation updates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 Vulnerability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country buttons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breakdown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 dual progress bars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Tracker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by 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 feed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Color-coded type badges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Tap events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 descriptions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Expand/collapse + severity dots</w:t>
            </w:r>
          </w:p>
        </w:tc>
      </w:tr>
    </w:tbl>
    <w:p>
      <w:pPr>
        <w:spacing w:after="200"/>
      </w:pPr>
    </w:p>
    <w:p>
      <w:pPr>
        <w:pStyle w:val="Heading2"/>
      </w:pPr>
      <w:r>
        <w:t xml:space="preserve">Navigation Architecture</w:t>
      </w:r>
    </w:p>
    <w:p>
      <w:pPr>
        <w:spacing w:after="160"/>
      </w:pPr>
      <w:r>
        <w:t xml:space="preserve">The application uses a horizontally-scrollable tab bar with 14 tabs. Each tab renders a dedicated panel component. Tab switching triggers a CSS fadeIn animation (0.25s ease) for smooth transitions. The active tab is highlighted with the accent color (#ff3b30) background. Tab order is designed for progressive information depth: Overview (executive summary) → Specific analyses (Hormuz, GDP, Stagflation) → Deep-dive tools (Cascade, Scenarios, Simulator) → Reference data (Timeline, Policy, History, Transition).</w:t>
      </w:r>
    </w:p>
    <w:p>
      <w:r>
        <w:br w:type="page"/>
      </w:r>
    </w:p>
    <w:p>
      <w:pPr>
        <w:pStyle w:val="Heading1"/>
      </w:pPr>
      <w: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Load 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1.5 seconds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Single-file SPA with zero API calls; instant render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 Latency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16ms (60fps)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calculations are simple arithmetic; CSS transitions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Capability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functional offline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backend dependencies; all data embedded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Bundle Size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35KB uncompressed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external charting or state management libraries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Performance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Smooth on iPhone 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Optimized touch targets, efficient re-renders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Currency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as of April 11, 2026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data snapshot; manual update process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Compatibility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global browser share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React + CSS; no experimental APIs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WCAG 2.1 AA (partial)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navigation, color contrast, semantic HTML</w:t>
            </w:r>
          </w:p>
        </w:tc>
      </w:tr>
    </w:tbl>
    <w:p>
      <w:r>
        <w:br w:type="page"/>
      </w:r>
    </w:p>
    <w:p>
      <w:pPr>
        <w:pStyle w:val="Heading1"/>
      </w:pPr>
      <w:r>
        <w:t xml:space="preserve">Competitive Landscape</w:t>
      </w:r>
    </w:p>
    <w:p>
      <w:pPr>
        <w:spacing w:after="160"/>
      </w:pPr>
      <w:r>
        <w:t xml:space="preserve">This section analyzes existing tools and identifies how the Energy Crisis Command Center differentiates itself.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Gaps We Fill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IEA Policy Tracker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source, country-level detail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economic simulation, no cascade analysis, no scenarios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HormuzTracker.com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shipping data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Shipping only; no macro, no GDP, no supply chain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Bloomberg Terminal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financial data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Expensive ($25K/yr), not public, no educational focus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EIA STEO Reports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Authoritative US energy data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PDF-only, no interactivity, US-centric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OECD Economic Outlook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Rigorous macro modeling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energy-specific drill-down, no real-time updates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Our Application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interactive, 14 panels, simulation, cascade, scenarios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integrated view across all dimensions</w:t>
            </w:r>
          </w:p>
        </w:tc>
      </w:tr>
    </w:tbl>
    <w:p>
      <w:r>
        <w:br w:type="page"/>
      </w:r>
    </w:p>
    <w:p>
      <w:pPr>
        <w:pStyle w:val="Heading1"/>
      </w:pPr>
      <w:r>
        <w:t xml:space="preserve">Product Roadmap</w:t>
      </w:r>
    </w:p>
    <w:p>
      <w:pPr>
        <w:pStyle w:val="Heading2"/>
      </w:pPr>
      <w:r>
        <w:t xml:space="preserve">Phase 1: MVP (Current)</w:t>
      </w:r>
    </w:p>
    <w:p>
      <w:pPr>
        <w:spacing w:after="160"/>
      </w:pPr>
      <w:r>
        <w:t xml:space="preserve">All 14 panels implemented as a single-file React application with embedded static data. Delivered as a Claude Artifact for immediate use. Full interactivity with no backend dependencies.</w:t>
      </w:r>
    </w:p>
    <w:p>
      <w:pPr>
        <w:spacing w:after="80"/>
      </w:pPr>
    </w:p>
    <w:p>
      <w:pPr>
        <w:pStyle w:val="Heading2"/>
      </w:pPr>
      <w:r>
        <w:t xml:space="preserve">Phase 2: Live Data Integration</w:t>
      </w:r>
    </w:p>
    <w:p>
      <w:pPr>
        <w:pStyle w:val="ListParagraph"/>
        <w:numPr>
          <w:ilvl w:val="0"/>
          <w:numId w:val="3"/>
        </w:numPr>
        <w:spacing w:after="80"/>
      </w:pPr>
      <w:r>
        <w:rPr>
          <w:sz w:val="22"/>
          <w:szCs w:val="22"/>
        </w:rPr>
        <w:t xml:space="preserve">Connect to EIA API for real-time oil price data</w:t>
      </w:r>
    </w:p>
    <w:p>
      <w:pPr>
        <w:pStyle w:val="ListParagraph"/>
        <w:numPr>
          <w:ilvl w:val="0"/>
          <w:numId w:val="3"/>
        </w:numPr>
        <w:spacing w:after="80"/>
      </w:pPr>
      <w:r>
        <w:rPr>
          <w:sz w:val="22"/>
          <w:szCs w:val="22"/>
        </w:rPr>
        <w:t xml:space="preserve">Integrate MarineTraffic or AIS data for live Hormuz shipping counts</w:t>
      </w:r>
    </w:p>
    <w:p>
      <w:pPr>
        <w:pStyle w:val="ListParagraph"/>
        <w:numPr>
          <w:ilvl w:val="0"/>
          <w:numId w:val="3"/>
        </w:numPr>
        <w:spacing w:after="80"/>
      </w:pPr>
      <w:r>
        <w:rPr>
          <w:sz w:val="22"/>
          <w:szCs w:val="22"/>
        </w:rPr>
        <w:t xml:space="preserve">Add FRED API integration for macro indicators (CPI, GDP, unemployment)</w:t>
      </w:r>
    </w:p>
    <w:p>
      <w:pPr>
        <w:pStyle w:val="ListParagraph"/>
        <w:numPr>
          <w:ilvl w:val="0"/>
          <w:numId w:val="3"/>
        </w:numPr>
        <w:spacing w:after="80"/>
      </w:pPr>
      <w:r>
        <w:rPr>
          <w:sz w:val="22"/>
          <w:szCs w:val="22"/>
        </w:rPr>
        <w:t xml:space="preserve">Implement server-side data caching with 15-minute refresh intervals</w:t>
      </w:r>
    </w:p>
    <w:p>
      <w:pPr>
        <w:pStyle w:val="ListParagraph"/>
        <w:numPr>
          <w:ilvl w:val="0"/>
          <w:numId w:val="3"/>
        </w:numPr>
        <w:spacing w:after="80"/>
      </w:pPr>
      <w:r>
        <w:rPr>
          <w:sz w:val="22"/>
          <w:szCs w:val="22"/>
        </w:rPr>
        <w:t xml:space="preserve">Add push notifications for critical threshold breaches</w:t>
      </w:r>
    </w:p>
    <w:p>
      <w:pPr>
        <w:spacing w:after="80"/>
      </w:pPr>
    </w:p>
    <w:p>
      <w:pPr>
        <w:pStyle w:val="Heading2"/>
      </w:pPr>
      <w:r>
        <w:t xml:space="preserve">Phase 3: Advanced Analytics</w:t>
      </w:r>
    </w:p>
    <w:p>
      <w:pPr>
        <w:pStyle w:val="ListParagraph"/>
        <w:numPr>
          <w:ilvl w:val="0"/>
          <w:numId w:val="4"/>
        </w:numPr>
        <w:spacing w:after="80"/>
      </w:pPr>
      <w:r>
        <w:rPr>
          <w:sz w:val="22"/>
          <w:szCs w:val="22"/>
        </w:rPr>
        <w:t xml:space="preserve">Monte Carlo simulation engine for scenario probability refinement</w:t>
      </w:r>
    </w:p>
    <w:p>
      <w:pPr>
        <w:pStyle w:val="ListParagraph"/>
        <w:numPr>
          <w:ilvl w:val="0"/>
          <w:numId w:val="4"/>
        </w:numPr>
        <w:spacing w:after="80"/>
      </w:pPr>
      <w:r>
        <w:rPr>
          <w:sz w:val="22"/>
          <w:szCs w:val="22"/>
        </w:rPr>
        <w:t xml:space="preserve">ML-based oil price forecasting using LSTM neural networks</w:t>
      </w:r>
    </w:p>
    <w:p>
      <w:pPr>
        <w:pStyle w:val="ListParagraph"/>
        <w:numPr>
          <w:ilvl w:val="0"/>
          <w:numId w:val="4"/>
        </w:numPr>
        <w:spacing w:after="80"/>
      </w:pPr>
      <w:r>
        <w:rPr>
          <w:sz w:val="22"/>
          <w:szCs w:val="22"/>
        </w:rPr>
        <w:t xml:space="preserve">Natural language briefing generation (AI-powered daily summaries)</w:t>
      </w:r>
    </w:p>
    <w:p>
      <w:pPr>
        <w:pStyle w:val="ListParagraph"/>
        <w:numPr>
          <w:ilvl w:val="0"/>
          <w:numId w:val="4"/>
        </w:numPr>
        <w:spacing w:after="80"/>
      </w:pPr>
      <w:r>
        <w:rPr>
          <w:sz w:val="22"/>
          <w:szCs w:val="22"/>
        </w:rPr>
        <w:t xml:space="preserve">Collaborative annotation system for analyst commentary</w:t>
      </w:r>
    </w:p>
    <w:p>
      <w:pPr>
        <w:pStyle w:val="ListParagraph"/>
        <w:numPr>
          <w:ilvl w:val="0"/>
          <w:numId w:val="4"/>
        </w:numPr>
        <w:spacing w:after="80"/>
      </w:pPr>
      <w:r>
        <w:rPr>
          <w:sz w:val="22"/>
          <w:szCs w:val="22"/>
        </w:rPr>
        <w:t xml:space="preserve">Exportable PDF/PNG reports for stakeholder distribution</w:t>
      </w:r>
    </w:p>
    <w:p>
      <w:r>
        <w:br w:type="page"/>
      </w:r>
    </w:p>
    <w:p>
      <w:pPr>
        <w:pStyle w:val="Heading1"/>
      </w:pPr>
      <w:r>
        <w:t xml:space="preserve">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becomes stale</w:t>
            </w:r>
          </w:p>
        </w:tc>
        <w:tc>
          <w:tcPr>
            <w:tcW w:type="dxa" w:w="1600"/>
            <w:tcBorders>
              <w:top w:val="single" w:color="CCCCCC" w:sz="1"/>
              <w:left w:val="single" w:color="CCCCCC" w:sz="1"/>
              <w:bottom w:val="single" w:color="CCCCCC" w:sz="1"/>
              <w:right w:val="single" w:color="CCCCCC" w:sz="1"/>
            </w:tcBorders>
            <w:shd w:fill="FFE0DE"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1600"/>
            <w:tcBorders>
              <w:top w:val="single" w:color="CCCCCC" w:sz="1"/>
              <w:left w:val="single" w:color="CCCCCC" w:sz="1"/>
              <w:bottom w:val="single" w:color="CCCCCC" w:sz="1"/>
              <w:right w:val="single" w:color="CCCCCC" w:sz="1"/>
            </w:tcBorders>
            <w:shd w:fill="FFE0DE"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 live data integration; manual update protocol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Crisis resolves rapidly</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C6600"/>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retains historical value; pivot to retrospective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data discrepancies</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C6600"/>
                <w:sz w:val="20"/>
                <w:szCs w:val="20"/>
              </w:rPr>
              <w:t xml:space="preserve">Medium</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C6600"/>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Multi-source validation; transparent source attribution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performance issues</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Single-file architecture; minimal re-renders; CSS animations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overwhelm (14 panels)</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C6600"/>
                <w:sz w:val="20"/>
                <w:szCs w:val="20"/>
              </w:rPr>
              <w:t xml:space="preserve">Medium</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C6600"/>
                <w:sz w:val="20"/>
                <w:szCs w:val="20"/>
              </w:rPr>
              <w:t xml:space="preserve">Medium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Progressive disclosure via tabs; Overview as landing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Geopolitical sensitivity</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C6600"/>
                <w:sz w:val="20"/>
                <w:szCs w:val="20"/>
              </w:rPr>
              <w:t xml:space="preserve">Medium</w:t>
            </w:r>
          </w:p>
        </w:tc>
        <w:tc>
          <w:tcPr>
            <w:tcW w:type="dxa" w:w="1600"/>
            <w:tcBorders>
              <w:top w:val="single" w:color="CCCCCC" w:sz="1"/>
              <w:left w:val="single" w:color="CCCCCC" w:sz="1"/>
              <w:bottom w:val="single" w:color="CCCCCC" w:sz="1"/>
              <w:right w:val="single" w:color="CCCCCC" w:sz="1"/>
            </w:tcBorders>
            <w:shd w:fill="FFE0DE" w:val="clear"/>
            <w:tcMar>
              <w:top w:type="dxa" w:w="80"/>
              <w:left w:type="dxa" w:w="120"/>
              <w:bottom w:type="dxa" w:w="80"/>
              <w:right w:type="dxa" w:w="120"/>
            </w:tcMar>
          </w:tcPr>
          <w:p>
            <w:r>
              <w:rPr>
                <w:rFonts w:ascii="Arial" w:cs="Arial" w:eastAsia="Arial" w:hAnsi="Arial"/>
                <w:b/>
                <w:bCs/>
                <w:color w:val="CC0000"/>
                <w:sz w:val="20"/>
                <w:szCs w:val="20"/>
              </w:rPr>
              <w:t xml:space="preserve">High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Neutral, data-driven framing; transparent sourcing</w:t>
            </w:r>
          </w:p>
        </w:tc>
      </w:tr>
    </w:tbl>
    <w:p>
      <w:r>
        <w:br w:type="page"/>
      </w:r>
    </w:p>
    <w:p>
      <w:pPr>
        <w:pStyle w:val="Heading1"/>
      </w:pPr>
      <w:r>
        <w:t xml:space="preserve">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(30 days)</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Engagement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3 panels explored per session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switch analytics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Duration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 minutes average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on page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Simulator Usage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40% of users interact with sliders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 event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Visits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25% weekly return rate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Cookie-based user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 of users share/screenshot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button + referral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Educational Impact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Qualitative feedback surveys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Post-use questionnaire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Accuracy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deviation from official sources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source validation audit</w:t>
            </w:r>
          </w:p>
        </w:tc>
      </w:tr>
    </w:tbl>
    <w:p>
      <w:r>
        <w:br w:type="page"/>
      </w:r>
    </w:p>
    <w:p>
      <w:pPr>
        <w:pStyle w:val="Heading1"/>
      </w:pPr>
      <w: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Barrels per day — standard unit for oil production/consumption rates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Brent Crude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benchmark oil price, based on North Sea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West Texas Intermediate — US benchmark oil price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TTF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Transfer Facility — European natural gas benchmark (Dutch)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Liquefied Natural Gas — gas cooled to liquid form for shipping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HICP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Harmonised Index of Consumer Prices — EU inflation measure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Stagflation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Economic condition of simultaneous low growth and high inflation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Strait of Hormuz</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21-mile maritime chokepoint between Iran and Oman; carries ~20% of global oil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Identification System — ship tracking via radio transponders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DXA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Experience Assessment (or Document Exchange Architecture)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Short-Term Energy Outlook (EIA publication)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OECD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Organisation for Economic Co-operation and Development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European Central Bank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International Energy Agency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IEEFA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Institute for Energy Economics and Financial Analysis</w:t>
            </w:r>
          </w:p>
        </w:tc>
      </w:tr>
    </w:tbl>
    <w:p>
      <w:pPr>
        <w:spacing w:after="400"/>
      </w:pPr>
    </w:p>
    <w:p>
      <w:pPr>
        <w:pBdr>
          <w:bottom w:val="single" w:color="FF3B30" w:sz="4" w:space="8"/>
        </w:pBdr>
        <w:spacing w:after="100" w:before="100"/>
      </w:pPr>
    </w:p>
    <w:p>
      <w:pPr>
        <w:spacing w:after="200"/>
      </w:pPr>
    </w:p>
    <w:p>
      <w:pPr>
        <w:jc w:val="center"/>
      </w:pPr>
      <w:r>
        <w:rPr>
          <w:rFonts w:ascii="Arial" w:cs="Arial" w:eastAsia="Arial" w:hAnsi="Arial"/>
          <w:b/>
          <w:bCs/>
          <w:color w:val="8E8E93"/>
          <w:spacing w:val="200"/>
          <w:sz w:val="18"/>
          <w:szCs w:val="18"/>
        </w:rPr>
        <w:t xml:space="preserve">END OF DOCUMENT</w:t>
      </w:r>
    </w:p>
    <w:p>
      <w:pPr>
        <w:spacing w:before="80"/>
        <w:jc w:val="center"/>
      </w:pPr>
      <w:r>
        <w:rPr>
          <w:rFonts w:ascii="Arial" w:cs="Arial" w:eastAsia="Arial" w:hAnsi="Arial"/>
          <w:color w:val="8E8E93"/>
          <w:sz w:val="16"/>
          <w:szCs w:val="16"/>
        </w:rPr>
        <w:t xml:space="preserve">Global Energy Crisis Command Center PRD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E8E93"/>
        <w:sz w:val="16"/>
        <w:szCs w:val="16"/>
      </w:rPr>
      <w:t xml:space="preserve">Page </w:t>
    </w:r>
    <w:r>
      <w:rPr>
        <w:rFonts w:ascii="Arial" w:cs="Arial" w:eastAsia="Arial" w:hAnsi="Arial"/>
        <w:color w:val="8E8E9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3B30" w:sz="2" w:space="4"/>
      </w:pBdr>
      <w:tabs>
        <w:tab w:val="right" w:pos="9026"/>
      </w:tabs>
    </w:pPr>
    <w:r>
      <w:rPr>
        <w:rFonts w:ascii="Arial" w:cs="Arial" w:eastAsia="Arial" w:hAnsi="Arial"/>
        <w:color w:val="8E8E93"/>
        <w:sz w:val="16"/>
        <w:szCs w:val="16"/>
      </w:rPr>
      <w:t xml:space="preserve">PRD: Energy Crisis Command Center</w:t>
    </w:r>
    <w:r>
      <w:rPr>
        <w:rFonts w:ascii="Arial" w:cs="Arial" w:eastAsia="Arial" w:hAnsi="Arial"/>
        <w:color w:val="8E8E93"/>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2C3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091ed37e746eead6533e12b36eaceac731904e.png"/><Relationship Id="rId10" Type="http://schemas.openxmlformats.org/officeDocument/2006/relationships/image" Target="media/ce4cff8b00ab256c545d69cfa248d6a382af206c.png"/><Relationship Id="rId11" Type="http://schemas.openxmlformats.org/officeDocument/2006/relationships/image" Target="media/0c5a121d8cfe08260b6c90a5dc92fc6333da66a6.png"/><Relationship Id="rId12" Type="http://schemas.openxmlformats.org/officeDocument/2006/relationships/image" Target="media/1d4d86b3ebc027870f8c41f76f7b6e139f4484b9.png"/><Relationship Id="rId13" Type="http://schemas.openxmlformats.org/officeDocument/2006/relationships/image" Target="media/12be03475efa1d08fec96e5b2df0cae2402e005d.png"/><Relationship Id="rId14" Type="http://schemas.openxmlformats.org/officeDocument/2006/relationships/image" Target="media/b4a0d98c4856fcaba620ca56474be375a0e88b4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2026-04-11T00:19:40.972Z</dcterms:created>
  <dcterms:modified xsi:type="dcterms:W3CDTF">2026-04-11T00:19:40.973Z</dcterms:modified>
</cp:coreProperties>
</file>

<file path=docProps/custom.xml><?xml version="1.0" encoding="utf-8"?>
<Properties xmlns="http://schemas.openxmlformats.org/officeDocument/2006/custom-properties" xmlns:vt="http://schemas.openxmlformats.org/officeDocument/2006/docPropsVTypes"/>
</file>