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HIMP Product Roadmap</w:t>
        <w:br/>
        <w:t>Phases 12–16</w:t>
      </w:r>
    </w:p>
    <w:p>
      <w:pPr>
        <w:jc w:val="center"/>
      </w:pPr>
      <w:r>
        <w:rPr>
          <w:b/>
        </w:rPr>
        <w:t>Version 1.0.0  |  Product-focused roadmap after Phase 11</w:t>
      </w:r>
    </w:p>
    <w:p>
      <w:pPr>
        <w:pStyle w:val="Heading1"/>
      </w:pPr>
      <w:r>
        <w:t>1. Roadmap Purpose</w:t>
      </w:r>
    </w:p>
    <w:p>
      <w:r>
        <w:t>With the Phase 9–11 platform, production, PostgreSQL, scheduler, recovery, reporting, logging, and operational foundations established, the next HIMP development cycle focuses on operator usefulness, operational intelligence, automation value, orchestration UX, notifications, and lifecycle operations.</w:t>
      </w:r>
    </w:p>
    <w:p>
      <w:pPr>
        <w:pStyle w:val="Heading1"/>
      </w:pPr>
      <w:r>
        <w:t>2. Development Rules</w:t>
      </w:r>
    </w:p>
    <w:p>
      <w:pPr>
        <w:pStyle w:val="ListBullet"/>
      </w:pPr>
      <w:r>
        <w:t>One bounded subsystem per subphase.</w:t>
      </w:r>
    </w:p>
    <w:p>
      <w:pPr>
        <w:pStyle w:val="ListBullet"/>
      </w:pPr>
      <w:r>
        <w:t>Build each coherent slice end-to-end before running the slice regression.</w:t>
      </w:r>
    </w:p>
    <w:p>
      <w:pPr>
        <w:pStyle w:val="ListBullet"/>
      </w:pPr>
      <w:r>
        <w:t>Run focused/full regression, compileall, and git diff --check at the end of the slice.</w:t>
      </w:r>
    </w:p>
    <w:p>
      <w:pPr>
        <w:pStyle w:val="ListBullet"/>
      </w:pPr>
      <w:r>
        <w:t>Production validation remains part of Definition of Done.</w:t>
      </w:r>
    </w:p>
    <w:p>
      <w:pPr>
        <w:pStyle w:val="ListBullet"/>
      </w:pPr>
      <w:r>
        <w:t>Create a clear Git checkpoint for each completed subphase where practical.</w:t>
      </w:r>
    </w:p>
    <w:p>
      <w:pPr>
        <w:pStyle w:val="ListBullet"/>
      </w:pPr>
      <w:r>
        <w:t>Reuse existing scheduler, health, execution, remediation, reporting, and persistence infrastructure.</w:t>
      </w:r>
    </w:p>
    <w:p>
      <w:pPr>
        <w:pStyle w:val="ListBullet"/>
      </w:pPr>
      <w:r>
        <w:t>Do not create parallel subsystems or perform unrelated production refactors.</w:t>
      </w:r>
    </w:p>
    <w:p>
      <w:pPr>
        <w:pStyle w:val="ListBullet"/>
      </w:pPr>
      <w:r>
        <w:t>Prefer deterministic and explainable operational intelligence before predictive/AI behavior.</w:t>
      </w:r>
    </w:p>
    <w:p>
      <w:pPr>
        <w:pStyle w:val="Heading1"/>
      </w:pPr>
      <w:r>
        <w:t>3. Roadmap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Phase</w:t>
            </w:r>
          </w:p>
        </w:tc>
        <w:tc>
          <w:tcPr>
            <w:tcW w:type="dxa" w:w="3408"/>
          </w:tcPr>
          <w:p>
            <w:r>
              <w:t>Focus</w:t>
            </w:r>
          </w:p>
        </w:tc>
        <w:tc>
          <w:tcPr>
            <w:tcW w:type="dxa" w:w="3408"/>
          </w:tcPr>
          <w:p>
            <w:r>
              <w:t>Estimated Effort</w:t>
            </w:r>
          </w:p>
        </w:tc>
      </w:tr>
      <w:tr>
        <w:tc>
          <w:tcPr>
            <w:tcW w:type="dxa" w:w="3408"/>
            <w:vAlign w:val="center"/>
          </w:tcPr>
          <w:p>
            <w:r>
              <w:t>12</w:t>
            </w:r>
          </w:p>
        </w:tc>
        <w:tc>
          <w:tcPr>
            <w:tcW w:type="dxa" w:w="3408"/>
            <w:vAlign w:val="center"/>
          </w:tcPr>
          <w:p>
            <w:r>
              <w:t>Operational Intelligence</w:t>
            </w:r>
          </w:p>
        </w:tc>
        <w:tc>
          <w:tcPr>
            <w:tcW w:type="dxa" w:w="3408"/>
            <w:vAlign w:val="center"/>
          </w:tcPr>
          <w:p>
            <w:r>
              <w:t>27–47 hrs</w:t>
            </w:r>
          </w:p>
        </w:tc>
      </w:tr>
      <w:tr>
        <w:tc>
          <w:tcPr>
            <w:tcW w:type="dxa" w:w="3408"/>
            <w:vAlign w:val="center"/>
          </w:tcPr>
          <w:p>
            <w:r>
              <w:t>13</w:t>
            </w:r>
          </w:p>
        </w:tc>
        <w:tc>
          <w:tcPr>
            <w:tcW w:type="dxa" w:w="3408"/>
            <w:vAlign w:val="center"/>
          </w:tcPr>
          <w:p>
            <w:r>
              <w:t>Automation Intelligence</w:t>
            </w:r>
          </w:p>
        </w:tc>
        <w:tc>
          <w:tcPr>
            <w:tcW w:type="dxa" w:w="3408"/>
            <w:vAlign w:val="center"/>
          </w:tcPr>
          <w:p>
            <w:r>
              <w:t>20–35 hrs</w:t>
            </w:r>
          </w:p>
        </w:tc>
      </w:tr>
      <w:tr>
        <w:tc>
          <w:tcPr>
            <w:tcW w:type="dxa" w:w="3408"/>
            <w:vAlign w:val="center"/>
          </w:tcPr>
          <w:p>
            <w:r>
              <w:t>14</w:t>
            </w:r>
          </w:p>
        </w:tc>
        <w:tc>
          <w:tcPr>
            <w:tcW w:type="dxa" w:w="3408"/>
            <w:vAlign w:val="center"/>
          </w:tcPr>
          <w:p>
            <w:r>
              <w:t>Workflow &amp; Orchestration UX</w:t>
            </w:r>
          </w:p>
        </w:tc>
        <w:tc>
          <w:tcPr>
            <w:tcW w:type="dxa" w:w="3408"/>
            <w:vAlign w:val="center"/>
          </w:tcPr>
          <w:p>
            <w:r>
              <w:t>15–25 hrs</w:t>
            </w:r>
          </w:p>
        </w:tc>
      </w:tr>
      <w:tr>
        <w:tc>
          <w:tcPr>
            <w:tcW w:type="dxa" w:w="3408"/>
            <w:vAlign w:val="center"/>
          </w:tcPr>
          <w:p>
            <w:r>
              <w:t>15</w:t>
            </w:r>
          </w:p>
        </w:tc>
        <w:tc>
          <w:tcPr>
            <w:tcW w:type="dxa" w:w="3408"/>
            <w:vAlign w:val="center"/>
          </w:tcPr>
          <w:p>
            <w:r>
              <w:t>Administration &amp; Notifications</w:t>
            </w:r>
          </w:p>
        </w:tc>
        <w:tc>
          <w:tcPr>
            <w:tcW w:type="dxa" w:w="3408"/>
            <w:vAlign w:val="center"/>
          </w:tcPr>
          <w:p>
            <w:r>
              <w:t>15–25 hrs</w:t>
            </w:r>
          </w:p>
        </w:tc>
      </w:tr>
      <w:tr>
        <w:tc>
          <w:tcPr>
            <w:tcW w:type="dxa" w:w="3408"/>
            <w:vAlign w:val="center"/>
          </w:tcPr>
          <w:p>
            <w:r>
              <w:t>16</w:t>
            </w:r>
          </w:p>
        </w:tc>
        <w:tc>
          <w:tcPr>
            <w:tcW w:type="dxa" w:w="3408"/>
            <w:vAlign w:val="center"/>
          </w:tcPr>
          <w:p>
            <w:r>
              <w:t>Platform Lifecycle &amp; Advanced Operations</w:t>
            </w:r>
          </w:p>
        </w:tc>
        <w:tc>
          <w:tcPr>
            <w:tcW w:type="dxa" w:w="3408"/>
            <w:vAlign w:val="center"/>
          </w:tcPr>
          <w:p>
            <w:r>
              <w:t>15–30 hrs</w:t>
            </w:r>
          </w:p>
        </w:tc>
      </w:tr>
      <w:tr>
        <w:tc>
          <w:tcPr>
            <w:tcW w:type="dxa" w:w="3408"/>
            <w:vAlign w:val="center"/>
          </w:tcPr>
          <w:p>
            <w:r/>
          </w:p>
        </w:tc>
        <w:tc>
          <w:tcPr>
            <w:tcW w:type="dxa" w:w="3408"/>
            <w:vAlign w:val="center"/>
          </w:tcPr>
          <w:p>
            <w:r>
              <w:t>Potential total</w:t>
            </w:r>
          </w:p>
        </w:tc>
        <w:tc>
          <w:tcPr>
            <w:tcW w:type="dxa" w:w="3408"/>
            <w:vAlign w:val="center"/>
          </w:tcPr>
          <w:p>
            <w:r>
              <w:t>92–162 hrs</w:t>
            </w:r>
          </w:p>
        </w:tc>
      </w:tr>
    </w:tbl>
    <w:p>
      <w:pPr>
        <w:pStyle w:val="Heading1"/>
      </w:pPr>
      <w:r>
        <w:t>4. Phase 12 — Operational Intelligence</w:t>
      </w:r>
    </w:p>
    <w:p>
      <w:r>
        <w:t>Status: NEXT. Phase 12 turns HIMP's existing inventory, plugin health, host health, history, execution, and scheduler data into a more coherent operational view.</w:t>
      </w:r>
    </w:p>
    <w:p>
      <w:pPr>
        <w:pStyle w:val="Heading2"/>
      </w:pPr>
      <w:r>
        <w:t>12.1 — Health Model Consolidation (4–7h)</w:t>
      </w:r>
    </w:p>
    <w:p>
      <w:r>
        <w:t>Define the canonical health contract; clarify the relationship between plugin health and infrastructure health; reduce contradictory presentation without rewriting the health system.</w:t>
      </w:r>
    </w:p>
    <w:p>
      <w:pPr>
        <w:pStyle w:val="Heading2"/>
      </w:pPr>
      <w:r>
        <w:t>12.2 — Scheduled Plugin Health (3–5h)</w:t>
      </w:r>
    </w:p>
    <w:p>
      <w:r>
        <w:t>Use the existing scheduler for configurable plugin-health refreshes, prevent overlap, record results, expose last/next refresh, and retain manual execution.</w:t>
      </w:r>
    </w:p>
    <w:p>
      <w:pPr>
        <w:pStyle w:val="Heading2"/>
      </w:pPr>
      <w:r>
        <w:t>12.3 — Host Storage Capacity Intelligence (5–8h)</w:t>
      </w:r>
    </w:p>
    <w:p>
      <w:r>
        <w:t>Collect and display per-host/per-filesystem capacity: mount point, total, used, free, percent used, and last checked. Add visual utilization bars, dashboard summary, host detail views, and an attention-required view. Default thresholds: WARNING &gt;=80%, CRITICAL &gt;=90%; thresholds must be configurable. Record alert state so repeated checks do not create duplicate alerts. Support state transitions NORMAL → WARNING → CRITICAL → RECOVERED.</w:t>
      </w:r>
    </w:p>
    <w:p>
      <w:pPr>
        <w:pStyle w:val="Heading2"/>
      </w:pPr>
      <w:r>
        <w:t>12.4 — Infrastructure Relationships (5–8h)</w:t>
      </w:r>
    </w:p>
    <w:p>
      <w:r>
        <w:t>Establish explicit relationships among hosts, services, databases, DNS, backup, storage, and application dependencies. Build the data/service/API contract before topology presentation.</w:t>
      </w:r>
    </w:p>
    <w:p>
      <w:pPr>
        <w:pStyle w:val="Heading2"/>
      </w:pPr>
      <w:r>
        <w:t>12.5 — Dependency &amp; Impact Analysis (4–7h)</w:t>
      </w:r>
    </w:p>
    <w:p>
      <w:r>
        <w:t>Answer operational questions such as what depends on a host/service, what could be affected by a failure, and which unhealthy dependency may explain a problem.</w:t>
      </w:r>
    </w:p>
    <w:p>
      <w:pPr>
        <w:pStyle w:val="Heading2"/>
      </w:pPr>
      <w:r>
        <w:t>12.6 — Health Correlation &amp; Trends (4–8h)</w:t>
      </w:r>
    </w:p>
    <w:p>
      <w:r>
        <w:t>Use historical data for deterministic analysis of repeated failures, flapping, degradation frequency, health duration, correlated failures, and recurring unhealthy periods.</w:t>
      </w:r>
    </w:p>
    <w:p>
      <w:pPr>
        <w:pStyle w:val="Heading2"/>
      </w:pPr>
      <w:r>
        <w:t>12.7 — Phase 12 Production Gate (2–4h)</w:t>
      </w:r>
    </w:p>
    <w:p>
      <w:r>
        <w:t>Run regression, compileall, diff validation, production deployment, browser/API validation, scheduler validation, PostgreSQL validation, and checkpoint documentation.</w:t>
      </w:r>
    </w:p>
    <w:p>
      <w:pPr>
        <w:pStyle w:val="Heading2"/>
      </w:pPr>
      <w:r>
        <w:t>Storage Visualization and Alert Contract</w:t>
      </w:r>
    </w:p>
    <w:p>
      <w:r>
        <w:t>Example operator presentation:</w:t>
      </w:r>
    </w:p>
    <w:p>
      <w:r>
        <w:rPr>
          <w:rFonts w:ascii="Consolas" w:hAnsi="Consolas"/>
          <w:sz w:val="18"/>
        </w:rPr>
        <w:t>pve01      /              [███████████░░░░░░░░░] 56%   18 GB free</w:t>
      </w:r>
    </w:p>
    <w:p>
      <w:r>
        <w:rPr>
          <w:rFonts w:ascii="Consolas" w:hAnsi="Consolas"/>
          <w:sz w:val="18"/>
        </w:rPr>
        <w:t>pve01      /var/lib/vz    [████████████████░░░░] 78%  220 GB free</w:t>
      </w:r>
    </w:p>
    <w:p>
      <w:r>
        <w:rPr>
          <w:rFonts w:ascii="Consolas" w:hAnsi="Consolas"/>
          <w:sz w:val="18"/>
        </w:rPr>
        <w:t>automation /              [█████████████░░░░░░░] 64%    9 GB free</w:t>
      </w:r>
    </w:p>
    <w:p>
      <w:r>
        <w:rPr>
          <w:rFonts w:ascii="Consolas" w:hAnsi="Consolas"/>
          <w:sz w:val="18"/>
        </w:rPr>
        <w:t>himpdb01   /              [█████████████████░░░] 83%    7 GB free  WARNING</w:t>
      </w:r>
    </w:p>
    <w:p>
      <w:r>
        <w:t>Notification behavior must be stateful: crossing 80% creates a warning event; remaining above 80% does not repeatedly notify; crossing 90% creates an escalation event; returning below the configured warning threshold creates a recovery event.</w:t>
      </w:r>
    </w:p>
    <w:p>
      <w:pPr>
        <w:pStyle w:val="Heading1"/>
      </w:pPr>
      <w:r>
        <w:t>5. Phase 13 — Automation Intelligence</w:t>
      </w:r>
    </w:p>
    <w:p>
      <w:pPr>
        <w:pStyle w:val="Heading2"/>
      </w:pPr>
      <w:r>
        <w:t>13.1 — Remediation Recommendations (5–8h)</w:t>
      </w:r>
    </w:p>
    <w:p>
      <w:r>
        <w:t>Translate known health conditions into evidence-backed recommended operator actions; no autonomous execution initially.</w:t>
      </w:r>
    </w:p>
    <w:p>
      <w:pPr>
        <w:pStyle w:val="Heading2"/>
      </w:pPr>
      <w:r>
        <w:t>13.2 — Approval Queue (4–6h)</w:t>
      </w:r>
    </w:p>
    <w:p>
      <w:r>
        <w:t>Central operator view for remediation actions requiring approval, including target, reason, risk, approve/deny, and audit history.</w:t>
      </w:r>
    </w:p>
    <w:p>
      <w:pPr>
        <w:pStyle w:val="Heading2"/>
      </w:pPr>
      <w:r>
        <w:t>13.3 — Remediation Scheduling (3–5h)</w:t>
      </w:r>
    </w:p>
    <w:p>
      <w:r>
        <w:t>Allow approved remediation to run later using the existing scheduler; no second scheduling subsystem.</w:t>
      </w:r>
    </w:p>
    <w:p>
      <w:pPr>
        <w:pStyle w:val="Heading2"/>
      </w:pPr>
      <w:r>
        <w:t>13.4 — Verification Improvements (3–5h)</w:t>
      </w:r>
    </w:p>
    <w:p>
      <w:r>
        <w:t>Strengthen post-remediation health recheck, expected-condition confirmation, and execution closure.</w:t>
      </w:r>
    </w:p>
    <w:p>
      <w:pPr>
        <w:pStyle w:val="Heading2"/>
      </w:pPr>
      <w:r>
        <w:t>13.5 — Low-Risk Autonomous Remediation (5–8h)</w:t>
      </w:r>
    </w:p>
    <w:p>
      <w:r>
        <w:t>Only after preceding controls are production proven; use explicit ALLOW_AUTOMATIC / REQUIRE_APPROVAL / DENY policy with fail-closed safety.</w:t>
      </w:r>
    </w:p>
    <w:p>
      <w:pPr>
        <w:pStyle w:val="Heading2"/>
      </w:pPr>
      <w:r>
        <w:t>13.6 — Production Gate (2–4h)</w:t>
      </w:r>
    </w:p>
    <w:p>
      <w:r>
        <w:t>Regression, deployment, production validation, and documentation.</w:t>
      </w:r>
    </w:p>
    <w:p>
      <w:pPr>
        <w:pStyle w:val="Heading1"/>
      </w:pPr>
      <w:r>
        <w:t>6. Phase 14 — Workflow &amp; Orchestration UX</w:t>
      </w:r>
    </w:p>
    <w:p>
      <w:r>
        <w:t>Improve operator understanding and control of the existing workflow engine rather than building a replacement execution framework.</w:t>
      </w:r>
    </w:p>
    <w:p>
      <w:pPr>
        <w:pStyle w:val="ListBullet"/>
      </w:pPr>
      <w:r>
        <w:t>Workflow execution timeline with steps, timestamps, durations, and status.</w:t>
      </w:r>
    </w:p>
    <w:p>
      <w:pPr>
        <w:pStyle w:val="ListBullet"/>
      </w:pPr>
      <w:r>
        <w:t>Operator-readable failure analysis including failed step, target, return code/error, and prior successful step.</w:t>
      </w:r>
    </w:p>
    <w:p>
      <w:pPr>
        <w:pStyle w:val="ListBullet"/>
      </w:pPr>
      <w:r>
        <w:t>Safe retry/replay controls that distinguish retrying an operation, rerunning a workflow, and any supported resume behavior.</w:t>
      </w:r>
    </w:p>
    <w:p>
      <w:pPr>
        <w:pStyle w:val="ListBullet"/>
      </w:pPr>
      <w:r>
        <w:t>Improved workflow history and execution-detail navigation.</w:t>
      </w:r>
    </w:p>
    <w:p>
      <w:pPr>
        <w:pStyle w:val="ListBullet"/>
      </w:pPr>
      <w:r>
        <w:t>Production gate and documentation.</w:t>
      </w:r>
    </w:p>
    <w:p>
      <w:pPr>
        <w:pStyle w:val="Heading1"/>
      </w:pPr>
      <w:r>
        <w:t>7. Phase 15 — Administration &amp; Notifications</w:t>
      </w:r>
    </w:p>
    <w:p>
      <w:r>
        <w:t>Introduce a reusable notification framework that routes operational events without coupling individual monitoring features to specific transports.</w:t>
      </w:r>
    </w:p>
    <w:p>
      <w:pPr>
        <w:pStyle w:val="ListBullet"/>
      </w:pPr>
      <w:r>
        <w:t>Notification event model and routing policy.</w:t>
      </w:r>
    </w:p>
    <w:p>
      <w:pPr>
        <w:pStyle w:val="ListBullet"/>
      </w:pPr>
      <w:r>
        <w:t>Configurable destinations such as email, Microsoft Teams, Slack, or other approved transports.</w:t>
      </w:r>
    </w:p>
    <w:p>
      <w:pPr>
        <w:pStyle w:val="ListBullet"/>
      </w:pPr>
      <w:r>
        <w:t>Severity, suppression, acknowledgement, escalation, and recovery semantics.</w:t>
      </w:r>
    </w:p>
    <w:p>
      <w:pPr>
        <w:pStyle w:val="ListBullet"/>
      </w:pPr>
      <w:r>
        <w:t>Storage events explicitly supported: STORAGE_WARNING, STORAGE_CRITICAL, STORAGE_RECOVERED.</w:t>
      </w:r>
    </w:p>
    <w:p>
      <w:pPr>
        <w:pStyle w:val="ListBullet"/>
      </w:pPr>
      <w:r>
        <w:t>Health, automation, remediation, backup, and other operational event sources can later reuse the same framework.</w:t>
      </w:r>
    </w:p>
    <w:p>
      <w:pPr>
        <w:pStyle w:val="ListBullet"/>
      </w:pPr>
      <w:r>
        <w:t>Administrative configuration UI, authorization, audit history, and production gate.</w:t>
      </w:r>
    </w:p>
    <w:p>
      <w:pPr>
        <w:pStyle w:val="Heading1"/>
      </w:pPr>
      <w:r>
        <w:t>8. Phase 16 — Platform Lifecycle &amp; Advanced Operations</w:t>
      </w:r>
    </w:p>
    <w:p>
      <w:r>
        <w:t>Reserve Phase 16 for product lifecycle capabilities that become justified by real operational needs after Phases 12–15. Candidate work includes richer maintenance-window controls, lifecycle visibility, advanced operational reporting, capacity forecasting after sufficient history exists, and other cross-platform operational improvements. Scope should be approved from production evidence rather than implemented merely because it appears on the roadmap.</w:t>
      </w:r>
    </w:p>
    <w:p>
      <w:pPr>
        <w:pStyle w:val="Heading1"/>
      </w:pPr>
      <w:r>
        <w:t>9. Immediate Starting Point</w:t>
      </w:r>
    </w:p>
    <w:p>
      <w:r>
        <w:t>Begin with Phase 12.1 — Health Model Consolidation. Before changing production code, confirm the current Git branch/status, deployed revision, HIMP service state, scheduler state, and the current health data/service/API paths. Keep the first implementation slice tightly bounded.</w:t>
      </w:r>
    </w:p>
    <w:p>
      <w:pPr>
        <w:pStyle w:val="Heading1"/>
      </w:pPr>
      <w:r>
        <w:t>10. Roadmap Decision Record</w:t>
      </w:r>
    </w:p>
    <w:p>
      <w:r>
        <w:t>This roadmap intentionally does not reopen completed Phase 9–11 infrastructure work. Storage capacity visibility is a first-class Phase 12 operational-intelligence feature. Notification transport is deferred to the shared Phase 15 framework, while Phase 12 owns storage detection, thresholds, state, visualization, and alert-event generation.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