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HIMP Product Roadmap</w:t>
      </w:r>
    </w:p>
    <w:p>
      <w:pPr>
        <w:jc w:val="center"/>
      </w:pPr>
      <w:r>
        <w:rPr>
          <w:b/>
          <w:sz w:val="32"/>
        </w:rPr>
        <w:t>Phases 12–16</w:t>
      </w:r>
    </w:p>
    <w:p>
      <w:pPr>
        <w:jc w:val="center"/>
      </w:pPr>
      <w:r>
        <w:t>Version 1.3.0 | Updated through Phase 12.6 production verification | 2026-08-20</w:t>
      </w:r>
    </w:p>
    <w:p>
      <w:pPr>
        <w:pStyle w:val="Heading1"/>
      </w:pPr>
      <w:r>
        <w:t>1. Roadmap Purpose</w:t>
      </w:r>
    </w:p>
    <w:p>
      <w:r>
        <w:t>With the Phase 9–11 platform, production, PostgreSQL, scheduler, recovery, reporting, logging, and operational foundations established, the HIMP product roadmap focuses on operator usefulness, operational intelligence, automation value, orchestration UX, notifications, and lifecycle operations. This revision records actual progress through Phase 12.6 and preserves the remaining roadmap.</w:t>
      </w:r>
    </w:p>
    <w:p>
      <w:pPr>
        <w:pStyle w:val="Heading1"/>
      </w:pPr>
      <w:r>
        <w:t>2. Development Rules</w:t>
      </w:r>
    </w:p>
    <w:p>
      <w:pPr>
        <w:pStyle w:val="ListBullet"/>
      </w:pPr>
      <w:r>
        <w:t>One bounded subsystem per subphase.</w:t>
      </w:r>
    </w:p>
    <w:p>
      <w:pPr>
        <w:pStyle w:val="ListBullet"/>
      </w:pPr>
      <w:r>
        <w:t>Build each coherent slice end-to-end before running the slice regression.</w:t>
      </w:r>
    </w:p>
    <w:p>
      <w:pPr>
        <w:pStyle w:val="ListBullet"/>
      </w:pPr>
      <w:r>
        <w:t>Run focused/full regression, compileall, and git diff --check at the end of the slice.</w:t>
      </w:r>
    </w:p>
    <w:p>
      <w:pPr>
        <w:pStyle w:val="ListBullet"/>
      </w:pPr>
      <w:r>
        <w:t>Production validation remains part of Definition of Done.</w:t>
      </w:r>
    </w:p>
    <w:p>
      <w:pPr>
        <w:pStyle w:val="ListBullet"/>
      </w:pPr>
      <w:r>
        <w:t>Create a clear Git checkpoint for each completed subphase where practical.</w:t>
      </w:r>
    </w:p>
    <w:p>
      <w:pPr>
        <w:pStyle w:val="ListBullet"/>
      </w:pPr>
      <w:r>
        <w:t>Reuse existing scheduler, health, execution, remediation, reporting, and persistence infrastructure.</w:t>
      </w:r>
    </w:p>
    <w:p>
      <w:pPr>
        <w:pStyle w:val="ListBullet"/>
      </w:pPr>
      <w:r>
        <w:t>Do not create parallel subsystems or perform unrelated production refactors.</w:t>
      </w:r>
    </w:p>
    <w:p>
      <w:pPr>
        <w:pStyle w:val="ListBullet"/>
      </w:pPr>
      <w:r>
        <w:t>Prefer deterministic and explainable operational intelligence before predictive/AI behavior.</w:t>
      </w:r>
    </w:p>
    <w:p>
      <w:pPr>
        <w:pStyle w:val="Heading1"/>
      </w:pPr>
      <w:r>
        <w:t>3. Roadmap Summary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Phase</w:t>
            </w:r>
          </w:p>
        </w:tc>
        <w:tc>
          <w:tcPr>
            <w:tcW w:type="dxa" w:w="2520"/>
          </w:tcPr>
          <w:p>
            <w:r>
              <w:t>Focus</w:t>
            </w:r>
          </w:p>
        </w:tc>
        <w:tc>
          <w:tcPr>
            <w:tcW w:type="dxa" w:w="2520"/>
          </w:tcPr>
          <w:p>
            <w:r>
              <w:t>Estimated Effort</w:t>
            </w:r>
          </w:p>
        </w:tc>
        <w:tc>
          <w:tcPr>
            <w:tcW w:type="dxa" w:w="2520"/>
          </w:tcPr>
          <w:p>
            <w:r>
              <w:t>Current Status</w:t>
            </w:r>
          </w:p>
        </w:tc>
      </w:tr>
      <w:tr>
        <w:tc>
          <w:tcPr>
            <w:tcW w:type="dxa" w:w="2520"/>
            <w:vAlign w:val="center"/>
          </w:tcPr>
          <w:p>
            <w:r>
              <w:t>12</w:t>
            </w:r>
          </w:p>
        </w:tc>
        <w:tc>
          <w:tcPr>
            <w:tcW w:type="dxa" w:w="2520"/>
            <w:vAlign w:val="center"/>
          </w:tcPr>
          <w:p>
            <w:r>
              <w:t>Operational Intelligence</w:t>
            </w:r>
          </w:p>
        </w:tc>
        <w:tc>
          <w:tcPr>
            <w:tcW w:type="dxa" w:w="2520"/>
            <w:vAlign w:val="center"/>
          </w:tcPr>
          <w:p>
            <w:r>
              <w:t>27–47 hrs</w:t>
            </w:r>
          </w:p>
        </w:tc>
        <w:tc>
          <w:tcPr>
            <w:tcW w:type="dxa" w:w="2520"/>
            <w:vAlign w:val="center"/>
          </w:tcPr>
          <w:p>
            <w:r>
              <w:t>IN PROGRESS — 12.1–12.6 complete</w:t>
            </w:r>
          </w:p>
        </w:tc>
      </w:tr>
      <w:tr>
        <w:tc>
          <w:tcPr>
            <w:tcW w:type="dxa" w:w="2520"/>
            <w:vAlign w:val="center"/>
          </w:tcPr>
          <w:p>
            <w:r>
              <w:t>13</w:t>
            </w:r>
          </w:p>
        </w:tc>
        <w:tc>
          <w:tcPr>
            <w:tcW w:type="dxa" w:w="2520"/>
            <w:vAlign w:val="center"/>
          </w:tcPr>
          <w:p>
            <w:r>
              <w:t>Automation Intelligence</w:t>
            </w:r>
          </w:p>
        </w:tc>
        <w:tc>
          <w:tcPr>
            <w:tcW w:type="dxa" w:w="2520"/>
            <w:vAlign w:val="center"/>
          </w:tcPr>
          <w:p>
            <w:r>
              <w:t>20–35 hrs</w:t>
            </w:r>
          </w:p>
        </w:tc>
        <w:tc>
          <w:tcPr>
            <w:tcW w:type="dxa" w:w="2520"/>
            <w:vAlign w:val="center"/>
          </w:tcPr>
          <w:p>
            <w:r>
              <w:t>PLANNED</w:t>
            </w:r>
          </w:p>
        </w:tc>
      </w:tr>
      <w:tr>
        <w:tc>
          <w:tcPr>
            <w:tcW w:type="dxa" w:w="2520"/>
            <w:vAlign w:val="center"/>
          </w:tcPr>
          <w:p>
            <w:r>
              <w:t>14</w:t>
            </w:r>
          </w:p>
        </w:tc>
        <w:tc>
          <w:tcPr>
            <w:tcW w:type="dxa" w:w="2520"/>
            <w:vAlign w:val="center"/>
          </w:tcPr>
          <w:p>
            <w:r>
              <w:t>Workflow &amp; Orchestration UX</w:t>
            </w:r>
          </w:p>
        </w:tc>
        <w:tc>
          <w:tcPr>
            <w:tcW w:type="dxa" w:w="2520"/>
            <w:vAlign w:val="center"/>
          </w:tcPr>
          <w:p>
            <w:r>
              <w:t>15–25 hrs</w:t>
            </w:r>
          </w:p>
        </w:tc>
        <w:tc>
          <w:tcPr>
            <w:tcW w:type="dxa" w:w="2520"/>
            <w:vAlign w:val="center"/>
          </w:tcPr>
          <w:p>
            <w:r>
              <w:t>PLANNED</w:t>
            </w:r>
          </w:p>
        </w:tc>
      </w:tr>
      <w:tr>
        <w:tc>
          <w:tcPr>
            <w:tcW w:type="dxa" w:w="2520"/>
            <w:vAlign w:val="center"/>
          </w:tcPr>
          <w:p>
            <w:r>
              <w:t>15</w:t>
            </w:r>
          </w:p>
        </w:tc>
        <w:tc>
          <w:tcPr>
            <w:tcW w:type="dxa" w:w="2520"/>
            <w:vAlign w:val="center"/>
          </w:tcPr>
          <w:p>
            <w:r>
              <w:t>Administration &amp; Notifications</w:t>
            </w:r>
          </w:p>
        </w:tc>
        <w:tc>
          <w:tcPr>
            <w:tcW w:type="dxa" w:w="2520"/>
            <w:vAlign w:val="center"/>
          </w:tcPr>
          <w:p>
            <w:r>
              <w:t>15–25 hrs</w:t>
            </w:r>
          </w:p>
        </w:tc>
        <w:tc>
          <w:tcPr>
            <w:tcW w:type="dxa" w:w="2520"/>
            <w:vAlign w:val="center"/>
          </w:tcPr>
          <w:p>
            <w:r>
              <w:t>PLANNED</w:t>
            </w:r>
          </w:p>
        </w:tc>
      </w:tr>
      <w:tr>
        <w:tc>
          <w:tcPr>
            <w:tcW w:type="dxa" w:w="2520"/>
            <w:vAlign w:val="center"/>
          </w:tcPr>
          <w:p>
            <w:r>
              <w:t>16</w:t>
            </w:r>
          </w:p>
        </w:tc>
        <w:tc>
          <w:tcPr>
            <w:tcW w:type="dxa" w:w="2520"/>
            <w:vAlign w:val="center"/>
          </w:tcPr>
          <w:p>
            <w:r>
              <w:t>Platform Lifecycle &amp; Advanced Operations</w:t>
            </w:r>
          </w:p>
        </w:tc>
        <w:tc>
          <w:tcPr>
            <w:tcW w:type="dxa" w:w="2520"/>
            <w:vAlign w:val="center"/>
          </w:tcPr>
          <w:p>
            <w:r>
              <w:t>15–30 hrs</w:t>
            </w:r>
          </w:p>
        </w:tc>
        <w:tc>
          <w:tcPr>
            <w:tcW w:type="dxa" w:w="2520"/>
            <w:vAlign w:val="center"/>
          </w:tcPr>
          <w:p>
            <w:r>
              <w:t>PLANNED</w:t>
            </w:r>
          </w:p>
        </w:tc>
      </w:tr>
      <w:tr>
        <w:tc>
          <w:tcPr>
            <w:tcW w:type="dxa" w:w="2520"/>
            <w:vAlign w:val="center"/>
          </w:tcPr>
          <w:p>
            <w:r/>
          </w:p>
        </w:tc>
        <w:tc>
          <w:tcPr>
            <w:tcW w:type="dxa" w:w="2520"/>
            <w:vAlign w:val="center"/>
          </w:tcPr>
          <w:p>
            <w:r>
              <w:t>Potential total</w:t>
            </w:r>
          </w:p>
        </w:tc>
        <w:tc>
          <w:tcPr>
            <w:tcW w:type="dxa" w:w="2520"/>
            <w:vAlign w:val="center"/>
          </w:tcPr>
          <w:p>
            <w:r>
              <w:t>92–162 hrs</w:t>
            </w:r>
          </w:p>
        </w:tc>
        <w:tc>
          <w:tcPr>
            <w:tcW w:type="dxa" w:w="2520"/>
            <w:vAlign w:val="center"/>
          </w:tcPr>
          <w:p>
            <w:r/>
          </w:p>
        </w:tc>
      </w:tr>
    </w:tbl>
    <w:p>
      <w:pPr>
        <w:pStyle w:val="Heading1"/>
      </w:pPr>
      <w:r>
        <w:t>4. Phase 12 — Operational Intelligence</w:t>
      </w:r>
    </w:p>
    <w:p>
      <w:r>
        <w:t>Status: IN PROGRESS. Phase 12 turns HIMP's existing inventory, plugin health, host health, history, execution, scheduler, storage, and relationship data into a coherent operational view.</w:t>
      </w:r>
    </w:p>
    <w:p>
      <w:pPr>
        <w:pStyle w:val="Heading2"/>
      </w:pPr>
      <w:r>
        <w:t>12.1 — Health Model Consolidation (4–7h)</w:t>
      </w:r>
    </w:p>
    <w:p>
      <w:r>
        <w:t>Status: COMPLETE.</w:t>
      </w:r>
    </w:p>
    <w:p>
      <w:r>
        <w:t>Define the canonical health contract; clarify the relationship between plugin health and infrastructure health; reduce contradictory presentation without rewriting the health system.</w:t>
      </w:r>
    </w:p>
    <w:p>
      <w:pPr>
        <w:pStyle w:val="Heading2"/>
      </w:pPr>
      <w:r>
        <w:t>12.2 — Scheduled Plugin Health (3–5h)</w:t>
      </w:r>
    </w:p>
    <w:p>
      <w:r>
        <w:t>Status: COMPLETE.</w:t>
      </w:r>
    </w:p>
    <w:p>
      <w:r>
        <w:t>Use the existing scheduler for configurable plugin-health refreshes, prevent overlap, record results, expose last/next refresh, and retain manual execution.</w:t>
      </w:r>
    </w:p>
    <w:p>
      <w:pPr>
        <w:pStyle w:val="Heading2"/>
      </w:pPr>
      <w:r>
        <w:t>12.3 — Host Storage Capacity Intelligence (5–8h)</w:t>
      </w:r>
    </w:p>
    <w:p>
      <w:r>
        <w:t>Status: COMPLETE.</w:t>
      </w:r>
    </w:p>
    <w:p>
      <w:r>
        <w:t>Collect and display per-host/per-filesystem capacity: mount point, total, used, free, percent used, and last checked. Provide utilization visibility, dashboard summaries, host detail views, configurable WARNING/CRITICAL thresholds, and stateful alert transitions.</w:t>
      </w:r>
    </w:p>
    <w:p>
      <w:pPr>
        <w:pStyle w:val="Heading3"/>
      </w:pPr>
      <w:r>
        <w:t>Storage Visualization and Alert Contract</w:t>
      </w:r>
    </w:p>
    <w:p>
      <w:pPr>
        <w:spacing w:after="120"/>
        <w:ind w:left="360"/>
      </w:pPr>
      <w:r>
        <w:rPr>
          <w:rFonts w:ascii="Consolas" w:hAnsi="Consolas"/>
          <w:sz w:val="18"/>
        </w:rPr>
        <w:t>pve01 /             56%  18 GB free</w:t>
        <w:br/>
        <w:t>pve01 /var/lib/vz  78% 220 GB free</w:t>
        <w:br/>
        <w:t>automation /        64%   9 GB free</w:t>
        <w:br/>
        <w:t>himpdb01 /          83%   7 GB free  WARNING</w:t>
      </w:r>
    </w:p>
    <w:p>
      <w:r>
        <w:t>Notification behavior remains stateful: crossing the warning threshold creates a warning event; remaining above the threshold does not repeatedly notify; crossing the critical threshold creates an escalation event; returning below the configured warning threshold creates a recovery event.</w:t>
      </w:r>
    </w:p>
    <w:p>
      <w:pPr>
        <w:pStyle w:val="Heading2"/>
      </w:pPr>
      <w:r>
        <w:t>12.4 — Infrastructure Relationships (5–8h)</w:t>
      </w:r>
    </w:p>
    <w:p>
      <w:r>
        <w:t>Status: COMPLETE / PRODUCTION VERIFIED.</w:t>
      </w:r>
    </w:p>
    <w:p>
      <w:r>
        <w:t>Phase 12.4 established an explicit, deterministic infrastructure-relationship contract before topology presentation. Git-managed configuration is authoritative; PostgreSQL asset_relationships is the synchronized operational representation.</w:t>
      </w:r>
    </w:p>
    <w:p>
      <w:pPr>
        <w:pStyle w:val="ListBullet"/>
      </w:pPr>
      <w:r>
        <w:t>Canonical entity vocabulary: application, host, service, database, dns, storage, backup.</w:t>
      </w:r>
    </w:p>
    <w:p>
      <w:pPr>
        <w:pStyle w:val="ListBullet"/>
      </w:pPr>
      <w:r>
        <w:t>Canonical relationship vocabulary: runs_on, depends_on, uses, stores_on, backed_up_by, resolves_through, provides.</w:t>
      </w:r>
    </w:p>
    <w:p>
      <w:pPr>
        <w:pStyle w:val="ListBullet"/>
      </w:pPr>
      <w:r>
        <w:t>Relationship validation rejects empty values, unsupported entity/relationship types, self-relationships, and duplicate configured relationships.</w:t>
      </w:r>
    </w:p>
    <w:p>
      <w:pPr>
        <w:pStyle w:val="ListBullet"/>
      </w:pPr>
      <w:r>
        <w:t>Deterministic reconciliation adds missing configured relationships, preserves unchanged relationships, and removes obsolete managed relationships.</w:t>
      </w:r>
    </w:p>
    <w:p>
      <w:pPr>
        <w:pStyle w:val="ListBullet"/>
      </w:pPr>
      <w:r>
        <w:t>Forward source lookup and reverse target lookup are implemented for later dependency/impact analysis.</w:t>
      </w:r>
    </w:p>
    <w:p>
      <w:pPr>
        <w:pStyle w:val="ListBullet"/>
      </w:pPr>
      <w:r>
        <w:t>Authenticated relationship read APIs are live; reconciliation is admin-only.</w:t>
      </w:r>
    </w:p>
    <w:p>
      <w:pPr>
        <w:pStyle w:val="ListBullet"/>
      </w:pPr>
      <w:r>
        <w:t>No PostgreSQL schema migration was required; the existing asset_relationships schema was retained.</w:t>
      </w:r>
    </w:p>
    <w:p>
      <w:pPr>
        <w:pStyle w:val="Heading3"/>
      </w:pPr>
      <w:r>
        <w:t>Phase 12.4 Production Relationship State</w:t>
      </w:r>
    </w:p>
    <w:p>
      <w:pPr>
        <w:spacing w:after="120"/>
        <w:ind w:left="360"/>
      </w:pPr>
      <w:r>
        <w:rPr>
          <w:rFonts w:ascii="Consolas" w:hAnsi="Consolas"/>
          <w:sz w:val="18"/>
        </w:rPr>
        <w:t>application:himp --depends_on--&gt; database:himp</w:t>
        <w:br/>
        <w:t>application:himp --runs_on-----&gt; host:automation.server.arpa</w:t>
        <w:br/>
        <w:t>database:himp    --runs_on-----&gt; host:himpdb01.server.arpa</w:t>
      </w:r>
    </w:p>
    <w:p>
      <w:r>
        <w:t>Initial production reconciliation added exactly three relationships. A second reconciliation proved idempotence: configured=3, added=0, removed=0, unchanged=3, total=3. Direct PostgreSQL verification confirmed exactly three rows.</w:t>
      </w:r>
    </w:p>
    <w:p>
      <w:pPr>
        <w:pStyle w:val="Heading3"/>
      </w:pPr>
      <w:r>
        <w:t>Phase 12.4 API Contract</w:t>
      </w:r>
    </w:p>
    <w:p>
      <w:pPr>
        <w:pStyle w:val="ListBullet"/>
      </w:pPr>
      <w:r>
        <w:t>GET /api/relationships</w:t>
      </w:r>
    </w:p>
    <w:p>
      <w:pPr>
        <w:pStyle w:val="ListBullet"/>
      </w:pPr>
      <w:r>
        <w:t>GET /api/relationships/source/{source_type}/{source_id}</w:t>
      </w:r>
    </w:p>
    <w:p>
      <w:pPr>
        <w:pStyle w:val="ListBullet"/>
      </w:pPr>
      <w:r>
        <w:t>GET /api/relationships/target/{target_type}/{target_id}</w:t>
      </w:r>
    </w:p>
    <w:p>
      <w:pPr>
        <w:pStyle w:val="ListBullet"/>
      </w:pPr>
      <w:r>
        <w:t>POST /api/relationships/reconcile — admin-only</w:t>
      </w:r>
    </w:p>
    <w:p>
      <w:r>
        <w:t>Unauthenticated GET and POST requests returned HTTP 401. After refreshing the HIMP admin session, all four live API checks returned HTTP 200. The source lookup for application:himp returned two relationships, and the reverse target lookup for database:himp correctly returned the HIMP application dependency.</w:t>
      </w:r>
    </w:p>
    <w:p>
      <w:pPr>
        <w:pStyle w:val="Heading3"/>
      </w:pPr>
      <w:r>
        <w:t>Phase 12.4 Regression Finding and Correction</w:t>
      </w:r>
    </w:p>
    <w:p>
      <w:r>
        <w:t>The full regression gate exposed a real PostgreSQL lifecycle defect unrelated to relationship semantics: long-lived database facades could retain a reference to a shared pool after FastAPI shutdown closed and removed that pool. PostgreSQLDatabase now reacquires the current shared pool only when its cached pool is closed, preserving explicit shutdown cleanup and existing test seams.</w:t>
      </w:r>
    </w:p>
    <w:p>
      <w:r>
        <w:t>Dedicated lifecycle regression coverage was added. The final full regression completed with 893 passing tests. compileall and git diff --check passed.</w:t>
      </w:r>
    </w:p>
    <w:p>
      <w:pPr>
        <w:pStyle w:val="Heading3"/>
      </w:pPr>
      <w:r>
        <w:t>Phase 12.4 Release Checkpoint</w:t>
      </w:r>
    </w:p>
    <w:p>
      <w:pPr>
        <w:spacing w:after="120"/>
        <w:ind w:left="360"/>
      </w:pPr>
      <w:r>
        <w:rPr>
          <w:rFonts w:ascii="Consolas" w:hAnsi="Consolas"/>
          <w:sz w:val="18"/>
        </w:rPr>
        <w:t>Branch:       feature/plugin-sdk</w:t>
        <w:br/>
        <w:t>Commit:       6ca4aeefbdf968dbaa4b9f90c63f435a91b2c9ff</w:t>
        <w:br/>
        <w:t>Subject:      feat: add infrastructure relationship management</w:t>
        <w:br/>
        <w:t>LOCAL:        6ca4aeefbdf968dbaa4b9f90c63f435a91b2c9ff</w:t>
        <w:br/>
        <w:t>REMOTE:       6ca4aeefbdf968dbaa4b9f90c63f435a91b2c9ff</w:t>
        <w:br/>
        <w:t>DEPLOYED:     6ca4aeefbdf968dbaa4b9f90c63f435a91b2c9ff</w:t>
        <w:br/>
        <w:t>Regression:   893 passed</w:t>
        <w:br/>
        <w:t>compileall:   PASS</w:t>
        <w:br/>
        <w:t>diff check:   PASS</w:t>
        <w:br/>
        <w:t>HIMP service: ACTIVE</w:t>
        <w:br/>
        <w:t>Listener:     0.0.0.0:9347</w:t>
        <w:br/>
        <w:t>Worktree:     CLEAN / synchronized</w:t>
      </w:r>
    </w:p>
    <w:p>
      <w:pPr>
        <w:pStyle w:val="Heading2"/>
      </w:pPr>
      <w:r>
        <w:t>12.5 — Dependency &amp; Impact Analysis (4–7h)</w:t>
      </w:r>
    </w:p>
    <w:p>
      <w:r>
        <w:t>Status: COMPLETE / PRODUCTION VERIFIED.</w:t>
      </w:r>
    </w:p>
    <w:p>
      <w:r>
        <w:t>Phase 12.5 added deterministic, read-only dependency traversal and reverse-impact analysis over the Phase 12.4 canonical relationship graph. The implementation reuses AssetRelationshipService and does not introduce a parallel dependency model, graph database, schema migration, or topology storage layer.</w:t>
      </w:r>
    </w:p>
    <w:p>
      <w:pPr>
        <w:pStyle w:val="ListBullet"/>
      </w:pPr>
      <w:r>
        <w:t>Dependency traversal follows outgoing source-to-target relationship edges and answers “What does this asset depend on?”</w:t>
      </w:r>
    </w:p>
    <w:p>
      <w:pPr>
        <w:pStyle w:val="ListBullet"/>
      </w:pPr>
      <w:r>
        <w:t>Impact traversal follows incoming edges in reverse and answers “What depends on this asset?” and “What could be affected if this asset fails?”</w:t>
      </w:r>
    </w:p>
    <w:p>
      <w:pPr>
        <w:pStyle w:val="ListBullet"/>
      </w:pPr>
      <w:r>
        <w:t>Breadth-first traversal provides deterministic shortest discovered paths, depth tracking, and cycle protection.</w:t>
      </w:r>
    </w:p>
    <w:p>
      <w:pPr>
        <w:pStyle w:val="ListBullet"/>
      </w:pPr>
      <w:r>
        <w:t>Each reachable asset is returned once with entity type, entity ID, depth, the relationship used to reach it, and the complete relationship path from the requested root.</w:t>
      </w:r>
    </w:p>
    <w:p>
      <w:pPr>
        <w:pStyle w:val="ListBullet"/>
      </w:pPr>
      <w:r>
        <w:t>Optional max_depth limits analysis to direct or bounded transitive relationships without changing graph semantics.</w:t>
      </w:r>
    </w:p>
    <w:p>
      <w:pPr>
        <w:pStyle w:val="ListBullet"/>
      </w:pPr>
      <w:r>
        <w:t>Both new API routes inherit the existing authenticated-session boundary. Phase 12.5 remains read-only against asset_relationships.</w:t>
      </w:r>
    </w:p>
    <w:p>
      <w:pPr>
        <w:pStyle w:val="Heading3"/>
      </w:pPr>
      <w:r>
        <w:t>Phase 12.5 Live Production Results</w:t>
      </w:r>
    </w:p>
    <w:p>
      <w:r>
        <w:rPr>
          <w:rFonts w:ascii="Consolas" w:hAnsi="Consolas"/>
          <w:sz w:val="18"/>
        </w:rPr>
        <w:t>Dependencies of application:himp:</w:t>
        <w:br/>
        <w:t>depth 1  database:himp via depends_on</w:t>
        <w:br/>
        <w:t>depth 1  host:automation.server.arpa via runs_on</w:t>
        <w:br/>
        <w:t>depth 2  host:himpdb01.server.arpa via runs_on</w:t>
        <w:br/>
        <w:br/>
        <w:t>Impact of host:himpdb01.server.arpa:</w:t>
        <w:br/>
        <w:t>depth 1  database:himp via runs_on</w:t>
        <w:br/>
        <w:t>depth 2  application:himp via depends_on</w:t>
      </w:r>
    </w:p>
    <w:p>
      <w:pPr>
        <w:pStyle w:val="Heading3"/>
      </w:pPr>
      <w:r>
        <w:t>Phase 12.5 API Contract</w:t>
      </w:r>
    </w:p>
    <w:p>
      <w:pPr>
        <w:pStyle w:val="ListBullet"/>
      </w:pPr>
      <w:r>
        <w:t>GET /api/dependencies/{entity_type}/{entity_id}</w:t>
      </w:r>
    </w:p>
    <w:p>
      <w:pPr>
        <w:pStyle w:val="ListBullet"/>
      </w:pPr>
      <w:r>
        <w:t>GET /api/impact/{entity_type}/{entity_id}</w:t>
      </w:r>
    </w:p>
    <w:p>
      <w:pPr>
        <w:pStyle w:val="ListBullet"/>
      </w:pPr>
      <w:r>
        <w:t>Both routes accept optional max_depth &gt;= 1.</w:t>
      </w:r>
    </w:p>
    <w:p>
      <w:pPr>
        <w:pStyle w:val="ListBullet"/>
      </w:pPr>
      <w:r>
        <w:t>Unauthenticated production requests returned HTTP 401; authenticated full and depth-limited requests returned HTTP 200.</w:t>
      </w:r>
    </w:p>
    <w:p>
      <w:pPr>
        <w:pStyle w:val="Heading3"/>
      </w:pPr>
      <w:r>
        <w:t>Phase 12.5 Validation and Release Checkpoint</w:t>
      </w:r>
    </w:p>
    <w:p>
      <w:r>
        <w:rPr>
          <w:rFonts w:ascii="Consolas" w:hAnsi="Consolas"/>
          <w:sz w:val="18"/>
        </w:rPr>
        <w:t>Branch:       feature/plugin-sdk</w:t>
        <w:br/>
        <w:t>Commit:       b0650cbbe74be0ce7ae77761b369dd97446f7011</w:t>
        <w:br/>
        <w:t>Subject:      feat: add dependency impact analysis</w:t>
        <w:br/>
        <w:t>LOCAL:        b0650cbbe74be0ce7ae77761b369dd97446f7011</w:t>
        <w:br/>
        <w:t>REMOTE:       b0650cbbe74be0ce7ae77761b369dd97446f7011</w:t>
        <w:br/>
        <w:t>DEPLOYED:     b0650cbbe74be0ce7ae77761b369dd97446f7011</w:t>
        <w:br/>
        <w:t>Focused:      49 passed</w:t>
        <w:br/>
        <w:t>Regression:   913 passed</w:t>
        <w:br/>
        <w:t>compileall:   PASS</w:t>
        <w:br/>
        <w:t>diff check:   PASS</w:t>
        <w:br/>
        <w:t>OpenAPI:      PASS</w:t>
        <w:br/>
        <w:t>Production graph analysis: PASS</w:t>
        <w:br/>
        <w:t>Production relationship rows: 3 (unchanged)</w:t>
        <w:br/>
        <w:t>HIMP service: ACTIVE</w:t>
        <w:br/>
        <w:t>Listener:     0.0.0.0:9347</w:t>
        <w:br/>
        <w:t>Worktree:     CLEAN / synchronized</w:t>
      </w:r>
    </w:p>
    <w:p>
      <w:pPr>
        <w:pStyle w:val="Heading2"/>
      </w:pPr>
      <w:r>
        <w:t>12.6 — Health Correlation &amp; Trends (4–8h)</w:t>
      </w:r>
    </w:p>
    <w:p>
      <w:r>
        <w:t>Status: COMPLETE / PRODUCTION VERIFIED.</w:t>
      </w:r>
    </w:p>
    <w:p>
      <w:r>
        <w:t>Phase 12.6 added deterministic historical health analysis over HIMP's existing plugin and host health-history stores. The implementation analyzes repeated failures, warnings, state transitions, current streaks, unhealthy percentages, observed unhealthy duration, and bounded flapping behavior without introducing a second persistence layer or predictive/AI behavior. Relationship-aware correlation reuses the Phase 12.5 dependency graph and explicitly distinguishes topology assets that have no persisted host-health history.</w:t>
      </w:r>
    </w:p>
    <w:p>
      <w:pPr>
        <w:pStyle w:val="Heading3"/>
      </w:pPr>
      <w:r>
        <w:t>Phase 12.6 Live Production Results</w:t>
      </w:r>
    </w:p>
    <w:p>
      <w:r>
        <w:t>Host analysis for pbs01 returned 260 observations: 259 PASS, 1 FAIL, 0 WARNING, 2 state transitions, 1 flap event, current state HEALTHY, current streak 7, and is_flapping=false. Plugin analysis for technitium returned 6 observations: 4 PASS, 2 WARNING, 0 FAIL, current state HEALTHY, and current streak 4.</w:t>
      </w:r>
    </w:p>
    <w:p>
      <w:r>
        <w:t>Relationship-aware correlation for application:himp returned two reachable hosts. automation.server.arpa is a valid depth-1 topology dependency but currently has no persisted host-health history, so HIMP reports history_available=false and current_state=UNKNOWN. himpdb01.server.arpa is a depth-2 dependency with 5 persisted PASS observations and current_state=HEALTHY. This preserves the distinction between 'known topology asset with no observations' and an unhealthy asset.</w:t>
      </w:r>
    </w:p>
    <w:p>
      <w:pPr>
        <w:pStyle w:val="Heading3"/>
      </w:pPr>
      <w:r>
        <w:t>Phase 12.6 API Contract</w:t>
      </w:r>
    </w:p>
    <w:p>
      <w:r>
        <w:t>Authenticated read-only endpoints are available for host analysis, plugin analysis, and relationship-aware correlation under /api/health/analysis. Unauthenticated production requests returned HTTP 401; authenticated production requests returned HTTP 200. Deployment and API validation did not mutate health-history or relationship data.</w:t>
      </w:r>
    </w:p>
    <w:p>
      <w:pPr>
        <w:pStyle w:val="Heading3"/>
      </w:pPr>
      <w:r>
        <w:t>Phase 12.6 Validation and Release Checkpoint</w:t>
      </w:r>
    </w:p>
    <w:p>
      <w:r>
        <w:t>Branch:       feature/plugin-sdk</w:t>
        <w:br/>
        <w:t>Commit:       d02aa17126b105adb577d86d0c11f5221eb685ef</w:t>
        <w:br/>
        <w:t>Subject:      feat: add historical health analysis</w:t>
        <w:br/>
        <w:t>LOCAL:        d02aa17126b105adb577d86d0c11f5221eb685ef</w:t>
        <w:br/>
        <w:t>REMOTE:       d02aa17126b105adb577d86d0c11f5221eb685ef</w:t>
        <w:br/>
        <w:t>DEPLOYED:     d02aa17126b105adb577d86d0c11f5221eb685ef</w:t>
        <w:br/>
        <w:t>Focused:      61 passed</w:t>
        <w:br/>
        <w:t>Regression:   932 passed</w:t>
        <w:br/>
        <w:t>compileall:   PASS</w:t>
        <w:br/>
        <w:t>diff check:   PASS</w:t>
        <w:br/>
        <w:t>OpenAPI:      PASS</w:t>
        <w:br/>
        <w:t>Production health analysis: PASS</w:t>
        <w:br/>
        <w:t>Authenticated API validation: PASS</w:t>
        <w:br/>
        <w:t>Production plugin-health rows: 27 (unchanged)</w:t>
        <w:br/>
        <w:t>Production host-health rows: 11160 (unchanged)</w:t>
        <w:br/>
        <w:t>Production relationship rows: 3 (unchanged)</w:t>
        <w:br/>
        <w:t>HIMP service: ACTIVE</w:t>
        <w:br/>
        <w:t>Listener:     0.0.0.0:9347</w:t>
        <w:br/>
        <w:t>Worktree:     CLEAN / synchronized</w:t>
      </w:r>
    </w:p>
    <w:p>
      <w:pPr>
        <w:pStyle w:val="Heading3"/>
      </w:pPr>
      <w:r>
        <w:t>Phase 12.6 Operational Follow-up</w:t>
      </w:r>
    </w:p>
    <w:p>
      <w:r>
        <w:t>Add automation.server.arpa to HIMP inventory through the existing web inventory workflow so future host-health collection can accumulate observations for the HIMP application host. Use the existing infrastructure inventory group. Until health observations exist, UNKNOWN is the correct correlation state. Credential rotation for the production PostgreSQL application account is tracked separately from the completed Phase 12.6 implementation because a credential was exposed during diagnostic output.</w:t>
      </w:r>
    </w:p>
    <w:p>
      <w:pPr>
        <w:pStyle w:val="Heading2"/>
      </w:pPr>
      <w:r>
        <w:t>12.7 — Phase 12 Production Gate (2–4h)</w:t>
      </w:r>
    </w:p>
    <w:p>
      <w:r>
        <w:t>Status: PLANNED.</w:t>
      </w:r>
    </w:p>
    <w:p>
      <w:r>
        <w:t>Run regression, compileall, diff validation, production deployment, browser/API validation, scheduler validation, PostgreSQL validation, and checkpoint documentation.</w:t>
      </w:r>
    </w:p>
    <w:p>
      <w:pPr>
        <w:pStyle w:val="Heading1"/>
      </w:pPr>
      <w:r>
        <w:t>5. Phase 13 — Automation Intelligence</w:t>
      </w:r>
    </w:p>
    <w:p>
      <w:pPr>
        <w:pStyle w:val="Heading2"/>
      </w:pPr>
      <w:r>
        <w:t>13.1 — Remediation Recommendations (5–8h)</w:t>
      </w:r>
    </w:p>
    <w:p>
      <w:r>
        <w:t>Translate known health conditions into evidence-backed recommended operator actions; no autonomous execution initially.</w:t>
      </w:r>
    </w:p>
    <w:p>
      <w:pPr>
        <w:pStyle w:val="Heading2"/>
      </w:pPr>
      <w:r>
        <w:t>13.2 — Approval Queue (4–6h)</w:t>
      </w:r>
    </w:p>
    <w:p>
      <w:r>
        <w:t>Central operator view for remediation actions requiring approval, including target, reason, risk, approve/deny, and audit history.</w:t>
      </w:r>
    </w:p>
    <w:p>
      <w:pPr>
        <w:pStyle w:val="Heading2"/>
      </w:pPr>
      <w:r>
        <w:t>13.3 — Remediation Scheduling (3–5h)</w:t>
      </w:r>
    </w:p>
    <w:p>
      <w:r>
        <w:t>Allow approved remediation to run later using the existing scheduler; no second scheduling subsystem.</w:t>
      </w:r>
    </w:p>
    <w:p>
      <w:pPr>
        <w:pStyle w:val="Heading2"/>
      </w:pPr>
      <w:r>
        <w:t>13.4 — Verification Improvements (3–5h)</w:t>
      </w:r>
    </w:p>
    <w:p>
      <w:r>
        <w:t>Strengthen post-remediation health recheck, expected-condition confirmation, and execution closure.</w:t>
      </w:r>
    </w:p>
    <w:p>
      <w:pPr>
        <w:pStyle w:val="Heading2"/>
      </w:pPr>
      <w:r>
        <w:t>13.5 — Low-Risk Autonomous Remediation (5–8h)</w:t>
      </w:r>
    </w:p>
    <w:p>
      <w:r>
        <w:t>Only after preceding controls are production proven; use explicit ALLOW_AUTOMATIC / REQUIRE_APPROVAL / DENY policy with fail-closed safety.</w:t>
      </w:r>
    </w:p>
    <w:p>
      <w:pPr>
        <w:pStyle w:val="Heading2"/>
      </w:pPr>
      <w:r>
        <w:t>13.6 — Production Gate (2–4h)</w:t>
      </w:r>
    </w:p>
    <w:p>
      <w:r>
        <w:t>Regression, deployment, production validation, and documentation.</w:t>
      </w:r>
    </w:p>
    <w:p>
      <w:pPr>
        <w:pStyle w:val="Heading1"/>
      </w:pPr>
      <w:r>
        <w:t>6. Phase 14 — Workflow &amp; Orchestration UX</w:t>
      </w:r>
    </w:p>
    <w:p>
      <w:r>
        <w:t>Improve operator understanding and control of the existing workflow engine rather than building a replacement execution framework.</w:t>
      </w:r>
    </w:p>
    <w:p>
      <w:pPr>
        <w:pStyle w:val="ListBullet"/>
      </w:pPr>
      <w:r>
        <w:t>Workflow execution timeline with steps, timestamps, durations, and status.</w:t>
      </w:r>
    </w:p>
    <w:p>
      <w:pPr>
        <w:pStyle w:val="ListBullet"/>
      </w:pPr>
      <w:r>
        <w:t>Operator-readable failure analysis including failed step, target, return code/error, and prior successful step.</w:t>
      </w:r>
    </w:p>
    <w:p>
      <w:pPr>
        <w:pStyle w:val="ListBullet"/>
      </w:pPr>
      <w:r>
        <w:t>Safe retry/replay controls that distinguish retrying an operation, rerunning a workflow, and any supported resume behavior.</w:t>
      </w:r>
    </w:p>
    <w:p>
      <w:pPr>
        <w:pStyle w:val="ListBullet"/>
      </w:pPr>
      <w:r>
        <w:t>Improved workflow history and execution-detail navigation.</w:t>
      </w:r>
    </w:p>
    <w:p>
      <w:pPr>
        <w:pStyle w:val="ListBullet"/>
      </w:pPr>
      <w:r>
        <w:t>Production gate and documentation.</w:t>
      </w:r>
    </w:p>
    <w:p>
      <w:pPr>
        <w:pStyle w:val="Heading1"/>
      </w:pPr>
      <w:r>
        <w:t>7. Phase 15 — Administration &amp; Notifications</w:t>
      </w:r>
    </w:p>
    <w:p>
      <w:r>
        <w:t>Introduce a reusable notification framework that routes operational events without coupling individual monitoring features to specific transports.</w:t>
      </w:r>
    </w:p>
    <w:p>
      <w:pPr>
        <w:pStyle w:val="ListBullet"/>
      </w:pPr>
      <w:r>
        <w:t>Notification event model and routing policy.</w:t>
      </w:r>
    </w:p>
    <w:p>
      <w:pPr>
        <w:pStyle w:val="ListBullet"/>
      </w:pPr>
      <w:r>
        <w:t>Configurable destinations such as email, Microsoft Teams, Slack, or other approved transports.</w:t>
      </w:r>
    </w:p>
    <w:p>
      <w:pPr>
        <w:pStyle w:val="ListBullet"/>
      </w:pPr>
      <w:r>
        <w:t>Severity, suppression, acknowledgement, escalation, and recovery semantics.</w:t>
      </w:r>
    </w:p>
    <w:p>
      <w:pPr>
        <w:pStyle w:val="ListBullet"/>
      </w:pPr>
      <w:r>
        <w:t>Storage events explicitly supported: STORAGE_WARNING, STORAGE_CRITICAL, STORAGE_RECOVERED.</w:t>
      </w:r>
    </w:p>
    <w:p>
      <w:pPr>
        <w:pStyle w:val="ListBullet"/>
      </w:pPr>
      <w:r>
        <w:t>Health, automation, remediation, backup, and other operational event sources can later reuse the same framework.</w:t>
      </w:r>
    </w:p>
    <w:p>
      <w:pPr>
        <w:pStyle w:val="ListBullet"/>
      </w:pPr>
      <w:r>
        <w:t>Administrative configuration UI, authorization, audit history, and production gate.</w:t>
      </w:r>
    </w:p>
    <w:p>
      <w:pPr>
        <w:pStyle w:val="Heading1"/>
      </w:pPr>
      <w:r>
        <w:t>8. Phase 16 — Platform Lifecycle &amp; Advanced Operations</w:t>
      </w:r>
    </w:p>
    <w:p>
      <w:r>
        <w:t>Reserve Phase 16 for product lifecycle capabilities justified by real operational needs after Phases 12–15. Candidate work includes richer maintenance-window controls, lifecycle visibility, advanced operational reporting, capacity forecasting after sufficient history exists, and other cross-platform operational improvements. Scope should be approved from production evidence rather than implemented merely because it appears on the roadmap.</w:t>
      </w:r>
    </w:p>
    <w:p>
      <w:pPr>
        <w:pStyle w:val="Heading1"/>
      </w:pPr>
      <w:r>
        <w:t>9. Immediate Starting Point</w:t>
      </w:r>
    </w:p>
    <w:p>
      <w:r>
        <w:t>Begin Phase 12.7 — Phase 12 Production Gate. First complete the small operational inventory follow-up by adding automation.server.arpa to the existing infrastructure group through the HIMP web inventory workflow, then run the complete Phase 12 production gate across regression, deployment, browser/API behavior, scheduler state, PostgreSQL state, and checkpoint documentation.</w:t>
      </w:r>
    </w:p>
    <w:p>
      <w:pPr>
        <w:spacing w:after="120"/>
        <w:ind w:left="360"/>
      </w:pPr>
      <w:r>
        <w:t>1. Add automation.server.arpa to the infrastructure inventory group through the HIMP web UI.</w:t>
        <w:br/>
        <w:t>2. Confirm feature/plugin-sdk is clean and synchronized.</w:t>
        <w:br/>
        <w:t>3. Confirm SOURCE == REMOTE == DEPLOYED == d02aa17...</w:t>
        <w:br/>
        <w:t>4. Confirm HIMP service is active on port 9347.</w:t>
        <w:br/>
        <w:t>5. Run the Phase 12 full regression in a clean test environment, compileall, and git diff --check.</w:t>
        <w:br/>
        <w:t>6. Validate Phase 12.1–12.6 production API/browser behavior, including authentication boundaries.</w:t>
        <w:br/>
        <w:t>7. Validate scheduler/timer state and confirm no unintended automation execution side effects.</w:t>
        <w:br/>
        <w:t>8. Validate PostgreSQL connectivity, expected production row counts, and connection-pool lifecycle.</w:t>
        <w:br/>
        <w:t>9. Confirm relationship, dependency/impact, and health-correlation data remain internally consistent.</w:t>
        <w:br/>
        <w:t>10. Record the final Phase 12 production checkpoint and close Phase 12 only after the complete gate passes.</w:t>
      </w:r>
    </w:p>
    <w:p>
      <w:pPr>
        <w:pStyle w:val="Heading1"/>
      </w:pPr>
      <w:r>
        <w:t>10. Roadmap Decision Record</w:t>
      </w:r>
    </w:p>
    <w:p>
      <w:r>
        <w:t>This roadmap intentionally does not reopen completed Phase 9–11 infrastructure work. Storage capacity visibility remains a first-class Phase 12 operational-intelligence feature. Notification transport remains deferred to the shared Phase 15 framework. Phase 12.4 established the explicit relationship foundation; Phase 12.5 production-proved deterministic dependency and reverse-impact traversal; Phase 12.6 production-proved deterministic historical health analysis and relationship-aware correlation, including explicit UNKNOWN handling for topology assets without health history. Phase 12.7 is now the Phase 12 production gate. Predictive/AI analysis remains deferred until deterministic operational intelligence is production-proven.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