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1.9.0 | Phase 13 production closure | 2026-08-21</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PLANNED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PLANNED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Configurable destinations such as email, Microsoft Teams, Slack, or other approved transports.</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configuration UI, authorization, audit history, and production gate.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r>
        <w:t>Begin Phase 14 — Workflow &amp; Orchestration UX from the completed Phase 13 production checkpoint. Preserve the existing workflow/execution engine and improve operator understanding and control rather than building a parallel orchestration framework. Start with a bounded inspection of workflow execution history, step-level timing/status data, existing failure detail, retry/replay semantics, and the current workflow-history/detail UI. The first implementation slice should focus on operator-readable execution timeline and failure analysis, then run the consolidated regression gate at the end of the coherent slice.</w:t>
      </w:r>
    </w:p>
    <w:p>
      <w:pPr>
        <w:spacing w:after="120"/>
        <w:ind w:left="360"/>
      </w:pPr>
      <w:r/>
    </w:p>
    <w:p>
      <w:pPr>
        <w:pStyle w:val="Heading1"/>
      </w:pPr>
      <w:r>
        <w:t>10. Roadmap Decision Record</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