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1.4.0 | Phase 12 production closure | 2026-08-20</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PLANNED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PLANNED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PLANNED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PLANNED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pPr>
        <w:pStyle w:val="Heading2"/>
      </w:pPr>
      <w:r>
        <w:t>13.1 — Remediation Recommendations (5–8h)</w:t>
      </w:r>
    </w:p>
    <w:p>
      <w:r>
        <w:t>Translate known health conditions into evidence-backed recommended operator actions; no autonomous execution initially.</w:t>
      </w:r>
    </w:p>
    <w:p>
      <w:pPr>
        <w:pStyle w:val="Heading2"/>
      </w:pPr>
      <w:r>
        <w:t>13.2 — Approval Queue (4–6h)</w:t>
      </w:r>
    </w:p>
    <w:p>
      <w:r>
        <w:t>Central operator view for remediation actions requiring approval, including target, reason, risk, approve/deny, and audit history.</w:t>
      </w:r>
    </w:p>
    <w:p>
      <w:pPr>
        <w:pStyle w:val="Heading2"/>
      </w:pPr>
      <w:r>
        <w:t>13.3 — Remediation Scheduling (3–5h)</w:t>
      </w:r>
    </w:p>
    <w:p>
      <w:r>
        <w:t>Allow approved remediation to run later using the existing scheduler; no second scheduling subsystem.</w:t>
      </w:r>
    </w:p>
    <w:p>
      <w:pPr>
        <w:pStyle w:val="Heading2"/>
      </w:pPr>
      <w:r>
        <w:t>13.4 — Verification Improvements (3–5h)</w:t>
      </w:r>
    </w:p>
    <w:p>
      <w:r>
        <w:t>Strengthen post-remediation health recheck, expected-condition confirmation, and execution closure.</w:t>
      </w:r>
    </w:p>
    <w:p>
      <w:pPr>
        <w:pStyle w:val="Heading2"/>
      </w:pPr>
      <w:r>
        <w:t>13.5 — Low-Risk Autonomous Remediation (5–8h)</w:t>
      </w:r>
    </w:p>
    <w:p>
      <w:r>
        <w:t>Only after preceding controls are production proven; use explicit ALLOW_AUTOMATIC / REQUIRE_APPROVAL / DENY policy with fail-closed safety.</w:t>
      </w:r>
    </w:p>
    <w:p>
      <w:pPr>
        <w:pStyle w:val="Heading2"/>
      </w:pPr>
      <w:r>
        <w:t>13.6 — Production Gate (2–4h)</w:t>
      </w:r>
    </w:p>
    <w:p>
      <w:r>
        <w:t>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Phase 13 — Automation Intelligence. Phase 12 is closed and production verified. Start with Phase 13.1 — Remediation Recommendations, using existing health, relationship, dependency/impact, execution, remediation, scheduler, and audit infrastructure. The first slice should translate deterministic health conditions into evidence-backed recommended operator actions without autonomous execution.</w:t>
      </w:r>
    </w:p>
    <w:p>
      <w:pPr>
        <w:spacing w:after="120"/>
        <w:ind w:left="360"/>
      </w:pPr>
      <w:r/>
    </w:p>
    <w:p>
      <w:pPr>
        <w:pStyle w:val="Heading1"/>
      </w:pPr>
      <w:r>
        <w:t>10. Roadmap Decision Record</w:t>
      </w:r>
    </w:p>
    <w:p>
      <w:r>
        <w:t>This roadmap intentionally does not reopen completed Phase 9–11 infrastructure work. Storage capacity visibility remains a first-class Phase 12 operational-intelligence feature. Notification transport remains deferred to the shared Phase 15 framework. Phase 12.4 established the explicit relationship foundation; Phase 12.5 production-proved deterministic dependency and reverse-impact traversal; Phase 12.6 production-proved deterministic historical health analysis and relationship-aware correlation; and Phase 12.7 completed the full production closure gate. During closure, automation.server.arpa was added through the production web inventory workflow, host-health history was established, current Ansible inventory compatibility was corrected, and deployment was hardened to preserve persistent runtime inventory. Phase 12 is COMPLETE / PRODUCTION VERIFIED at cbfbc354e1f6b0584e92e5ee6d4d9ae3688716b1 with a 934-test regression baseline. Phase 13 — Automation Intelligence is now the active roadmap starting point. Predictive/AI analysis remains deferred until deterministic operational intelligence and later automation controls provide sufficient production evidence.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