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1.11.0 | Phase 14.2 production closure | 2026-08-21</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IN PROGRESS — 14.1–14.2 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remains IN PROGRESS. The original Phase 14 roadmap still has three bounded outcomes after completion of the execution timeline and failure-analysis slices.</w:t>
      </w:r>
    </w:p>
    <w:p>
      <w:pPr>
        <w:pStyle w:val="Heading3"/>
      </w:pPr>
      <w:r>
        <w:t>14.3 — Safe Retry / Replay Controls</w:t>
      </w:r>
    </w:p>
    <w:p>
      <w:r>
        <w:t>Status: NOT STARTED.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NOT STARTED.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NOT STARTED.</w:t>
      </w:r>
    </w:p>
    <w:p>
      <w:r>
        <w:t>Run the final Phase 14 production-readiness gate after 14.3 and 14.4 are complete: focused/full regression, compileall, diff validation, release identity, HIMP and scheduler runtime checks, PostgreSQL-backed production validation, browser smoke testing of the complete orchestration UX, rollback/readiness confirmation, authoritative roadmap update, and Phase 14 closure.</w:t>
      </w:r>
    </w:p>
    <w:p>
      <w:pPr>
        <w:pStyle w:val="Heading3"/>
      </w:pPr>
      <w:r>
        <w:t>Phase 14 Remaining Sequence</w:t>
      </w:r>
    </w:p>
    <w:p>
      <w:r>
        <w:t>1. Phase 14.3 — Safe Retry / Replay Controls</w:t>
        <w:br/>
        <w:t>2. Phase 14.4 — Workflow History &amp; Execution Navigation</w:t>
        <w:br/>
        <w:t>3. Phase 14.5 — Phase 14 Production Gate &amp; Documentation</w:t>
        <w:br/>
        <w:t>4. Close Phase 14 and begin Phase 15 — Administration &amp; Notifications</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Begin Phase 14.3 — Safe Retry / Replay Controls from the completed and production-verified Phase 14.2 checkpoint. First inspect the existing workflow, AutomationService, retry, confirmation, dependency, authorization, execution-history, and idempotency contracts. Define the operator semantics for retrying one operation versus rerunning a complete workflow before adding controls. Expose resume behavior only if the existing engine already supports a safe, deterministic contract. Build one bounded slice end-to-end, consolidate testing at the end, then deploy and production-validate.</w:t>
      </w:r>
    </w:p>
    <w:p>
      <w:pPr>
        <w:spacing w:after="120"/>
        <w:ind w:left="360"/>
      </w:pPr>
      <w:r/>
    </w:p>
    <w:p>
      <w:pPr>
        <w:pStyle w:val="Heading1"/>
      </w:pPr>
      <w:r>
        <w:t>10. Roadmap Decision Record</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