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b/>
          <w:bCs/>
          <w:sz w:val="30"/>
          <w:szCs w:val="30"/>
        </w:rPr>
        <w:t xml:space="preserve">Cortical-Expanded Heterogeneous-GNN for Multi-Site ASD Classification</w:t>
      </w:r>
    </w:p>
    <w:p>
      <w:pPr>
        <w:spacing w:after="40"/>
        <w:jc w:val="center"/>
      </w:pPr>
      <w:r>
        <w:rPr>
          <w:color w:val="555555"/>
          <w:sz w:val="23"/>
          <w:szCs w:val="23"/>
        </w:rPr>
        <w:t xml:space="preserve">Research Plan v2 — Rigor-Upgraded, Data through GNN Explainability</w:t>
      </w:r>
    </w:p>
    <w:p>
      <w:pPr>
        <w:spacing w:after="150"/>
        <w:jc w:val="center"/>
      </w:pPr>
      <w:r>
        <w:rPr>
          <w:i/>
          <w:iCs/>
          <w:color w:val="777777"/>
          <w:sz w:val="20"/>
          <w:szCs w:val="20"/>
        </w:rPr>
        <w:t xml:space="preserve">ABIDE I · structural-only · Kaggle T4 · pre-implementation plan</w:t>
      </w:r>
    </w:p>
    <w:p>
      <w:pPr>
        <w:pBdr>
          <w:bottom w:val="single" w:color="999999" w:sz="6"/>
        </w:pBdr>
        <w:spacing w:after="120"/>
      </w:pPr>
      <w:r>
        <w:t xml:space="preserve"/>
      </w:r>
    </w:p>
    <w:p>
      <w:pPr>
        <w:spacing w:after="110" w:line="276"/>
      </w:pPr>
      <w:r>
        <w:rPr>
          <w:b/>
          <w:bCs/>
        </w:rPr>
        <w:t xml:space="preserve">What changed in v2. </w:t>
      </w:r>
      <w:r>
        <w:t xml:space="preserve">A triage of 37 proposed "fixes" was applied under the governing principle of Fix 33 (Occam's Razor): one coherent contribution executed rigorously, not a stack of techniques. Fifteen feasible, in-scope fixes are integrated at their exact stages below; the remainder are deferred (a different/bigger paper) or rejected (impossible under the constraints) with reasons in the Appendix.</w:t>
      </w:r>
    </w:p>
    <w:p>
      <w:pPr>
        <w:spacing w:after="110" w:line="276"/>
      </w:pPr>
      <w:r>
        <w:rPr>
          <w:b/>
          <w:bCs/>
        </w:rPr>
        <w:t xml:space="preserve">Identity (unchanged). </w:t>
      </w:r>
      <w:r>
        <w:t xml:space="preserve">This is the ComBat-harmonized, Heterogeneous-GNN structural classifier — a strengthened conference/Q2 paper. It is NOT the DANN adversarial methods paper and NOT the normative W-score heterogeneity study (those are separate; see Appendix).</w:t>
      </w:r>
    </w:p>
    <w:p>
      <w:pPr>
        <w:spacing w:after="110" w:line="276"/>
      </w:pPr>
      <w:r>
        <w:rPr>
          <w:b/>
          <w:bCs/>
        </w:rPr>
        <w:t xml:space="preserve">Scope. </w:t>
      </w:r>
      <w:r>
        <w:t xml:space="preserve">Data → features → QC → harmonization → nested-LOSO → heterogeneous graph → training → evaluation → explainability. Out of scope: the RAG module (validate-or-excise when added) and external-cohort validation (infeasible; internal replication substituted).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10" w:before="240"/>
      </w:pPr>
      <w:r>
        <w:t xml:space="preserve">1. Objective &amp; Honest Positioning</w:t>
      </w:r>
    </w:p>
    <w:p>
      <w:pPr>
        <w:spacing w:after="110" w:line="276"/>
      </w:pPr>
      <w:r>
        <w:rPr>
          <w:b/>
          <w:bCs/>
        </w:rPr>
        <w:t xml:space="preserve">Objective. </w:t>
      </w:r>
      <w:r>
        <w:t xml:space="preserve">Extend the existing GAT v3 (subcortical-only, AUC 0.635 ± 0.052, LOSO) with cortical morphometry (thickness, surface area, lGI) in a heterogeneous graph, and characterise the discriminative regions with spatially-valid explainability.</w:t>
      </w:r>
    </w:p>
    <w:p>
      <w:pPr>
        <w:spacing w:after="110" w:line="276"/>
      </w:pPr>
      <w:r>
        <w:rPr>
          <w:b/>
          <w:bCs/>
        </w:rPr>
        <w:t xml:space="preserve">Honest ceiling. </w:t>
      </w:r>
      <w:r>
        <w:t xml:space="preserve">Expect ~0.66–0.70 AUC. Structural ASD-vs-TD is biologically capped; no fix in the list of 37 escapes it. The value is a broader, honestly-reported biomarker set (incl. folding), upgraded rigor, and calibrated/uncertainty-aware outputs — a materially stronger Q2 submission, not a Q1 paper. The Q1 route remains the separate normative-deviation study.</w:t>
      </w:r>
    </w:p>
    <w:p>
      <w:pPr>
        <w:pStyle w:val="Heading1"/>
        <w:spacing w:after="110" w:before="240"/>
      </w:pPr>
      <w:r>
        <w:t xml:space="preserve">2. Research Questions</w:t>
      </w:r>
    </w:p>
    <w:p>
      <w:pPr>
        <w:spacing w:after="110" w:line="276"/>
      </w:pPr>
      <w:r>
        <w:rPr>
          <w:b/>
          <w:bCs/>
        </w:rPr>
        <w:t xml:space="preserve">RQ1. </w:t>
      </w:r>
      <w:r>
        <w:t xml:space="preserve">Does adding cortical thickness, surface area, and lGI improve honest nested-LOSO performance over subcortical-only (0.635)?</w:t>
      </w:r>
    </w:p>
    <w:p>
      <w:pPr>
        <w:spacing w:after="110" w:line="276"/>
      </w:pPr>
      <w:r>
        <w:rPr>
          <w:b/>
          <w:bCs/>
        </w:rPr>
        <w:t xml:space="preserve">RQ2. </w:t>
      </w:r>
      <w:r>
        <w:t xml:space="preserve">Does the heterogeneous graph add value beyond a strong tabular baseline (XGBoost), a no-graph MLP, and ≥1 modern GNN baseline? (The current paper shows GAT ≈ MLP, p = 0.984 — re-test on the expanded, heterogeneous representation.)</w:t>
      </w:r>
    </w:p>
    <w:p>
      <w:pPr>
        <w:spacing w:after="110" w:line="276"/>
      </w:pPr>
      <w:r>
        <w:rPr>
          <w:b/>
          <w:bCs/>
        </w:rPr>
        <w:t xml:space="preserve">RQ3. </w:t>
      </w:r>
      <w:r>
        <w:t xml:space="preserve">Which regions drive the decision; are they spatially coherent (spin-test-significant) with honest univariate effect sizes; and is the model calibrated and fair across sex/age/site?</w:t>
      </w:r>
    </w:p>
    <w:p>
      <w:pPr>
        <w:pStyle w:val="Heading1"/>
        <w:spacing w:after="110" w:before="240"/>
      </w:pPr>
      <w:r>
        <w:t xml:space="preserve">3. Data</w:t>
      </w:r>
    </w:p>
    <w:p>
      <w:pPr>
        <w:spacing w:after="110" w:line="276"/>
      </w:pPr>
      <w:r>
        <w:t xml:space="preserve">Precomputed FreeSurfer-6 outputs, read with </w:t>
      </w:r>
      <w:r>
        <w:rPr>
          <w:rFonts w:ascii="Consolas" w:cs="Consolas" w:eastAsia="Consolas" w:hAnsi="Consolas"/>
          <w:sz w:val="18"/>
          <w:szCs w:val="18"/>
        </w:rPr>
        <w:t xml:space="preserve">nibabel</w:t>
      </w:r>
      <w:r>
        <w:t xml:space="preserve"> (no FreeSurfer software). Add ≈ 17.3 GB.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2260"/>
        <w:gridCol w:w="2900"/>
        <w:gridCol w:w="4200"/>
      </w:tblGrid>
      <w:tr>
        <w:trPr>
          <w:tblHeader/>
        </w:trPr>
        <w:tc>
          <w:tcPr>
            <w:tcW w:type="dxa" w:w="2260"/>
            <w:shd w:fill="37415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Archive</w:t>
            </w:r>
          </w:p>
        </w:tc>
        <w:tc>
          <w:tcPr>
            <w:tcW w:type="dxa" w:w="2900"/>
            <w:shd w:fill="37415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Files used</w:t>
            </w:r>
          </w:p>
        </w:tc>
        <w:tc>
          <w:tcPr>
            <w:tcW w:type="dxa" w:w="4200"/>
            <w:shd w:fill="37415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Contribution</w:t>
            </w:r>
          </w:p>
        </w:tc>
      </w:tr>
      <w:tr>
        <w:tc>
          <w:tcPr>
            <w:tcW w:type="dxa" w:w="22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Brain volumes (have)</w:t>
            </w:r>
          </w:p>
        </w:tc>
        <w:tc>
          <w:tcPr>
            <w:tcW w:type="dxa" w:w="2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aseg.mgz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28 subcortical volumes — unchanged</w:t>
            </w:r>
          </w:p>
        </w:tc>
      </w:tr>
      <w:tr>
        <w:tc>
          <w:tcPr>
            <w:tcW w:type="dxa" w:w="226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Native descriptors (add)</w:t>
            </w:r>
          </w:p>
        </w:tc>
        <w:tc>
          <w:tcPr>
            <w:tcW w:type="dxa" w:w="290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?h.thickness, ?h.area, ?h.curv</w:t>
            </w:r>
          </w:p>
        </w:tc>
        <w:tc>
          <w:tcPr>
            <w:tcW w:type="dxa" w:w="420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cortical thickness, area; curvature → quality index</w:t>
            </w:r>
          </w:p>
        </w:tc>
      </w:tr>
      <w:tr>
        <w:tc>
          <w:tcPr>
            <w:tcW w:type="dxa" w:w="22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lGI (add)</w:t>
            </w:r>
          </w:p>
        </w:tc>
        <w:tc>
          <w:tcPr>
            <w:tcW w:type="dxa" w:w="2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?h.pial_lgi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gyrification</w:t>
            </w:r>
          </w:p>
        </w:tc>
      </w:tr>
      <w:tr>
        <w:tc>
          <w:tcPr>
            <w:tcW w:type="dxa" w:w="226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Labels (add)</w:t>
            </w:r>
          </w:p>
        </w:tc>
        <w:tc>
          <w:tcPr>
            <w:tcW w:type="dxa" w:w="290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?h.aparc.annot (Desikan-68)</w:t>
            </w:r>
          </w:p>
        </w:tc>
        <w:tc>
          <w:tcPr>
            <w:tcW w:type="dxa" w:w="420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region map for aggregation</w:t>
            </w:r>
          </w:p>
        </w:tc>
      </w:tr>
      <w:tr>
        <w:tc>
          <w:tcPr>
            <w:tcW w:type="dxa" w:w="22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Phenotype</w:t>
            </w:r>
          </w:p>
        </w:tc>
        <w:tc>
          <w:tcPr>
            <w:tcW w:type="dxa" w:w="2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Phenotypic_V1_0b.csv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DX_GROUP, age, sex, site, FIQ, field strength</w:t>
            </w:r>
          </w:p>
        </w:tc>
      </w:tr>
      <w:tr>
        <w:tc>
          <w:tcPr>
            <w:tcW w:type="dxa" w:w="226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Surfaces / Transforms</w:t>
            </w:r>
          </w:p>
        </w:tc>
        <w:tc>
          <w:tcPr>
            <w:tcW w:type="dxa" w:w="290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— SKIP —</w:t>
            </w:r>
          </w:p>
        </w:tc>
        <w:tc>
          <w:tcPr>
            <w:tcW w:type="dxa" w:w="420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needed for tabular region features</w:t>
            </w:r>
          </w:p>
        </w:tc>
      </w:tr>
    </w:tbl>
    <w:p>
      <w:pPr>
        <w:pStyle w:val="Heading1"/>
        <w:spacing w:after="110" w:before="240"/>
      </w:pPr>
      <w:r>
        <w:t xml:space="preserve">4. Pipeline — Step by Step (fixes integrated)</w:t>
      </w:r>
    </w:p>
    <w:p>
      <w:pPr>
        <w:spacing w:after="110" w:line="276"/>
      </w:pPr>
      <w:r>
        <w:t xml:space="preserve">Twelve stages; integrated fix numbers marked in brackets. Ordering is the leakage guarantee.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430"/>
        <w:gridCol w:w="2500"/>
        <w:gridCol w:w="6430"/>
      </w:tblGrid>
      <w:tr>
        <w:trPr>
          <w:tblHeader/>
        </w:trPr>
        <w:tc>
          <w:tcPr>
            <w:tcW w:type="dxa" w:w="430"/>
            <w:shd w:fill="37415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shd w:fill="37415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6430"/>
            <w:shd w:fill="37415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Operation → output  [fix]</w:t>
            </w:r>
          </w:p>
        </w:tc>
      </w:tr>
      <w:tr>
        <w:tc>
          <w:tcPr>
            <w:tcW w:type="dxa" w:w="43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Ingestion &amp; join</w:t>
            </w:r>
          </w:p>
        </w:tc>
        <w:tc>
          <w:tcPr>
            <w:tcW w:type="dxa" w:w="643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Merge manifest with phenotype on subject ID; add surf-file paths; drop lGI-failed subjects.</w:t>
            </w:r>
          </w:p>
        </w:tc>
      </w:tr>
      <w:tr>
        <w:tc>
          <w:tcPr>
            <w:tcW w:type="dxa" w:w="43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Multi-channel extraction</w:t>
            </w:r>
          </w:p>
        </w:tc>
        <w:tc>
          <w:tcPr>
            <w:tcW w:type="dxa" w:w="643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aseg → 28 subcortical volumes; per-vertex thickness/area/lGI aggregated by Desikan-68. FIQ via MICE, not median [9]. Output: feature table.</w:t>
            </w:r>
          </w:p>
        </w:tc>
      </w:tr>
      <w:tr>
        <w:tc>
          <w:tcPr>
            <w:tcW w:type="dxa" w:w="43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Quality control</w:t>
            </w:r>
          </w:p>
        </w:tc>
        <w:tc>
          <w:tcPr>
            <w:tcW w:type="dxa" w:w="643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TIV bounds; region-zero; |z|&gt;5; lGI plausibility (1.0–6.0). Euler χ=2 corrupt-mesh sanity gate [36]. Surrogate quality index = curvature roughness + vertex-count deviation [8-replaced]. Report exclusion N.</w:t>
            </w:r>
          </w:p>
        </w:tc>
      </w:tr>
      <w:tr>
        <w:tc>
          <w:tcPr>
            <w:tcW w:type="dxa" w:w="43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Harmonization (train-only)</w:t>
            </w:r>
          </w:p>
        </w:tc>
        <w:tc>
          <w:tcPr>
            <w:tcW w:type="dxa" w:w="643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neuroCombat, site as batch, DX/age/sex preserved; fit on training sites, applied forward. Report CV reduction. (DANN alternative: Appendix.)</w:t>
            </w:r>
          </w:p>
        </w:tc>
      </w:tr>
      <w:tr>
        <w:tc>
          <w:tcPr>
            <w:tcW w:type="dxa" w:w="43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Nested LOSO partition (train-only)</w:t>
            </w:r>
          </w:p>
        </w:tc>
        <w:tc>
          <w:tcPr>
            <w:tcW w:type="dxa" w:w="643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Outer: one site out (19 folds). Inner: CV on remaining sites for hyperparameters; test model frozen from inner loop [19]. Scaler fit train-only. Locked seeds + Dockerfile [20, no BIDS].</w:t>
            </w:r>
          </w:p>
        </w:tc>
      </w:tr>
      <w:tr>
        <w:tc>
          <w:tcPr>
            <w:tcW w:type="dxa" w:w="43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Heterogeneous graph</w:t>
            </w:r>
          </w:p>
        </w:tc>
        <w:tc>
          <w:tcPr>
            <w:tcW w:type="dxa" w:w="643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Two node types — cortical [thickness, area, lGI, xyz], subcortical [volume, xyz] — with typed edges (c-c, s-s, c-s); no zero-padding [11]. Covariation adjacency (|Pearson|&gt;0.3, train-only) within/between types; asymmetry edges.</w:t>
            </w:r>
          </w:p>
        </w:tc>
      </w:tr>
      <w:tr>
        <w:tc>
          <w:tcPr>
            <w:tcW w:type="dxa" w:w="43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HeteroGNN model</w:t>
            </w:r>
          </w:p>
        </w:tc>
        <w:tc>
          <w:tcPr>
            <w:tcW w:type="dxa" w:w="643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HeteroConv message passing + GraphNorm + MNI encoding; temperature-scaling head for calibration [32].</w:t>
            </w:r>
          </w:p>
        </w:tc>
      </w:tr>
      <w:tr>
        <w:tc>
          <w:tcPr>
            <w:tcW w:type="dxa" w:w="43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Training</w:t>
            </w:r>
          </w:p>
        </w:tc>
        <w:tc>
          <w:tcPr>
            <w:tcW w:type="dxa" w:w="643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Adam (1e-3, wd 1e-4), class-weighted CE (handles imbalance in place of GraphSMOTE [23-replaced]), ReduceLROnPlateau, grad clip, early stop; 5 seeds/fold.</w:t>
            </w:r>
          </w:p>
        </w:tc>
      </w:tr>
      <w:tr>
        <w:tc>
          <w:tcPr>
            <w:tcW w:type="dxa" w:w="43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Baselines + ablations</w:t>
            </w:r>
          </w:p>
        </w:tc>
        <w:tc>
          <w:tcPr>
            <w:tcW w:type="dxa" w:w="643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Dummy, LR, SVM, RF, XGBoost (mandatory); + ≥1 modern GNN (BrainGNN / graph transformer) [6]; GCN, MLP-no-graph, random-edges, τ-sweep. Report params/latency/FLOPs [10].</w:t>
            </w:r>
          </w:p>
        </w:tc>
      </w:tr>
      <w:tr>
        <w:tc>
          <w:tcPr>
            <w:tcW w:type="dxa" w:w="43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Evaluation</w:t>
            </w:r>
          </w:p>
        </w:tc>
        <w:tc>
          <w:tcPr>
            <w:tcW w:type="dxa" w:w="643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AUC/acc/sens/spec (19×5); per-site AUC; ECE + temperature scaling [32]; intersectional fairness (sex×age×site) [34]; Decision Curve Analysis [38]; permutation p (baseline + ≤500 on primary, aggregate-level) [13-replaced].</w:t>
            </w:r>
          </w:p>
        </w:tc>
      </w:tr>
      <w:tr>
        <w:tc>
          <w:tcPr>
            <w:tcW w:type="dxa" w:w="43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Explainability</w:t>
            </w:r>
          </w:p>
        </w:tc>
        <w:tc>
          <w:tcPr>
            <w:tcW w:type="dxa" w:w="643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 importance; if graph beats MLP → GNNExplainer edges [22], else feature attribution; spin tests for spatial coherence [14]; Cohen's d from raw values, FDR across regions; embedding UMAP by site/class [7-partial]; prove embeddings ⊥ quality index (partial correlation) [8-replaced].</w:t>
            </w:r>
          </w:p>
        </w:tc>
      </w:tr>
      <w:tr>
        <w:tc>
          <w:tcPr>
            <w:tcW w:type="dxa" w:w="43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Internal replication</w:t>
            </w:r>
          </w:p>
        </w:tc>
        <w:tc>
          <w:tcPr>
            <w:tcW w:type="dxa" w:w="643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10× repeated split-half + permutation nulls in place of external validation [5-replaced]; labelled exploratory / internally-replicated.</w:t>
            </w:r>
          </w:p>
        </w:tc>
      </w:tr>
    </w:tbl>
    <w:p>
      <w:pPr>
        <w:pStyle w:val="Heading1"/>
        <w:spacing w:after="110" w:before="240"/>
      </w:pPr>
      <w:r>
        <w:t xml:space="preserve">5. Node Design — Heterogeneous GNN [Fix 11]</w:t>
      </w:r>
    </w:p>
    <w:p>
      <w:pPr>
        <w:spacing w:after="110" w:line="276"/>
      </w:pPr>
      <w:r>
        <w:t xml:space="preserve">Replaces the earlier zero-padding scheme. Two node types processed in their native dimensions: </w:t>
      </w:r>
      <w:r>
        <w:rPr>
          <w:b/>
          <w:bCs/>
        </w:rPr>
        <w:t xml:space="preserve">cortical</w:t>
      </w:r>
      <w:r>
        <w:t xml:space="preserve"> (68 Desikan nodes; features thickness, area, lGI, MNI xyz) and </w:t>
      </w:r>
      <w:r>
        <w:rPr>
          <w:b/>
          <w:bCs/>
        </w:rPr>
        <w:t xml:space="preserve">subcortical</w:t>
      </w:r>
      <w:r>
        <w:t xml:space="preserve"> (28 nodes; features volume, MNI xyz). Three typed message-passing relations (cortical–cortical, subcortical–subcortical, cortical–subcortical) via PyTorch-Geometric HeteroConv. This removes the artificial padding and lets each anatomy keep its true feature space — a cleaner solution than Option A of v1.</w:t>
      </w:r>
    </w:p>
    <w:p>
      <w:pPr>
        <w:pStyle w:val="Heading1"/>
        <w:spacing w:after="110" w:before="240"/>
      </w:pPr>
      <w:r>
        <w:t xml:space="preserve">6. Statistical Validation &amp; Rigor</w:t>
      </w:r>
    </w:p>
    <w:p>
      <w:pPr>
        <w:pStyle w:val="ListParagraph"/>
        <w:numPr>
          <w:ilvl w:val="0"/>
          <w:numId w:val="1"/>
        </w:numPr>
        <w:spacing w:after="50" w:line="262"/>
      </w:pPr>
      <w:r>
        <w:rPr>
          <w:b/>
          <w:bCs/>
        </w:rPr>
        <w:t xml:space="preserve">Nested LOSO [19]: </w:t>
      </w:r>
      <w:r>
        <w:t xml:space="preserve">hyperparameters chosen in an inner loop; the outer test site is never seen during selection. Compute note: keep the inner HP grid small — this is near the T4 budget ceiling.</w:t>
      </w:r>
    </w:p>
    <w:p>
      <w:pPr>
        <w:pStyle w:val="ListParagraph"/>
        <w:numPr>
          <w:ilvl w:val="0"/>
          <w:numId w:val="1"/>
        </w:numPr>
        <w:spacing w:after="50" w:line="262"/>
      </w:pPr>
      <w:r>
        <w:rPr>
          <w:b/>
          <w:bCs/>
        </w:rPr>
        <w:t xml:space="preserve">Permutation testing [13-replaced]: </w:t>
      </w:r>
      <w:r>
        <w:t xml:space="preserve">full 1000× retrain under nested-LOSO is infeasible (~95k trainings). Feasible protocol — permute labels for the linear/XGBoost baseline (cheap, establishes above-chance signal), plus ≤500 permutations of the primary model at the aggregated cross-validated-prediction level. Report empirical p = (N≥actual + 1)/(N+1).</w:t>
      </w:r>
    </w:p>
    <w:p>
      <w:pPr>
        <w:pStyle w:val="ListParagraph"/>
        <w:numPr>
          <w:ilvl w:val="0"/>
          <w:numId w:val="1"/>
        </w:numPr>
        <w:spacing w:after="50" w:line="262"/>
      </w:pPr>
      <w:r>
        <w:rPr>
          <w:b/>
          <w:bCs/>
        </w:rPr>
        <w:t xml:space="preserve">Spin tests [14]: </w:t>
      </w:r>
      <w:r>
        <w:t xml:space="preserve">spatial permutation preserving cortical autocorrelation, to show discriminative regions are significant beyond chance.</w:t>
      </w:r>
    </w:p>
    <w:p>
      <w:pPr>
        <w:pStyle w:val="ListParagraph"/>
        <w:numPr>
          <w:ilvl w:val="0"/>
          <w:numId w:val="1"/>
        </w:numPr>
        <w:spacing w:after="50" w:line="262"/>
      </w:pPr>
      <w:r>
        <w:rPr>
          <w:b/>
          <w:bCs/>
        </w:rPr>
        <w:t xml:space="preserve">Calibration [32]: </w:t>
      </w:r>
      <w:r>
        <w:t xml:space="preserve">temperature scaling fit on the inner-loop validation set; report ECE and reliability curves.</w:t>
      </w:r>
    </w:p>
    <w:p>
      <w:pPr>
        <w:pStyle w:val="ListParagraph"/>
        <w:numPr>
          <w:ilvl w:val="0"/>
          <w:numId w:val="1"/>
        </w:numPr>
        <w:spacing w:after="50" w:line="262"/>
      </w:pPr>
      <w:r>
        <w:rPr>
          <w:b/>
          <w:bCs/>
        </w:rPr>
        <w:t xml:space="preserve">Fairness [34]: </w:t>
      </w:r>
      <w:r>
        <w:t xml:space="preserve">Equal-Opportunity (TPR parity) and demographic parity across sex×age×site. Caveat: female N is small → underpowered; report with explicit uncertainty.</w:t>
      </w:r>
    </w:p>
    <w:p>
      <w:pPr>
        <w:pStyle w:val="ListParagraph"/>
        <w:numPr>
          <w:ilvl w:val="0"/>
          <w:numId w:val="1"/>
        </w:numPr>
        <w:spacing w:after="50" w:line="262"/>
      </w:pPr>
      <w:r>
        <w:rPr>
          <w:b/>
          <w:bCs/>
        </w:rPr>
        <w:t xml:space="preserve">Clinical utility [38]: </w:t>
      </w:r>
      <w:r>
        <w:t xml:space="preserve">Decision Curve Analysis (net benefit) as a secondary figure; expect modest benefit at ~0.68 — report honestly.</w:t>
      </w:r>
    </w:p>
    <w:p>
      <w:pPr>
        <w:pStyle w:val="ListParagraph"/>
        <w:numPr>
          <w:ilvl w:val="0"/>
          <w:numId w:val="1"/>
        </w:numPr>
        <w:spacing w:after="50" w:line="262"/>
      </w:pPr>
      <w:r>
        <w:rPr>
          <w:b/>
          <w:bCs/>
        </w:rPr>
        <w:t xml:space="preserve">Multiple comparisons: </w:t>
      </w:r>
      <w:r>
        <w:t xml:space="preserve">FDR (Benjamini-Hochberg) across all ~96 region-level statistics.</w:t>
      </w:r>
    </w:p>
    <w:p>
      <w:pPr>
        <w:pStyle w:val="Heading1"/>
        <w:spacing w:after="110" w:before="240"/>
      </w:pPr>
      <w:r>
        <w:t xml:space="preserve">7. Reproducibility &amp; Governance</w:t>
      </w:r>
    </w:p>
    <w:p>
      <w:pPr>
        <w:pStyle w:val="ListParagraph"/>
        <w:numPr>
          <w:ilvl w:val="0"/>
          <w:numId w:val="1"/>
        </w:numPr>
        <w:spacing w:after="50" w:line="262"/>
      </w:pPr>
      <w:r>
        <w:rPr>
          <w:b/>
          <w:bCs/>
        </w:rPr>
        <w:t xml:space="preserve">Determinism [20]: </w:t>
      </w:r>
      <w:r>
        <w:t xml:space="preserve">Dockerfile locking CUDA/cuDNN/PyTorch/NumPy versions; all seeds fixed. (BIDS dropped — it organises imaging data, not tabular matrices.)</w:t>
      </w:r>
    </w:p>
    <w:p>
      <w:pPr>
        <w:pStyle w:val="ListParagraph"/>
        <w:numPr>
          <w:ilvl w:val="0"/>
          <w:numId w:val="1"/>
        </w:numPr>
        <w:spacing w:after="50" w:line="262"/>
      </w:pPr>
      <w:r>
        <w:rPr>
          <w:b/>
          <w:bCs/>
        </w:rPr>
        <w:t xml:space="preserve">Model card [37]: </w:t>
      </w:r>
      <w:r>
        <w:t xml:space="preserve">published (Zenodo/HuggingFace) with out-of-distribution limits, fairness metrics, and a "Not for clinical diagnostic use" disclaimer.</w:t>
      </w:r>
    </w:p>
    <w:p>
      <w:pPr>
        <w:pStyle w:val="ListParagraph"/>
        <w:numPr>
          <w:ilvl w:val="0"/>
          <w:numId w:val="1"/>
        </w:numPr>
        <w:spacing w:after="50" w:line="262"/>
      </w:pPr>
      <w:r>
        <w:rPr>
          <w:b/>
          <w:bCs/>
        </w:rPr>
        <w:t xml:space="preserve">Causal language [35]: </w:t>
      </w:r>
      <w:r>
        <w:t xml:space="preserve">this is cross-sectional. Purge "trajectory / development / progression"; state the inability to infer longitudinal causality as a primary limitation.</w:t>
      </w:r>
    </w:p>
    <w:p>
      <w:pPr>
        <w:pStyle w:val="ListParagraph"/>
        <w:numPr>
          <w:ilvl w:val="0"/>
          <w:numId w:val="1"/>
        </w:numPr>
        <w:spacing w:after="50" w:line="262"/>
      </w:pPr>
      <w:r>
        <w:rPr>
          <w:b/>
          <w:bCs/>
        </w:rPr>
        <w:t xml:space="preserve">RAG [15]: </w:t>
      </w:r>
      <w:r>
        <w:t xml:space="preserve">out of scope for this plan. When added, either ≥2 blinded clinicians rate retrieved-literature relevance, or the module is excised from the manuscript — no clinical-decision-support claim without clinical validation.</w:t>
      </w:r>
    </w:p>
    <w:p>
      <w:pPr>
        <w:pStyle w:val="Heading1"/>
        <w:spacing w:after="110" w:before="240"/>
      </w:pPr>
      <w:r>
        <w:t xml:space="preserve">8. Expected Outcomes</w:t>
      </w:r>
    </w:p>
    <w:p>
      <w:pPr>
        <w:pStyle w:val="ListParagraph"/>
        <w:numPr>
          <w:ilvl w:val="0"/>
          <w:numId w:val="1"/>
        </w:numPr>
        <w:spacing w:after="50" w:line="262"/>
      </w:pPr>
      <w:r>
        <w:t xml:space="preserve">Nested-LOSO AUC ~0.66–0.70 (from 0.635); the increment quantifies what cortical + folding features buy.</w:t>
      </w:r>
    </w:p>
    <w:p>
      <w:pPr>
        <w:pStyle w:val="ListParagraph"/>
        <w:numPr>
          <w:ilvl w:val="0"/>
          <w:numId w:val="1"/>
        </w:numPr>
        <w:spacing w:after="50" w:line="262"/>
      </w:pPr>
      <w:r>
        <w:t xml:space="preserve">Cortical + subcortical biomarker set incl. gyrification, with honest (mostly small) effect sizes, spin-test-validated.</w:t>
      </w:r>
    </w:p>
    <w:p>
      <w:pPr>
        <w:pStyle w:val="ListParagraph"/>
        <w:numPr>
          <w:ilvl w:val="0"/>
          <w:numId w:val="1"/>
        </w:numPr>
        <w:spacing w:after="50" w:line="262"/>
      </w:pPr>
      <w:r>
        <w:t xml:space="preserve">Calibrated, fairness-audited, uncertainty-aware classifier; lower cross-site variance as the GNN's real advantage.</w:t>
      </w:r>
    </w:p>
    <w:p>
      <w:pPr>
        <w:pStyle w:val="ListParagraph"/>
        <w:numPr>
          <w:ilvl w:val="0"/>
          <w:numId w:val="1"/>
        </w:numPr>
        <w:spacing w:after="50" w:line="262"/>
      </w:pPr>
      <w:r>
        <w:t xml:space="preserve">A materially stronger conference / Q2 submission — not a Q1 paper.</w:t>
      </w:r>
    </w:p>
    <w:p>
      <w:pPr>
        <w:pStyle w:val="Heading1"/>
        <w:spacing w:after="110" w:before="240"/>
      </w:pPr>
      <w:r>
        <w:t xml:space="preserve">9. Limitations</w:t>
      </w:r>
    </w:p>
    <w:p>
      <w:pPr>
        <w:pStyle w:val="ListParagraph"/>
        <w:numPr>
          <w:ilvl w:val="0"/>
          <w:numId w:val="1"/>
        </w:numPr>
        <w:spacing w:after="50" w:line="262"/>
      </w:pPr>
      <w:r>
        <w:t xml:space="preserve">Accuracy remains capped ~0.70; the graph may again tie the MLP.</w:t>
      </w:r>
    </w:p>
    <w:p>
      <w:pPr>
        <w:pStyle w:val="ListParagraph"/>
        <w:numPr>
          <w:ilvl w:val="0"/>
          <w:numId w:val="1"/>
        </w:numPr>
        <w:spacing w:after="50" w:line="262"/>
      </w:pPr>
      <w:r>
        <w:t xml:space="preserve">No per-subject motion metric recoverable from tabular outputs; QC is surrogate-based (Euler from logs is impossible here).</w:t>
      </w:r>
    </w:p>
    <w:p>
      <w:pPr>
        <w:pStyle w:val="ListParagraph"/>
        <w:numPr>
          <w:ilvl w:val="0"/>
          <w:numId w:val="1"/>
        </w:numPr>
        <w:spacing w:after="50" w:line="262"/>
      </w:pPr>
      <w:r>
        <w:t xml:space="preserve">No external cohort processable → internal split-half replication only; external validation is future work.</w:t>
      </w:r>
    </w:p>
    <w:p>
      <w:pPr>
        <w:pStyle w:val="ListParagraph"/>
        <w:numPr>
          <w:ilvl w:val="0"/>
          <w:numId w:val="1"/>
        </w:numPr>
        <w:spacing w:after="50" w:line="262"/>
      </w:pPr>
      <w:r>
        <w:t xml:space="preserve">~85% male → female-subgroup fairness metrics underpowered; cross-sectional design (no longitudinal claims).</w:t>
      </w:r>
    </w:p>
    <w:p>
      <w:pPr>
        <w:pStyle w:val="Heading1"/>
        <w:spacing w:after="110" w:before="240"/>
      </w:pPr>
      <w:r>
        <w:t xml:space="preserve">Appendix — Deferred &amp; Rejected Fixes (with reasons)</w:t>
      </w:r>
    </w:p>
    <w:p>
      <w:pPr>
        <w:spacing w:after="110" w:line="276"/>
      </w:pPr>
      <w:r>
        <w:t xml:space="preserve">Applying Occam's Razor [Fix 33]: the following are either a different/bigger paper or impossible under the constraints. Retained here so the decisions are documented.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2500"/>
        <w:gridCol w:w="2100"/>
        <w:gridCol w:w="4760"/>
      </w:tblGrid>
      <w:tr>
        <w:trPr>
          <w:tblHeader/>
        </w:trPr>
        <w:tc>
          <w:tcPr>
            <w:tcW w:type="dxa" w:w="2500"/>
            <w:shd w:fill="37415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Fix(es)</w:t>
            </w:r>
          </w:p>
        </w:tc>
        <w:tc>
          <w:tcPr>
            <w:tcW w:type="dxa" w:w="2100"/>
            <w:shd w:fill="37415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shd w:fill="37415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DANN-GNN, 12 CDANN, 9(sex-GRL)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DEFER — separate methods paper</w:t>
            </w:r>
          </w:p>
        </w:tc>
        <w:tc>
          <w:tcPr>
            <w:tcW w:type="dxa" w:w="4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Replacing ComBat with adversarial domain generalization is its own contribution; adversarial training is unstable at N=1018 across 20 sites (some &lt;15).</w:t>
            </w:r>
          </w:p>
        </w:tc>
      </w:tr>
      <w:tr>
        <w:tc>
          <w:tcPr>
            <w:tcW w:type="dxa" w:w="250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16, 21, 24 (W-score normative)</w:t>
            </w:r>
          </w:p>
        </w:tc>
        <w:tc>
          <w:tcPr>
            <w:tcW w:type="dxa" w:w="210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DEFER — this IS the other paper</w:t>
            </w:r>
          </w:p>
        </w:tc>
        <w:tc>
          <w:tcPr>
            <w:tcW w:type="dxa" w:w="476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Classifying deviations is the normative-heterogeneity Q1 study already blueprinted; bolting it on merges two projects.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DANN-b, 18 (multi-task ADOS)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DEFER — optional secondary</w:t>
            </w:r>
          </w:p>
        </w:tc>
        <w:tc>
          <w:tcPr>
            <w:tcW w:type="dxa" w:w="4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ADOS restricted-range in ASD-only → low power.</w:t>
            </w:r>
          </w:p>
        </w:tc>
      </w:tr>
      <w:tr>
        <w:tc>
          <w:tcPr>
            <w:tcW w:type="dxa" w:w="250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25, 17, 26 (learned graph, DiffPool→Yeo)</w:t>
            </w:r>
          </w:p>
        </w:tc>
        <w:tc>
          <w:tcPr>
            <w:tcW w:type="dxa" w:w="210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DEFER — different architecture</w:t>
            </w:r>
          </w:p>
        </w:tc>
        <w:tc>
          <w:tcPr>
            <w:tcW w:type="dxa" w:w="476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Learned adjacency abandons the covariation story; Yeo-7 is a functional parcellation, mismatched to structural nodes.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29 subtyping, 30 evidential DL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DEFER</w:t>
            </w:r>
          </w:p>
        </w:tc>
        <w:tc>
          <w:tcPr>
            <w:tcW w:type="dxa" w:w="4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Subtyping = the heterogeneity paper; evidential uncertainty adds complexity for marginal gain.</w:t>
            </w:r>
          </w:p>
        </w:tc>
      </w:tr>
      <w:tr>
        <w:tc>
          <w:tcPr>
            <w:tcW w:type="dxa" w:w="250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27 mesh spherical GNN</w:t>
            </w:r>
          </w:p>
        </w:tc>
        <w:tc>
          <w:tcPr>
            <w:tcW w:type="dxa" w:w="210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 — infeasible</w:t>
            </w:r>
          </w:p>
        </w:tc>
        <w:tc>
          <w:tcPr>
            <w:tcW w:type="dxa" w:w="476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Contradicts tabular-only + no-FreeSurfer + Kaggle; this is the separate high-risk surface-DL paper.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28 HCP DTI prior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 — infeasible</w:t>
            </w:r>
          </w:p>
        </w:tc>
        <w:tc>
          <w:tcPr>
            <w:tcW w:type="dxa" w:w="4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No diffusion data available.</w:t>
            </w:r>
          </w:p>
        </w:tc>
      </w:tr>
      <w:tr>
        <w:tc>
          <w:tcPr>
            <w:tcW w:type="dxa" w:w="250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31 physics-hypernetwork GraphNorm</w:t>
            </w:r>
          </w:p>
        </w:tc>
        <w:tc>
          <w:tcPr>
            <w:tcW w:type="dxa" w:w="210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</w:t>
            </w:r>
          </w:p>
        </w:tc>
        <w:tc>
          <w:tcPr>
            <w:tcW w:type="dxa" w:w="476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Exotic, unproven, overkill; field strength has ~2 levels.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5 external validation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REPLACED</w:t>
            </w:r>
          </w:p>
        </w:tc>
        <w:tc>
          <w:tcPr>
            <w:tcW w:type="dxa" w:w="4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Cannot process external cohorts → 10× internal split-half.</w:t>
            </w:r>
          </w:p>
        </w:tc>
      </w:tr>
      <w:tr>
        <w:tc>
          <w:tcPr>
            <w:tcW w:type="dxa" w:w="250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8 Euler from recon-all logs</w:t>
            </w:r>
          </w:p>
        </w:tc>
        <w:tc>
          <w:tcPr>
            <w:tcW w:type="dxa" w:w="210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REPLACED</w:t>
            </w:r>
          </w:p>
        </w:tc>
        <w:tc>
          <w:tcPr>
            <w:tcW w:type="dxa" w:w="476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Logs / orig.nofix not in archives → surrogate quality index.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13 permutation ×1000 retrain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REPLACED</w:t>
            </w:r>
          </w:p>
        </w:tc>
        <w:tc>
          <w:tcPr>
            <w:tcW w:type="dxa" w:w="4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~95k trainings infeasible on T4 → baseline permutation + ≤500 aggregate-level.</w:t>
            </w:r>
          </w:p>
        </w:tc>
      </w:tr>
      <w:tr>
        <w:tc>
          <w:tcPr>
            <w:tcW w:type="dxa" w:w="250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23 GraphSMOTE</w:t>
            </w:r>
          </w:p>
        </w:tc>
        <w:tc>
          <w:tcPr>
            <w:tcW w:type="dxa" w:w="210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REPLACED</w:t>
            </w:r>
          </w:p>
        </w:tc>
        <w:tc>
          <w:tcPr>
            <w:tcW w:type="dxa" w:w="476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Node-level oversampling for a graph-level task; use class weighting + fairness audit.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7 (ADOS-trajectory alignment)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 / conflict</w:t>
            </w:r>
          </w:p>
        </w:tc>
        <w:tc>
          <w:tcPr>
            <w:tcW w:type="dxa" w:w="4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Embedding UMAP kept; "align with trajectories" contradicts Fix 35 (cross-sectional).</w:t>
            </w:r>
          </w:p>
        </w:tc>
      </w:tr>
      <w:tr>
        <w:tc>
          <w:tcPr>
            <w:tcW w:type="dxa" w:w="250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20 BIDS</w:t>
            </w:r>
          </w:p>
        </w:tc>
        <w:tc>
          <w:tcPr>
            <w:tcW w:type="dxa" w:w="210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DROPPED</w:t>
            </w:r>
          </w:p>
        </w:tc>
        <w:tc>
          <w:tcPr>
            <w:tcW w:type="dxa" w:w="4760"/>
            <w:shd w:fill="F7F7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4"/>
            </w:pPr>
            <w:r>
              <w:rPr>
                <w:b w:val="false"/>
                <w:bCs w:val="false"/>
                <w:sz w:val="18"/>
                <w:szCs w:val="18"/>
              </w:rPr>
              <w:t xml:space="preserve">BIDS organises imaging data, not tabular feature matrices.</w:t>
            </w:r>
          </w:p>
        </w:tc>
      </w:tr>
    </w:tbl>
    <w:p>
      <w:pPr>
        <w:pStyle w:val="Heading1"/>
        <w:spacing w:after="110" w:before="240"/>
      </w:pPr>
      <w:r>
        <w:t xml:space="preserve">Decision Forks &amp; Next Actions</w:t>
      </w:r>
    </w:p>
    <w:p>
      <w:pPr>
        <w:spacing w:after="110" w:line="276"/>
      </w:pPr>
      <w:r>
        <w:t xml:space="default"/>
      </w:r>
    </w:p>
    <w:p>
      <w:pPr>
        <w:pStyle w:val="ListParagraph"/>
        <w:numPr>
          <w:ilvl w:val="0"/>
          <w:numId w:val="1"/>
        </w:numPr>
        <w:spacing w:after="50" w:line="262"/>
      </w:pPr>
      <w:r>
        <w:t xml:space="preserve">Identity: ComBat + HeteroGNN classifier (default) vs DANN methods paper vs W-score normative study — the latter two are different papers.</w:t>
      </w:r>
    </w:p>
    <w:p>
      <w:pPr>
        <w:pStyle w:val="ListParagraph"/>
        <w:numPr>
          <w:ilvl w:val="0"/>
          <w:numId w:val="1"/>
        </w:numPr>
        <w:spacing w:after="50" w:line="262"/>
      </w:pPr>
      <w:r>
        <w:t xml:space="preserve">Multi-task ADOS head: excluded by default (low power); include as optional secondary?</w:t>
      </w:r>
    </w:p>
    <w:p>
      <w:pPr>
        <w:pStyle w:val="ListParagraph"/>
        <w:numPr>
          <w:ilvl w:val="0"/>
          <w:numId w:val="1"/>
        </w:numPr>
        <w:spacing w:after="50" w:line="262"/>
      </w:pPr>
      <w:r>
        <w:t xml:space="preserve">Compute: nested-LOSO + 1 modern GNN baseline + feasible permutation is ~the T4 ceiling — confirm.</w:t>
      </w:r>
    </w:p>
    <w:p>
      <w:pPr>
        <w:pStyle w:val="ListParagraph"/>
        <w:numPr>
          <w:ilvl w:val="0"/>
          <w:numId w:val="1"/>
        </w:numPr>
        <w:spacing w:after="50" w:line="262"/>
      </w:pPr>
      <w:r>
        <w:t xml:space="preserve">Paste one extracted subject-folder name to lock the surf-file ↔ phenotype join; then request the feature-extraction + HeteroGNN scaffold as new files (notebooks untouched).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40"/>
    </w:pPr>
    <w:rPr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50"/>
    </w:pPr>
    <w:rPr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Cortical-Expanded HeteroGNN — Research Plan v2</dc:title>
  <dc:creator>Research Plan v2</dc:creator>
  <cp:lastModifiedBy>Un-named</cp:lastModifiedBy>
  <cp:revision>1</cp:revision>
  <dcterms:created xsi:type="dcterms:W3CDTF">2026-07-12T19:17:27.054Z</dcterms:created>
  <dcterms:modified xsi:type="dcterms:W3CDTF">2026-07-12T19:17:27.122Z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