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48"/>
          <w:szCs w:val="48"/>
        </w:rPr>
        <w:t xml:space="preserve">SAP FICO Reports</w:t>
      </w:r>
    </w:p>
    <w:p>
      <w:pPr>
        <w:spacing w:after="400"/>
        <w:jc w:val="center"/>
      </w:pPr>
      <w:r>
        <w:rPr>
          <w:rFonts w:ascii="Calibri" w:cs="Calibri" w:eastAsia="Calibri" w:hAnsi="Calibri"/>
          <w:color w:val="555555"/>
          <w:sz w:val="24"/>
          <w:szCs w:val="24"/>
        </w:rPr>
        <w:t xml:space="preserve">Types, Use Cases and Benefits (Week 4 Task)</w:t>
      </w:r>
    </w:p>
    <w:p>
      <w:pPr>
        <w:pStyle w:val="Heading1"/>
        <w:spacing w:after="120" w:before="30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Recording transactions is only half the purpose of an accounting system. The other half is turning that data into information that people can act on. SAP FICO (Financial Accounting and Controlling) does this through reports. A report in SAP is an organised view of the data in the system, such as a list of open vendor invoices, a balance sheet, or a comparison of planned and actual costs for a department.</w:t>
      </w:r>
    </w:p>
    <w:p>
      <w:pPr>
        <w:spacing w:after="120" w:line="300"/>
      </w:pPr>
      <w:r>
        <w:rPr>
          <w:rFonts w:ascii="Calibri" w:cs="Calibri" w:eastAsia="Calibri" w:hAnsi="Calibri"/>
          <w:sz w:val="22"/>
          <w:szCs w:val="22"/>
        </w:rPr>
        <w:t xml:space="preserve">This document explains the main types of reports generated by SAP FICO, the common transaction codes (T-codes) used to run them, their use cases, and the benefits they give to a business.</w:t>
      </w:r>
    </w:p>
    <w:p>
      <w:pPr>
        <w:pStyle w:val="Heading1"/>
        <w:spacing w:after="120" w:before="300"/>
      </w:pPr>
      <w:r>
        <w:rPr>
          <w:rFonts w:ascii="Calibri" w:cs="Calibri" w:eastAsia="Calibri" w:hAnsi="Calibri"/>
          <w:b/>
          <w:bCs/>
          <w:color w:val="1F3864"/>
          <w:sz w:val="30"/>
          <w:szCs w:val="30"/>
        </w:rPr>
        <w:t xml:space="preserve">2. Why Reports Matter</w:t>
      </w:r>
    </w:p>
    <w:p>
      <w:pPr>
        <w:pStyle w:val="ListParagraph"/>
        <w:numPr>
          <w:ilvl w:val="0"/>
          <w:numId w:val="2"/>
        </w:numPr>
        <w:spacing w:after="80" w:line="290"/>
      </w:pPr>
      <w:r>
        <w:rPr>
          <w:rFonts w:ascii="Calibri" w:cs="Calibri" w:eastAsia="Calibri" w:hAnsi="Calibri"/>
          <w:b/>
          <w:bCs/>
          <w:sz w:val="22"/>
          <w:szCs w:val="22"/>
        </w:rPr>
        <w:t xml:space="preserve">Legal compliance: </w:t>
      </w:r>
      <w:r>
        <w:rPr>
          <w:rFonts w:ascii="Calibri" w:cs="Calibri" w:eastAsia="Calibri" w:hAnsi="Calibri"/>
          <w:sz w:val="22"/>
          <w:szCs w:val="22"/>
        </w:rPr>
        <w:t xml:space="preserve">companies must publish financial statements and file tax returns that follow accounting standards.</w:t>
      </w:r>
    </w:p>
    <w:p>
      <w:pPr>
        <w:pStyle w:val="ListParagraph"/>
        <w:numPr>
          <w:ilvl w:val="0"/>
          <w:numId w:val="2"/>
        </w:numPr>
        <w:spacing w:after="80" w:line="290"/>
      </w:pPr>
      <w:r>
        <w:rPr>
          <w:rFonts w:ascii="Calibri" w:cs="Calibri" w:eastAsia="Calibri" w:hAnsi="Calibri"/>
          <w:b/>
          <w:bCs/>
          <w:sz w:val="22"/>
          <w:szCs w:val="22"/>
        </w:rPr>
        <w:t xml:space="preserve">Decision-making: </w:t>
      </w:r>
      <w:r>
        <w:rPr>
          <w:rFonts w:ascii="Calibri" w:cs="Calibri" w:eastAsia="Calibri" w:hAnsi="Calibri"/>
          <w:sz w:val="22"/>
          <w:szCs w:val="22"/>
        </w:rPr>
        <w:t xml:space="preserve">managers need accurate figures on costs, profits and cash to plan and control the business.</w:t>
      </w:r>
    </w:p>
    <w:p>
      <w:pPr>
        <w:pStyle w:val="ListParagraph"/>
        <w:numPr>
          <w:ilvl w:val="0"/>
          <w:numId w:val="2"/>
        </w:numPr>
        <w:spacing w:after="80" w:line="290"/>
      </w:pPr>
      <w:r>
        <w:rPr>
          <w:rFonts w:ascii="Calibri" w:cs="Calibri" w:eastAsia="Calibri" w:hAnsi="Calibri"/>
          <w:b/>
          <w:bCs/>
          <w:sz w:val="22"/>
          <w:szCs w:val="22"/>
        </w:rPr>
        <w:t xml:space="preserve">Control and audit: </w:t>
      </w:r>
      <w:r>
        <w:rPr>
          <w:rFonts w:ascii="Calibri" w:cs="Calibri" w:eastAsia="Calibri" w:hAnsi="Calibri"/>
          <w:sz w:val="22"/>
          <w:szCs w:val="22"/>
        </w:rPr>
        <w:t xml:space="preserve">reports provide a trail that auditors and internal controllers can check.</w:t>
      </w:r>
    </w:p>
    <w:p>
      <w:pPr>
        <w:pStyle w:val="ListParagraph"/>
        <w:numPr>
          <w:ilvl w:val="0"/>
          <w:numId w:val="2"/>
        </w:numPr>
        <w:spacing w:after="80" w:line="290"/>
      </w:pPr>
      <w:r>
        <w:rPr>
          <w:rFonts w:ascii="Calibri" w:cs="Calibri" w:eastAsia="Calibri" w:hAnsi="Calibri"/>
          <w:b/>
          <w:bCs/>
          <w:sz w:val="22"/>
          <w:szCs w:val="22"/>
        </w:rPr>
        <w:t xml:space="preserve">Cash and risk management: </w:t>
      </w:r>
      <w:r>
        <w:rPr>
          <w:rFonts w:ascii="Calibri" w:cs="Calibri" w:eastAsia="Calibri" w:hAnsi="Calibri"/>
          <w:sz w:val="22"/>
          <w:szCs w:val="22"/>
        </w:rPr>
        <w:t xml:space="preserve">open item and ageing reports show what is owed and by whom.</w:t>
      </w:r>
    </w:p>
    <w:p>
      <w:pPr>
        <w:pStyle w:val="ListParagraph"/>
        <w:numPr>
          <w:ilvl w:val="0"/>
          <w:numId w:val="2"/>
        </w:numPr>
        <w:spacing w:after="80" w:line="290"/>
      </w:pPr>
      <w:r>
        <w:rPr>
          <w:rFonts w:ascii="Calibri" w:cs="Calibri" w:eastAsia="Calibri" w:hAnsi="Calibri"/>
          <w:b/>
          <w:bCs/>
          <w:sz w:val="22"/>
          <w:szCs w:val="22"/>
        </w:rPr>
        <w:t xml:space="preserve">Performance tracking: </w:t>
      </w:r>
      <w:r>
        <w:rPr>
          <w:rFonts w:ascii="Calibri" w:cs="Calibri" w:eastAsia="Calibri" w:hAnsi="Calibri"/>
          <w:sz w:val="22"/>
          <w:szCs w:val="22"/>
        </w:rPr>
        <w:t xml:space="preserve">comparing actual results against budgets reveals problems early.</w:t>
      </w:r>
    </w:p>
    <w:p>
      <w:pPr>
        <w:pStyle w:val="Heading1"/>
        <w:spacing w:after="120" w:before="300"/>
      </w:pPr>
      <w:r>
        <w:rPr>
          <w:rFonts w:ascii="Calibri" w:cs="Calibri" w:eastAsia="Calibri" w:hAnsi="Calibri"/>
          <w:b/>
          <w:bCs/>
          <w:color w:val="1F3864"/>
          <w:sz w:val="30"/>
          <w:szCs w:val="30"/>
        </w:rPr>
        <w:t xml:space="preserve">3. Categories of SAP FICO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Category</w:t>
            </w:r>
          </w:p>
        </w:tc>
        <w:tc>
          <w:tcPr>
            <w:tcW w:type="dxa" w:w="70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Statutory (external) reports</w:t>
            </w:r>
          </w:p>
        </w:tc>
        <w:tc>
          <w:tcPr>
            <w:tcW w:type="dxa" w:w="70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Reports required by law and used by outsiders such as investors, banks and tax authorities. Examples: balance sheet, profit and loss statement.</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Management (internal) reports</w:t>
            </w:r>
          </w:p>
        </w:tc>
        <w:tc>
          <w:tcPr>
            <w:tcW w:type="dxa" w:w="70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Reports used inside the company for planning and control. Examples: cost centre reports, profitability analysis.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Operational reports</w:t>
            </w:r>
          </w:p>
        </w:tc>
        <w:tc>
          <w:tcPr>
            <w:tcW w:type="dxa" w:w="70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Day-to-day lists used by accounting staff. Examples: vendor and customer line items, open items, payment lists.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Analytical and dashboard reports</w:t>
            </w:r>
          </w:p>
        </w:tc>
        <w:tc>
          <w:tcPr>
            <w:tcW w:type="dxa" w:w="70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Visual or summarised reports for managers, such as Fiori apps and analytics tools that show trends and key figures.</w:t>
            </w:r>
          </w:p>
        </w:tc>
      </w:tr>
    </w:tbl>
    <w:p>
      <w:pPr>
        <w:spacing w:after="60"/>
      </w:pPr>
      <w:r>
        <w:rPr>
          <w:rFonts w:ascii="Calibri" w:cs="Calibri" w:eastAsia="Calibri" w:hAnsi="Calibri"/>
          <w:sz w:val="22"/>
          <w:szCs w:val="22"/>
        </w:rPr>
        <w:t xml:space="preserve"/>
      </w:r>
    </w:p>
    <w:p>
      <w:pPr>
        <w:pStyle w:val="Heading1"/>
        <w:spacing w:after="120" w:before="300"/>
      </w:pPr>
      <w:r>
        <w:rPr>
          <w:rFonts w:ascii="Calibri" w:cs="Calibri" w:eastAsia="Calibri" w:hAnsi="Calibri"/>
          <w:b/>
          <w:bCs/>
          <w:color w:val="1F3864"/>
          <w:sz w:val="30"/>
          <w:szCs w:val="30"/>
        </w:rPr>
        <w:t xml:space="preserve">4. Financial Accounting (FI) Reports</w:t>
      </w:r>
    </w:p>
    <w:p>
      <w:pPr>
        <w:pStyle w:val="Heading2"/>
        <w:spacing w:after="80" w:before="200"/>
      </w:pPr>
      <w:r>
        <w:rPr>
          <w:rFonts w:ascii="Calibri" w:cs="Calibri" w:eastAsia="Calibri" w:hAnsi="Calibri"/>
          <w:b/>
          <w:bCs/>
          <w:color w:val="2E5597"/>
          <w:sz w:val="24"/>
          <w:szCs w:val="24"/>
        </w:rPr>
        <w:t xml:space="preserve">4.1 General Ledger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Report</w:t>
            </w:r>
          </w:p>
        </w:tc>
        <w:tc>
          <w:tcPr>
            <w:tcW w:type="dxa" w:w="1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Common T-code</w:t>
            </w:r>
          </w:p>
        </w:tc>
        <w:tc>
          <w:tcPr>
            <w:tcW w:type="dxa" w:w="53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 and use</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G/L account balances</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FS10N, FAGLB03</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debit, credit and balance of a G/L account by period. Used to review account totals and prepare the trial balance.</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G/L line item display</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FBL3N, FAGLL03</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Lists every posting in a G/L account. Used to investigate individual transactions and reconcile accounts.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Financial statements (Balance sheet and P&amp;L)</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F.01, S_ALR_87012284</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Produces the balance sheet and profit and loss statement from the financial statement version. Used for statutory reporting.</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Document display and journal</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FB03, FAGL_DOC_JOURNAL (varies)</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Displays a single accounting document or lists documents posted in a period. Used for audit trail checks.</w:t>
            </w:r>
          </w:p>
        </w:tc>
      </w:tr>
    </w:tbl>
    <w:p>
      <w:pPr>
        <w:spacing w:after="60"/>
      </w:pPr>
      <w:r>
        <w:rPr>
          <w:rFonts w:ascii="Calibri" w:cs="Calibri" w:eastAsia="Calibri" w:hAnsi="Calibri"/>
          <w:sz w:val="22"/>
          <w:szCs w:val="22"/>
        </w:rPr>
        <w:t xml:space="preserve"/>
      </w:r>
    </w:p>
    <w:p>
      <w:pPr>
        <w:pStyle w:val="Heading2"/>
        <w:spacing w:after="80" w:before="200"/>
      </w:pPr>
      <w:r>
        <w:rPr>
          <w:rFonts w:ascii="Calibri" w:cs="Calibri" w:eastAsia="Calibri" w:hAnsi="Calibri"/>
          <w:b/>
          <w:bCs/>
          <w:color w:val="2E5597"/>
          <w:sz w:val="24"/>
          <w:szCs w:val="24"/>
        </w:rPr>
        <w:t xml:space="preserve">4.2 Accounts Payable (vendor)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Report</w:t>
            </w:r>
          </w:p>
        </w:tc>
        <w:tc>
          <w:tcPr>
            <w:tcW w:type="dxa" w:w="1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Common T-code</w:t>
            </w:r>
          </w:p>
        </w:tc>
        <w:tc>
          <w:tcPr>
            <w:tcW w:type="dxa" w:w="53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 and use</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Vendor line items</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FBL1N</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open and cleared invoices and payments for a vendor. Used to check what is owed and to settle disputes.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Vendor balances</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FK10N</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balances by period for a vendor. Used to confirm year-end balances.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Payment run proposal and logs</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F110</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which invoices are due, which were paid and any errors in the payment run.</w:t>
            </w:r>
          </w:p>
        </w:tc>
      </w:tr>
    </w:tbl>
    <w:p>
      <w:pPr>
        <w:spacing w:after="60"/>
      </w:pPr>
      <w:r>
        <w:rPr>
          <w:rFonts w:ascii="Calibri" w:cs="Calibri" w:eastAsia="Calibri" w:hAnsi="Calibri"/>
          <w:sz w:val="22"/>
          <w:szCs w:val="22"/>
        </w:rPr>
        <w:t xml:space="preserve"/>
      </w:r>
    </w:p>
    <w:p>
      <w:pPr>
        <w:pStyle w:val="Heading2"/>
        <w:spacing w:after="80" w:before="200"/>
      </w:pPr>
      <w:r>
        <w:rPr>
          <w:rFonts w:ascii="Calibri" w:cs="Calibri" w:eastAsia="Calibri" w:hAnsi="Calibri"/>
          <w:b/>
          <w:bCs/>
          <w:color w:val="2E5597"/>
          <w:sz w:val="24"/>
          <w:szCs w:val="24"/>
        </w:rPr>
        <w:t xml:space="preserve">4.3 Accounts Receivable (customer)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Report</w:t>
            </w:r>
          </w:p>
        </w:tc>
        <w:tc>
          <w:tcPr>
            <w:tcW w:type="dxa" w:w="1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Common T-code</w:t>
            </w:r>
          </w:p>
        </w:tc>
        <w:tc>
          <w:tcPr>
            <w:tcW w:type="dxa" w:w="53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 and use</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Customer line items</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FBL5N</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open and cleared invoices for a customer, with ageing. Used by collections teams to chase overdue payments.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Customer balances</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FD10N</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customer balances by period. Used for statements and balance confirmations.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Dunning history</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F150 / FBMP logs</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reminder letters sent to customers with overdue invoices.</w:t>
            </w:r>
          </w:p>
        </w:tc>
      </w:tr>
    </w:tbl>
    <w:p>
      <w:pPr>
        <w:spacing w:after="60"/>
      </w:pPr>
      <w:r>
        <w:rPr>
          <w:rFonts w:ascii="Calibri" w:cs="Calibri" w:eastAsia="Calibri" w:hAnsi="Calibri"/>
          <w:sz w:val="22"/>
          <w:szCs w:val="22"/>
        </w:rPr>
        <w:t xml:space="preserve"/>
      </w:r>
    </w:p>
    <w:p>
      <w:pPr>
        <w:pStyle w:val="Heading2"/>
        <w:spacing w:after="80" w:before="200"/>
      </w:pPr>
      <w:r>
        <w:rPr>
          <w:rFonts w:ascii="Calibri" w:cs="Calibri" w:eastAsia="Calibri" w:hAnsi="Calibri"/>
          <w:b/>
          <w:bCs/>
          <w:color w:val="2E5597"/>
          <w:sz w:val="24"/>
          <w:szCs w:val="24"/>
        </w:rPr>
        <w:t xml:space="preserve">4.4 Asset Accounting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Report</w:t>
            </w:r>
          </w:p>
        </w:tc>
        <w:tc>
          <w:tcPr>
            <w:tcW w:type="dxa" w:w="1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Common T-code</w:t>
            </w:r>
          </w:p>
        </w:tc>
        <w:tc>
          <w:tcPr>
            <w:tcW w:type="dxa" w:w="53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 and use</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Asset history sheet</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S_ALR_87011990</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opening value, additions, retirements, depreciation and closing value of assets. Used for the fixed asset schedule in annual accounts.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Asset Explorer</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AW01N</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Displays the values of a single asset in all depreciation areas. Used to check asset value and depreciation.</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Depreciation run reports</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AFAB logs</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the depreciation posted in a period and any errors.</w:t>
            </w:r>
          </w:p>
        </w:tc>
      </w:tr>
    </w:tbl>
    <w:p>
      <w:pPr>
        <w:spacing w:after="60"/>
      </w:pPr>
      <w:r>
        <w:rPr>
          <w:rFonts w:ascii="Calibri" w:cs="Calibri" w:eastAsia="Calibri" w:hAnsi="Calibri"/>
          <w:sz w:val="22"/>
          <w:szCs w:val="22"/>
        </w:rPr>
        <w:t xml:space="preserve"/>
      </w:r>
    </w:p>
    <w:p>
      <w:pPr>
        <w:pStyle w:val="Heading2"/>
        <w:spacing w:after="80" w:before="200"/>
      </w:pPr>
      <w:r>
        <w:rPr>
          <w:rFonts w:ascii="Calibri" w:cs="Calibri" w:eastAsia="Calibri" w:hAnsi="Calibri"/>
          <w:b/>
          <w:bCs/>
          <w:color w:val="2E5597"/>
          <w:sz w:val="24"/>
          <w:szCs w:val="24"/>
        </w:rPr>
        <w:t xml:space="preserve">4.5 Bank and cash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Report</w:t>
            </w:r>
          </w:p>
        </w:tc>
        <w:tc>
          <w:tcPr>
            <w:tcW w:type="dxa" w:w="1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Common T-code</w:t>
            </w:r>
          </w:p>
        </w:tc>
        <w:tc>
          <w:tcPr>
            <w:tcW w:type="dxa" w:w="53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 and use</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Cash position</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FF7A</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current bank balances and expected cash movements. Used by treasury to manage liquidity.</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Bank reconciliation</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FEBA, FF67</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bank statement items matched with accounting entries. Used to find differences between bank and books.</w:t>
            </w:r>
          </w:p>
        </w:tc>
      </w:tr>
    </w:tbl>
    <w:p>
      <w:pPr>
        <w:spacing w:after="60"/>
      </w:pPr>
      <w:r>
        <w:rPr>
          <w:rFonts w:ascii="Calibri" w:cs="Calibri" w:eastAsia="Calibri" w:hAnsi="Calibri"/>
          <w:sz w:val="22"/>
          <w:szCs w:val="22"/>
        </w:rPr>
        <w:t xml:space="preserve"/>
      </w:r>
    </w:p>
    <w:p>
      <w:pPr>
        <w:pStyle w:val="Heading1"/>
        <w:spacing w:after="120" w:before="300"/>
      </w:pPr>
      <w:r>
        <w:rPr>
          <w:rFonts w:ascii="Calibri" w:cs="Calibri" w:eastAsia="Calibri" w:hAnsi="Calibri"/>
          <w:b/>
          <w:bCs/>
          <w:color w:val="1F3864"/>
          <w:sz w:val="30"/>
          <w:szCs w:val="30"/>
        </w:rPr>
        <w:t xml:space="preserve">5. Controlling (CO)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Report</w:t>
            </w:r>
          </w:p>
        </w:tc>
        <w:tc>
          <w:tcPr>
            <w:tcW w:type="dxa" w:w="1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Common T-code</w:t>
            </w:r>
          </w:p>
        </w:tc>
        <w:tc>
          <w:tcPr>
            <w:tcW w:type="dxa" w:w="53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Purpose and use</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Cost centre report (actual vs plan)</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S_ALR_87013611</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Compares actual costs of a cost centre with the plan and shows variances. Used by department heads to control spending.</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Cost centre line items</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KSB1</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Lists the individual costs posted to a cost centre. Used to explain variances.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Internal order line items</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KOB1</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Lists costs posted to an internal order such as an event or project. Used to track order budgets.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Profit centre reports</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Menu: Controlling &gt; Profit Center Accounting</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revenues, costs and profit of a profit centre. Used to evaluate divisions or business units.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Profitability analysis report</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KE30</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profit by product, customer, region or other dimensions. Used by sales and management to find the most profitable segments.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Material price and costing analysis</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CKM3, CK13N</w:t>
            </w:r>
          </w:p>
        </w:tc>
        <w:tc>
          <w:tcPr>
            <w:tcW w:type="dxa" w:w="5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how material prices and product cost estimates are built up. Used for pricing and cost control.</w:t>
            </w:r>
          </w:p>
        </w:tc>
      </w:tr>
    </w:tbl>
    <w:p>
      <w:pPr>
        <w:spacing w:after="120" w:before="120"/>
      </w:pPr>
      <w:r>
        <w:rPr>
          <w:rFonts w:ascii="Calibri" w:cs="Calibri" w:eastAsia="Calibri" w:hAnsi="Calibri"/>
          <w:sz w:val="22"/>
          <w:szCs w:val="22"/>
        </w:rPr>
        <w:t xml:space="preserve">Note: T-codes are common in SAP ERP and still work in many SAP S/4HANA systems, but some are replaced by Fiori apps in S/4HANA. Check the T-code in your own system.</w:t>
      </w:r>
    </w:p>
    <w:p>
      <w:pPr>
        <w:pStyle w:val="Heading1"/>
        <w:spacing w:after="120" w:before="300"/>
      </w:pPr>
      <w:r>
        <w:rPr>
          <w:rFonts w:ascii="Calibri" w:cs="Calibri" w:eastAsia="Calibri" w:hAnsi="Calibri"/>
          <w:b/>
          <w:bCs/>
          <w:color w:val="1F3864"/>
          <w:sz w:val="30"/>
          <w:szCs w:val="30"/>
        </w:rPr>
        <w:t xml:space="preserve">6. Report Tools in SAP</w:t>
      </w:r>
    </w:p>
    <w:p>
      <w:pPr>
        <w:pStyle w:val="ListParagraph"/>
        <w:numPr>
          <w:ilvl w:val="0"/>
          <w:numId w:val="2"/>
        </w:numPr>
        <w:spacing w:after="80" w:line="290"/>
      </w:pPr>
      <w:r>
        <w:rPr>
          <w:rFonts w:ascii="Calibri" w:cs="Calibri" w:eastAsia="Calibri" w:hAnsi="Calibri"/>
          <w:b/>
          <w:bCs/>
          <w:sz w:val="22"/>
          <w:szCs w:val="22"/>
        </w:rPr>
        <w:t xml:space="preserve">Standard reports: </w:t>
      </w:r>
      <w:r>
        <w:rPr>
          <w:rFonts w:ascii="Calibri" w:cs="Calibri" w:eastAsia="Calibri" w:hAnsi="Calibri"/>
          <w:sz w:val="22"/>
          <w:szCs w:val="22"/>
        </w:rPr>
        <w:t xml:space="preserve">ready-made reports delivered by SAP, found in the menu or by T-code.</w:t>
      </w:r>
    </w:p>
    <w:p>
      <w:pPr>
        <w:pStyle w:val="ListParagraph"/>
        <w:numPr>
          <w:ilvl w:val="0"/>
          <w:numId w:val="2"/>
        </w:numPr>
        <w:spacing w:after="80" w:line="290"/>
      </w:pPr>
      <w:r>
        <w:rPr>
          <w:rFonts w:ascii="Calibri" w:cs="Calibri" w:eastAsia="Calibri" w:hAnsi="Calibri"/>
          <w:b/>
          <w:bCs/>
          <w:sz w:val="22"/>
          <w:szCs w:val="22"/>
        </w:rPr>
        <w:t xml:space="preserve">Drill-down reports: </w:t>
      </w:r>
      <w:r>
        <w:rPr>
          <w:rFonts w:ascii="Calibri" w:cs="Calibri" w:eastAsia="Calibri" w:hAnsi="Calibri"/>
          <w:sz w:val="22"/>
          <w:szCs w:val="22"/>
        </w:rPr>
        <w:t xml:space="preserve">let users start with totals and click down to line items and documents.</w:t>
      </w:r>
    </w:p>
    <w:p>
      <w:pPr>
        <w:pStyle w:val="ListParagraph"/>
        <w:numPr>
          <w:ilvl w:val="0"/>
          <w:numId w:val="2"/>
        </w:numPr>
        <w:spacing w:after="80" w:line="290"/>
      </w:pPr>
      <w:r>
        <w:rPr>
          <w:rFonts w:ascii="Calibri" w:cs="Calibri" w:eastAsia="Calibri" w:hAnsi="Calibri"/>
          <w:b/>
          <w:bCs/>
          <w:sz w:val="22"/>
          <w:szCs w:val="22"/>
        </w:rPr>
        <w:t xml:space="preserve">Report Painter and Report Writer: </w:t>
      </w:r>
      <w:r>
        <w:rPr>
          <w:rFonts w:ascii="Calibri" w:cs="Calibri" w:eastAsia="Calibri" w:hAnsi="Calibri"/>
          <w:sz w:val="22"/>
          <w:szCs w:val="22"/>
        </w:rPr>
        <w:t xml:space="preserve">tools to design custom financial and cost reports without programming (T-codes such as GR55 to run and GR51 to create).</w:t>
      </w:r>
    </w:p>
    <w:p>
      <w:pPr>
        <w:pStyle w:val="ListParagraph"/>
        <w:numPr>
          <w:ilvl w:val="0"/>
          <w:numId w:val="2"/>
        </w:numPr>
        <w:spacing w:after="80" w:line="290"/>
      </w:pPr>
      <w:r>
        <w:rPr>
          <w:rFonts w:ascii="Calibri" w:cs="Calibri" w:eastAsia="Calibri" w:hAnsi="Calibri"/>
          <w:b/>
          <w:bCs/>
          <w:sz w:val="22"/>
          <w:szCs w:val="22"/>
        </w:rPr>
        <w:t xml:space="preserve">ALV list viewer: </w:t>
      </w:r>
      <w:r>
        <w:rPr>
          <w:rFonts w:ascii="Calibri" w:cs="Calibri" w:eastAsia="Calibri" w:hAnsi="Calibri"/>
          <w:sz w:val="22"/>
          <w:szCs w:val="22"/>
        </w:rPr>
        <w:t xml:space="preserve">lets users sort, filter, total and export results to Excel.</w:t>
      </w:r>
    </w:p>
    <w:p>
      <w:pPr>
        <w:pStyle w:val="ListParagraph"/>
        <w:numPr>
          <w:ilvl w:val="0"/>
          <w:numId w:val="2"/>
        </w:numPr>
        <w:spacing w:after="80" w:line="290"/>
      </w:pPr>
      <w:r>
        <w:rPr>
          <w:rFonts w:ascii="Calibri" w:cs="Calibri" w:eastAsia="Calibri" w:hAnsi="Calibri"/>
          <w:b/>
          <w:bCs/>
          <w:sz w:val="22"/>
          <w:szCs w:val="22"/>
        </w:rPr>
        <w:t xml:space="preserve">SAP Fiori apps (S/4HANA): </w:t>
      </w:r>
      <w:r>
        <w:rPr>
          <w:rFonts w:ascii="Calibri" w:cs="Calibri" w:eastAsia="Calibri" w:hAnsi="Calibri"/>
          <w:sz w:val="22"/>
          <w:szCs w:val="22"/>
        </w:rPr>
        <w:t xml:space="preserve">tile-based apps such as Trial Balance, Display Line Items and Cash Position that run in a web browser and work on mobile.</w:t>
      </w:r>
    </w:p>
    <w:p>
      <w:pPr>
        <w:pStyle w:val="ListParagraph"/>
        <w:numPr>
          <w:ilvl w:val="0"/>
          <w:numId w:val="2"/>
        </w:numPr>
        <w:spacing w:after="80" w:line="290"/>
      </w:pPr>
      <w:r>
        <w:rPr>
          <w:rFonts w:ascii="Calibri" w:cs="Calibri" w:eastAsia="Calibri" w:hAnsi="Calibri"/>
          <w:b/>
          <w:bCs/>
          <w:sz w:val="22"/>
          <w:szCs w:val="22"/>
        </w:rPr>
        <w:t xml:space="preserve">SAP BW and SAP Analytics Cloud: </w:t>
      </w:r>
      <w:r>
        <w:rPr>
          <w:rFonts w:ascii="Calibri" w:cs="Calibri" w:eastAsia="Calibri" w:hAnsi="Calibri"/>
          <w:sz w:val="22"/>
          <w:szCs w:val="22"/>
        </w:rPr>
        <w:t xml:space="preserve">used for large-scale analysis, dashboards and trend reporting across modules.</w:t>
      </w:r>
    </w:p>
    <w:p>
      <w:pPr>
        <w:pStyle w:val="Heading1"/>
        <w:spacing w:after="120" w:before="300"/>
      </w:pPr>
      <w:r>
        <w:rPr>
          <w:rFonts w:ascii="Calibri" w:cs="Calibri" w:eastAsia="Calibri" w:hAnsi="Calibri"/>
          <w:b/>
          <w:bCs/>
          <w:color w:val="1F3864"/>
          <w:sz w:val="30"/>
          <w:szCs w:val="30"/>
        </w:rPr>
        <w:t xml:space="preserve">7. How to Run a Report: Example</w:t>
      </w:r>
    </w:p>
    <w:p>
      <w:pPr>
        <w:spacing w:after="120" w:line="300"/>
      </w:pPr>
      <w:r>
        <w:rPr>
          <w:rFonts w:ascii="Calibri" w:cs="Calibri" w:eastAsia="Calibri" w:hAnsi="Calibri"/>
          <w:sz w:val="22"/>
          <w:szCs w:val="22"/>
        </w:rPr>
        <w:t xml:space="preserve">Example: viewing open vendor invoices with FBL1N.</w:t>
      </w:r>
    </w:p>
    <w:p>
      <w:pPr>
        <w:pStyle w:val="ListParagraph"/>
        <w:numPr>
          <w:ilvl w:val="0"/>
          <w:numId w:val="3"/>
        </w:numPr>
        <w:spacing w:after="80" w:line="290"/>
      </w:pPr>
      <w:r>
        <w:rPr>
          <w:rFonts w:ascii="Calibri" w:cs="Calibri" w:eastAsia="Calibri" w:hAnsi="Calibri"/>
          <w:sz w:val="22"/>
          <w:szCs w:val="22"/>
        </w:rPr>
        <w:t xml:space="preserve">Enter FBL1N in the command field and press Enter.</w:t>
      </w:r>
    </w:p>
    <w:p>
      <w:pPr>
        <w:pStyle w:val="ListParagraph"/>
        <w:numPr>
          <w:ilvl w:val="0"/>
          <w:numId w:val="3"/>
        </w:numPr>
        <w:spacing w:after="80" w:line="290"/>
      </w:pPr>
      <w:r>
        <w:rPr>
          <w:rFonts w:ascii="Calibri" w:cs="Calibri" w:eastAsia="Calibri" w:hAnsi="Calibri"/>
          <w:sz w:val="22"/>
          <w:szCs w:val="22"/>
        </w:rPr>
        <w:t xml:space="preserve">Enter the vendor account number and company code.</w:t>
      </w:r>
    </w:p>
    <w:p>
      <w:pPr>
        <w:pStyle w:val="ListParagraph"/>
        <w:numPr>
          <w:ilvl w:val="0"/>
          <w:numId w:val="3"/>
        </w:numPr>
        <w:spacing w:after="80" w:line="290"/>
      </w:pPr>
      <w:r>
        <w:rPr>
          <w:rFonts w:ascii="Calibri" w:cs="Calibri" w:eastAsia="Calibri" w:hAnsi="Calibri"/>
          <w:sz w:val="22"/>
          <w:szCs w:val="22"/>
        </w:rPr>
        <w:t xml:space="preserve">Select 'Open items' and enter the key date.</w:t>
      </w:r>
    </w:p>
    <w:p>
      <w:pPr>
        <w:pStyle w:val="ListParagraph"/>
        <w:numPr>
          <w:ilvl w:val="0"/>
          <w:numId w:val="3"/>
        </w:numPr>
        <w:spacing w:after="80" w:line="290"/>
      </w:pPr>
      <w:r>
        <w:rPr>
          <w:rFonts w:ascii="Calibri" w:cs="Calibri" w:eastAsia="Calibri" w:hAnsi="Calibri"/>
          <w:sz w:val="22"/>
          <w:szCs w:val="22"/>
        </w:rPr>
        <w:t xml:space="preserve">Click Execute (F8). The list of unpaid invoices appears.</w:t>
      </w:r>
    </w:p>
    <w:p>
      <w:pPr>
        <w:pStyle w:val="ListParagraph"/>
        <w:numPr>
          <w:ilvl w:val="0"/>
          <w:numId w:val="3"/>
        </w:numPr>
        <w:spacing w:after="80" w:line="290"/>
      </w:pPr>
      <w:r>
        <w:rPr>
          <w:rFonts w:ascii="Calibri" w:cs="Calibri" w:eastAsia="Calibri" w:hAnsi="Calibri"/>
          <w:sz w:val="22"/>
          <w:szCs w:val="22"/>
        </w:rPr>
        <w:t xml:space="preserve">Double-click any line to open the underlying document.</w:t>
      </w:r>
    </w:p>
    <w:p>
      <w:pPr>
        <w:pStyle w:val="ListParagraph"/>
        <w:numPr>
          <w:ilvl w:val="0"/>
          <w:numId w:val="3"/>
        </w:numPr>
        <w:spacing w:after="80" w:line="290"/>
      </w:pPr>
      <w:r>
        <w:rPr>
          <w:rFonts w:ascii="Calibri" w:cs="Calibri" w:eastAsia="Calibri" w:hAnsi="Calibri"/>
          <w:sz w:val="22"/>
          <w:szCs w:val="22"/>
        </w:rPr>
        <w:t xml:space="preserve">Use the sort, filter and export buttons to save the list to Excel.</w:t>
      </w:r>
    </w:p>
    <w:p>
      <w:pPr>
        <w:pStyle w:val="Heading1"/>
        <w:spacing w:after="120" w:before="300"/>
      </w:pPr>
      <w:r>
        <w:rPr>
          <w:rFonts w:ascii="Calibri" w:cs="Calibri" w:eastAsia="Calibri" w:hAnsi="Calibri"/>
          <w:b/>
          <w:bCs/>
          <w:color w:val="1F3864"/>
          <w:sz w:val="30"/>
          <w:szCs w:val="30"/>
        </w:rPr>
        <w:t xml:space="preserve">8. Use Cases</w:t>
      </w:r>
    </w:p>
    <w:p>
      <w:pPr>
        <w:pStyle w:val="ListParagraph"/>
        <w:numPr>
          <w:ilvl w:val="0"/>
          <w:numId w:val="2"/>
        </w:numPr>
        <w:spacing w:after="80" w:line="290"/>
      </w:pPr>
      <w:r>
        <w:rPr>
          <w:rFonts w:ascii="Calibri" w:cs="Calibri" w:eastAsia="Calibri" w:hAnsi="Calibri"/>
          <w:b/>
          <w:bCs/>
          <w:sz w:val="22"/>
          <w:szCs w:val="22"/>
        </w:rPr>
        <w:t xml:space="preserve">Month-end closing: </w:t>
      </w:r>
      <w:r>
        <w:rPr>
          <w:rFonts w:ascii="Calibri" w:cs="Calibri" w:eastAsia="Calibri" w:hAnsi="Calibri"/>
          <w:sz w:val="22"/>
          <w:szCs w:val="22"/>
        </w:rPr>
        <w:t xml:space="preserve">accountants review G/L balances and line items to confirm all postings are complete, then produce financial statements.</w:t>
      </w:r>
    </w:p>
    <w:p>
      <w:pPr>
        <w:pStyle w:val="ListParagraph"/>
        <w:numPr>
          <w:ilvl w:val="0"/>
          <w:numId w:val="2"/>
        </w:numPr>
        <w:spacing w:after="80" w:line="290"/>
      </w:pPr>
      <w:r>
        <w:rPr>
          <w:rFonts w:ascii="Calibri" w:cs="Calibri" w:eastAsia="Calibri" w:hAnsi="Calibri"/>
          <w:b/>
          <w:bCs/>
          <w:sz w:val="22"/>
          <w:szCs w:val="22"/>
        </w:rPr>
        <w:t xml:space="preserve">Payables management: </w:t>
      </w:r>
      <w:r>
        <w:rPr>
          <w:rFonts w:ascii="Calibri" w:cs="Calibri" w:eastAsia="Calibri" w:hAnsi="Calibri"/>
          <w:sz w:val="22"/>
          <w:szCs w:val="22"/>
        </w:rPr>
        <w:t xml:space="preserve">a finance team uses vendor line items and payment run logs to pay invoices on time and capture early-payment discounts.</w:t>
      </w:r>
    </w:p>
    <w:p>
      <w:pPr>
        <w:pStyle w:val="ListParagraph"/>
        <w:numPr>
          <w:ilvl w:val="0"/>
          <w:numId w:val="2"/>
        </w:numPr>
        <w:spacing w:after="80" w:line="290"/>
      </w:pPr>
      <w:r>
        <w:rPr>
          <w:rFonts w:ascii="Calibri" w:cs="Calibri" w:eastAsia="Calibri" w:hAnsi="Calibri"/>
          <w:b/>
          <w:bCs/>
          <w:sz w:val="22"/>
          <w:szCs w:val="22"/>
        </w:rPr>
        <w:t xml:space="preserve">Collections: </w:t>
      </w:r>
      <w:r>
        <w:rPr>
          <w:rFonts w:ascii="Calibri" w:cs="Calibri" w:eastAsia="Calibri" w:hAnsi="Calibri"/>
          <w:sz w:val="22"/>
          <w:szCs w:val="22"/>
        </w:rPr>
        <w:t xml:space="preserve">a credit controller uses customer line items and ageing to chase overdue invoices.</w:t>
      </w:r>
    </w:p>
    <w:p>
      <w:pPr>
        <w:pStyle w:val="ListParagraph"/>
        <w:numPr>
          <w:ilvl w:val="0"/>
          <w:numId w:val="2"/>
        </w:numPr>
        <w:spacing w:after="80" w:line="290"/>
      </w:pPr>
      <w:r>
        <w:rPr>
          <w:rFonts w:ascii="Calibri" w:cs="Calibri" w:eastAsia="Calibri" w:hAnsi="Calibri"/>
          <w:b/>
          <w:bCs/>
          <w:sz w:val="22"/>
          <w:szCs w:val="22"/>
        </w:rPr>
        <w:t xml:space="preserve">Budget control: </w:t>
      </w:r>
      <w:r>
        <w:rPr>
          <w:rFonts w:ascii="Calibri" w:cs="Calibri" w:eastAsia="Calibri" w:hAnsi="Calibri"/>
          <w:sz w:val="22"/>
          <w:szCs w:val="22"/>
        </w:rPr>
        <w:t xml:space="preserve">a department head compares actual costs with the plan every month with the cost centre report.</w:t>
      </w:r>
    </w:p>
    <w:p>
      <w:pPr>
        <w:pStyle w:val="ListParagraph"/>
        <w:numPr>
          <w:ilvl w:val="0"/>
          <w:numId w:val="2"/>
        </w:numPr>
        <w:spacing w:after="80" w:line="290"/>
      </w:pPr>
      <w:r>
        <w:rPr>
          <w:rFonts w:ascii="Calibri" w:cs="Calibri" w:eastAsia="Calibri" w:hAnsi="Calibri"/>
          <w:b/>
          <w:bCs/>
          <w:sz w:val="22"/>
          <w:szCs w:val="22"/>
        </w:rPr>
        <w:t xml:space="preserve">Product and market decisions: </w:t>
      </w:r>
      <w:r>
        <w:rPr>
          <w:rFonts w:ascii="Calibri" w:cs="Calibri" w:eastAsia="Calibri" w:hAnsi="Calibri"/>
          <w:sz w:val="22"/>
          <w:szCs w:val="22"/>
        </w:rPr>
        <w:t xml:space="preserve">management uses profitability analysis to decide which products or regions to grow or cut.</w:t>
      </w:r>
    </w:p>
    <w:p>
      <w:pPr>
        <w:pStyle w:val="ListParagraph"/>
        <w:numPr>
          <w:ilvl w:val="0"/>
          <w:numId w:val="2"/>
        </w:numPr>
        <w:spacing w:after="80" w:line="290"/>
      </w:pPr>
      <w:r>
        <w:rPr>
          <w:rFonts w:ascii="Calibri" w:cs="Calibri" w:eastAsia="Calibri" w:hAnsi="Calibri"/>
          <w:b/>
          <w:bCs/>
          <w:sz w:val="22"/>
          <w:szCs w:val="22"/>
        </w:rPr>
        <w:t xml:space="preserve">Audit support: </w:t>
      </w:r>
      <w:r>
        <w:rPr>
          <w:rFonts w:ascii="Calibri" w:cs="Calibri" w:eastAsia="Calibri" w:hAnsi="Calibri"/>
          <w:sz w:val="22"/>
          <w:szCs w:val="22"/>
        </w:rPr>
        <w:t xml:space="preserve">auditors trace figures from financial statements down to individual documents.</w:t>
      </w:r>
    </w:p>
    <w:p>
      <w:pPr>
        <w:pStyle w:val="Heading1"/>
        <w:spacing w:after="120" w:before="300"/>
      </w:pPr>
      <w:r>
        <w:rPr>
          <w:rFonts w:ascii="Calibri" w:cs="Calibri" w:eastAsia="Calibri" w:hAnsi="Calibri"/>
          <w:b/>
          <w:bCs/>
          <w:color w:val="1F3864"/>
          <w:sz w:val="30"/>
          <w:szCs w:val="30"/>
        </w:rPr>
        <w:t xml:space="preserve">9. Benefits</w:t>
      </w:r>
    </w:p>
    <w:p>
      <w:pPr>
        <w:pStyle w:val="ListParagraph"/>
        <w:numPr>
          <w:ilvl w:val="0"/>
          <w:numId w:val="2"/>
        </w:numPr>
        <w:spacing w:after="80" w:line="290"/>
      </w:pPr>
      <w:r>
        <w:rPr>
          <w:rFonts w:ascii="Calibri" w:cs="Calibri" w:eastAsia="Calibri" w:hAnsi="Calibri"/>
          <w:b/>
          <w:bCs/>
          <w:sz w:val="22"/>
          <w:szCs w:val="22"/>
        </w:rPr>
        <w:t xml:space="preserve">Real-time data: </w:t>
      </w:r>
      <w:r>
        <w:rPr>
          <w:rFonts w:ascii="Calibri" w:cs="Calibri" w:eastAsia="Calibri" w:hAnsi="Calibri"/>
          <w:sz w:val="22"/>
          <w:szCs w:val="22"/>
        </w:rPr>
        <w:t xml:space="preserve">reports read live data, so figures are current without waiting for manual consolidation.</w:t>
      </w:r>
    </w:p>
    <w:p>
      <w:pPr>
        <w:pStyle w:val="ListParagraph"/>
        <w:numPr>
          <w:ilvl w:val="0"/>
          <w:numId w:val="2"/>
        </w:numPr>
        <w:spacing w:after="80" w:line="290"/>
      </w:pPr>
      <w:r>
        <w:rPr>
          <w:rFonts w:ascii="Calibri" w:cs="Calibri" w:eastAsia="Calibri" w:hAnsi="Calibri"/>
          <w:b/>
          <w:bCs/>
          <w:sz w:val="22"/>
          <w:szCs w:val="22"/>
        </w:rPr>
        <w:t xml:space="preserve">Single source of truth: </w:t>
      </w:r>
      <w:r>
        <w:rPr>
          <w:rFonts w:ascii="Calibri" w:cs="Calibri" w:eastAsia="Calibri" w:hAnsi="Calibri"/>
          <w:sz w:val="22"/>
          <w:szCs w:val="22"/>
        </w:rPr>
        <w:t xml:space="preserve">FI and CO reports use the same data, so numbers agree across departments.</w:t>
      </w:r>
    </w:p>
    <w:p>
      <w:pPr>
        <w:pStyle w:val="ListParagraph"/>
        <w:numPr>
          <w:ilvl w:val="0"/>
          <w:numId w:val="2"/>
        </w:numPr>
        <w:spacing w:after="80" w:line="290"/>
      </w:pPr>
      <w:r>
        <w:rPr>
          <w:rFonts w:ascii="Calibri" w:cs="Calibri" w:eastAsia="Calibri" w:hAnsi="Calibri"/>
          <w:b/>
          <w:bCs/>
          <w:sz w:val="22"/>
          <w:szCs w:val="22"/>
        </w:rPr>
        <w:t xml:space="preserve">Faster closing and decisions: </w:t>
      </w:r>
      <w:r>
        <w:rPr>
          <w:rFonts w:ascii="Calibri" w:cs="Calibri" w:eastAsia="Calibri" w:hAnsi="Calibri"/>
          <w:sz w:val="22"/>
          <w:szCs w:val="22"/>
        </w:rPr>
        <w:t xml:space="preserve">less manual work in spreadsheets means quicker reporting.</w:t>
      </w:r>
    </w:p>
    <w:p>
      <w:pPr>
        <w:pStyle w:val="ListParagraph"/>
        <w:numPr>
          <w:ilvl w:val="0"/>
          <w:numId w:val="2"/>
        </w:numPr>
        <w:spacing w:after="80" w:line="290"/>
      </w:pPr>
      <w:r>
        <w:rPr>
          <w:rFonts w:ascii="Calibri" w:cs="Calibri" w:eastAsia="Calibri" w:hAnsi="Calibri"/>
          <w:b/>
          <w:bCs/>
          <w:sz w:val="22"/>
          <w:szCs w:val="22"/>
        </w:rPr>
        <w:t xml:space="preserve">Drill-down transparency: </w:t>
      </w:r>
      <w:r>
        <w:rPr>
          <w:rFonts w:ascii="Calibri" w:cs="Calibri" w:eastAsia="Calibri" w:hAnsi="Calibri"/>
          <w:sz w:val="22"/>
          <w:szCs w:val="22"/>
        </w:rPr>
        <w:t xml:space="preserve">users can move from totals to individual transactions to find the cause of a figure.</w:t>
      </w:r>
    </w:p>
    <w:p>
      <w:pPr>
        <w:pStyle w:val="ListParagraph"/>
        <w:numPr>
          <w:ilvl w:val="0"/>
          <w:numId w:val="2"/>
        </w:numPr>
        <w:spacing w:after="80" w:line="290"/>
      </w:pPr>
      <w:r>
        <w:rPr>
          <w:rFonts w:ascii="Calibri" w:cs="Calibri" w:eastAsia="Calibri" w:hAnsi="Calibri"/>
          <w:b/>
          <w:bCs/>
          <w:sz w:val="22"/>
          <w:szCs w:val="22"/>
        </w:rPr>
        <w:t xml:space="preserve">Compliance and audit readiness: </w:t>
      </w:r>
      <w:r>
        <w:rPr>
          <w:rFonts w:ascii="Calibri" w:cs="Calibri" w:eastAsia="Calibri" w:hAnsi="Calibri"/>
          <w:sz w:val="22"/>
          <w:szCs w:val="22"/>
        </w:rPr>
        <w:t xml:space="preserve">standard statements and document trails support legal and audit requirements.</w:t>
      </w:r>
    </w:p>
    <w:p>
      <w:pPr>
        <w:pStyle w:val="ListParagraph"/>
        <w:numPr>
          <w:ilvl w:val="0"/>
          <w:numId w:val="2"/>
        </w:numPr>
        <w:spacing w:after="80" w:line="290"/>
      </w:pPr>
      <w:r>
        <w:rPr>
          <w:rFonts w:ascii="Calibri" w:cs="Calibri" w:eastAsia="Calibri" w:hAnsi="Calibri"/>
          <w:b/>
          <w:bCs/>
          <w:sz w:val="22"/>
          <w:szCs w:val="22"/>
        </w:rPr>
        <w:t xml:space="preserve">Flexibility: </w:t>
      </w:r>
      <w:r>
        <w:rPr>
          <w:rFonts w:ascii="Calibri" w:cs="Calibri" w:eastAsia="Calibri" w:hAnsi="Calibri"/>
          <w:sz w:val="22"/>
          <w:szCs w:val="22"/>
        </w:rPr>
        <w:t xml:space="preserve">reports can be customised and exported to suit different users.</w:t>
      </w:r>
    </w:p>
    <w:p>
      <w:pPr>
        <w:pStyle w:val="Heading1"/>
        <w:spacing w:after="120" w:before="300"/>
      </w:pPr>
      <w:r>
        <w:rPr>
          <w:rFonts w:ascii="Calibri" w:cs="Calibri" w:eastAsia="Calibri" w:hAnsi="Calibri"/>
          <w:b/>
          <w:bCs/>
          <w:color w:val="1F3864"/>
          <w:sz w:val="30"/>
          <w:szCs w:val="30"/>
        </w:rPr>
        <w:t xml:space="preserve">10. Challenges and Best Practices</w:t>
      </w:r>
    </w:p>
    <w:p>
      <w:pPr>
        <w:pStyle w:val="ListParagraph"/>
        <w:numPr>
          <w:ilvl w:val="0"/>
          <w:numId w:val="2"/>
        </w:numPr>
        <w:spacing w:after="80" w:line="290"/>
      </w:pPr>
      <w:r>
        <w:rPr>
          <w:rFonts w:ascii="Calibri" w:cs="Calibri" w:eastAsia="Calibri" w:hAnsi="Calibri"/>
          <w:b/>
          <w:bCs/>
          <w:sz w:val="22"/>
          <w:szCs w:val="22"/>
        </w:rPr>
        <w:t xml:space="preserve">Too many or duplicate reports: </w:t>
      </w:r>
      <w:r>
        <w:rPr>
          <w:rFonts w:ascii="Calibri" w:cs="Calibri" w:eastAsia="Calibri" w:hAnsi="Calibri"/>
          <w:sz w:val="22"/>
          <w:szCs w:val="22"/>
        </w:rPr>
        <w:t xml:space="preserve">agree a standard report list and avoid creating similar custom reports.</w:t>
      </w:r>
    </w:p>
    <w:p>
      <w:pPr>
        <w:pStyle w:val="ListParagraph"/>
        <w:numPr>
          <w:ilvl w:val="0"/>
          <w:numId w:val="2"/>
        </w:numPr>
        <w:spacing w:after="80" w:line="290"/>
      </w:pPr>
      <w:r>
        <w:rPr>
          <w:rFonts w:ascii="Calibri" w:cs="Calibri" w:eastAsia="Calibri" w:hAnsi="Calibri"/>
          <w:b/>
          <w:bCs/>
          <w:sz w:val="22"/>
          <w:szCs w:val="22"/>
        </w:rPr>
        <w:t xml:space="preserve">Data quality: </w:t>
      </w:r>
      <w:r>
        <w:rPr>
          <w:rFonts w:ascii="Calibri" w:cs="Calibri" w:eastAsia="Calibri" w:hAnsi="Calibri"/>
          <w:sz w:val="22"/>
          <w:szCs w:val="22"/>
        </w:rPr>
        <w:t xml:space="preserve">reports are only as accurate as the postings, so enforce correct master data and account assignment.</w:t>
      </w:r>
    </w:p>
    <w:p>
      <w:pPr>
        <w:pStyle w:val="ListParagraph"/>
        <w:numPr>
          <w:ilvl w:val="0"/>
          <w:numId w:val="2"/>
        </w:numPr>
        <w:spacing w:after="80" w:line="290"/>
      </w:pPr>
      <w:r>
        <w:rPr>
          <w:rFonts w:ascii="Calibri" w:cs="Calibri" w:eastAsia="Calibri" w:hAnsi="Calibri"/>
          <w:b/>
          <w:bCs/>
          <w:sz w:val="22"/>
          <w:szCs w:val="22"/>
        </w:rPr>
        <w:t xml:space="preserve">Authorisations: </w:t>
      </w:r>
      <w:r>
        <w:rPr>
          <w:rFonts w:ascii="Calibri" w:cs="Calibri" w:eastAsia="Calibri" w:hAnsi="Calibri"/>
          <w:sz w:val="22"/>
          <w:szCs w:val="22"/>
        </w:rPr>
        <w:t xml:space="preserve">restrict sensitive reports, such as profit and payroll costs, to the right users.</w:t>
      </w:r>
    </w:p>
    <w:p>
      <w:pPr>
        <w:pStyle w:val="ListParagraph"/>
        <w:numPr>
          <w:ilvl w:val="0"/>
          <w:numId w:val="2"/>
        </w:numPr>
        <w:spacing w:after="80" w:line="290"/>
      </w:pPr>
      <w:r>
        <w:rPr>
          <w:rFonts w:ascii="Calibri" w:cs="Calibri" w:eastAsia="Calibri" w:hAnsi="Calibri"/>
          <w:b/>
          <w:bCs/>
          <w:sz w:val="22"/>
          <w:szCs w:val="22"/>
        </w:rPr>
        <w:t xml:space="preserve">Performance: </w:t>
      </w:r>
      <w:r>
        <w:rPr>
          <w:rFonts w:ascii="Calibri" w:cs="Calibri" w:eastAsia="Calibri" w:hAnsi="Calibri"/>
          <w:sz w:val="22"/>
          <w:szCs w:val="22"/>
        </w:rPr>
        <w:t xml:space="preserve">large reports with wide date ranges can be slow; use variants and selections to narrow data.</w:t>
      </w:r>
    </w:p>
    <w:p>
      <w:pPr>
        <w:pStyle w:val="ListParagraph"/>
        <w:numPr>
          <w:ilvl w:val="0"/>
          <w:numId w:val="2"/>
        </w:numPr>
        <w:spacing w:after="80" w:line="290"/>
      </w:pPr>
      <w:r>
        <w:rPr>
          <w:rFonts w:ascii="Calibri" w:cs="Calibri" w:eastAsia="Calibri" w:hAnsi="Calibri"/>
          <w:b/>
          <w:bCs/>
          <w:sz w:val="22"/>
          <w:szCs w:val="22"/>
        </w:rPr>
        <w:t xml:space="preserve">User training: </w:t>
      </w:r>
      <w:r>
        <w:rPr>
          <w:rFonts w:ascii="Calibri" w:cs="Calibri" w:eastAsia="Calibri" w:hAnsi="Calibri"/>
          <w:sz w:val="22"/>
          <w:szCs w:val="22"/>
        </w:rPr>
        <w:t xml:space="preserve">train users on selection screens and layouts so they can get the right information themselves.</w:t>
      </w:r>
    </w:p>
    <w:p>
      <w:pPr>
        <w:pStyle w:val="Heading1"/>
        <w:spacing w:after="120" w:before="300"/>
      </w:pPr>
      <w:r>
        <w:rPr>
          <w:rFonts w:ascii="Calibri" w:cs="Calibri" w:eastAsia="Calibri" w:hAnsi="Calibri"/>
          <w:b/>
          <w:bCs/>
          <w:color w:val="1F3864"/>
          <w:sz w:val="30"/>
          <w:szCs w:val="30"/>
        </w:rPr>
        <w:t xml:space="preserve">11. Conclusion</w:t>
      </w:r>
    </w:p>
    <w:p>
      <w:pPr>
        <w:spacing w:after="120" w:line="300"/>
      </w:pPr>
      <w:r>
        <w:rPr>
          <w:rFonts w:ascii="Calibri" w:cs="Calibri" w:eastAsia="Calibri" w:hAnsi="Calibri"/>
          <w:sz w:val="22"/>
          <w:szCs w:val="22"/>
        </w:rPr>
        <w:t xml:space="preserve">SAP FICO reports turn accounting data into information. FI reports such as the balance sheet, G/L, vendor and customer line items support compliance and day-to-day accounting, while CO reports such as cost centre and profitability reports give managers the insight to control costs and improve profit. Used with good data, correct authorisations and trained users, these reports shorten the financial close, improve transparency and support better decisions.</w:t>
      </w:r>
    </w:p>
    <w:p>
      <w:pPr>
        <w:pStyle w:val="Heading1"/>
        <w:spacing w:after="120" w:before="300"/>
      </w:pPr>
      <w:r>
        <w:rPr>
          <w:rFonts w:ascii="Calibri" w:cs="Calibri" w:eastAsia="Calibri" w:hAnsi="Calibri"/>
          <w:b/>
          <w:bCs/>
          <w:color w:val="1F3864"/>
          <w:sz w:val="30"/>
          <w:szCs w:val="30"/>
        </w:rPr>
        <w:t xml:space="preserve">References</w:t>
      </w:r>
    </w:p>
    <w:p>
      <w:pPr>
        <w:pStyle w:val="ListParagraph"/>
        <w:numPr>
          <w:ilvl w:val="0"/>
          <w:numId w:val="2"/>
        </w:numPr>
        <w:spacing w:after="80" w:line="290"/>
      </w:pPr>
      <w:r>
        <w:rPr>
          <w:rFonts w:ascii="Calibri" w:cs="Calibri" w:eastAsia="Calibri" w:hAnsi="Calibri"/>
          <w:sz w:val="22"/>
          <w:szCs w:val="22"/>
        </w:rPr>
        <w:t xml:space="preserve">SAP Help Portal (help.sap.com): documentation for Financial Accounting, Controlling and SAP S/4HANA Finance.</w:t>
      </w:r>
    </w:p>
    <w:p>
      <w:pPr>
        <w:pStyle w:val="ListParagraph"/>
        <w:numPr>
          <w:ilvl w:val="0"/>
          <w:numId w:val="2"/>
        </w:numPr>
        <w:spacing w:after="80" w:line="290"/>
      </w:pPr>
      <w:r>
        <w:rPr>
          <w:rFonts w:ascii="Calibri" w:cs="Calibri" w:eastAsia="Calibri" w:hAnsi="Calibri"/>
          <w:sz w:val="22"/>
          <w:szCs w:val="22"/>
        </w:rPr>
        <w:t xml:space="preserve">SAP Learning (learning.sap.com): finance and accounting learning journeys.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2026-10-04T17:28:27.489Z</dcterms:created>
  <dcterms:modified xsi:type="dcterms:W3CDTF">2026-10-04T17:28:27.496Z</dcterms:modified>
</cp:coreProperties>
</file>

<file path=docProps/custom.xml><?xml version="1.0" encoding="utf-8"?>
<Properties xmlns="http://schemas.openxmlformats.org/officeDocument/2006/custom-properties" xmlns:vt="http://schemas.openxmlformats.org/officeDocument/2006/docPropsVTypes"/>
</file>