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Calibri" w:cs="Calibri" w:eastAsia="Calibri" w:hAnsi="Calibri"/>
          <w:b/>
          <w:bCs/>
          <w:color w:val="1F3864"/>
          <w:sz w:val="48"/>
          <w:szCs w:val="48"/>
        </w:rPr>
        <w:t xml:space="preserve">Understanding SAP FICO</w:t>
      </w:r>
    </w:p>
    <w:p>
      <w:pPr>
        <w:spacing w:after="400"/>
        <w:jc w:val="center"/>
      </w:pPr>
      <w:r>
        <w:rPr>
          <w:rFonts w:ascii="Calibri" w:cs="Calibri" w:eastAsia="Calibri" w:hAnsi="Calibri"/>
          <w:color w:val="555555"/>
          <w:sz w:val="24"/>
          <w:szCs w:val="24"/>
        </w:rPr>
        <w:t xml:space="preserve">Week 1 Task Report: Functionalities, Integration, Benefits and Challenges</w:t>
      </w:r>
    </w:p>
    <w:p>
      <w:pPr>
        <w:pStyle w:val="Heading1"/>
        <w:spacing w:after="120" w:before="300"/>
      </w:pPr>
      <w:r>
        <w:rPr>
          <w:rFonts w:ascii="Calibri" w:cs="Calibri" w:eastAsia="Calibri" w:hAnsi="Calibri"/>
          <w:b/>
          <w:bCs/>
          <w:color w:val="1F3864"/>
          <w:sz w:val="30"/>
          <w:szCs w:val="30"/>
        </w:rPr>
        <w:t xml:space="preserve">1. Introduction</w:t>
      </w:r>
    </w:p>
    <w:p>
      <w:pPr>
        <w:spacing w:after="120" w:line="300"/>
      </w:pPr>
      <w:r>
        <w:rPr>
          <w:rFonts w:ascii="Calibri" w:cs="Calibri" w:eastAsia="Calibri" w:hAnsi="Calibri"/>
          <w:sz w:val="22"/>
          <w:szCs w:val="22"/>
        </w:rPr>
        <w:t xml:space="preserve">SAP (Systems, Applications and Products in Data Processing) is one of the world's most widely used Enterprise Resource Planning (ERP) software suites. It connects business functions such as finance, sales, procurement, production and human resources on a single platform with a shared database. Among its modules, SAP FICO is the one that manages a company's money: recording transactions, producing financial statements and controlling costs.</w:t>
      </w:r>
    </w:p>
    <w:p>
      <w:pPr>
        <w:spacing w:after="120" w:line="300"/>
      </w:pPr>
      <w:r>
        <w:rPr>
          <w:rFonts w:ascii="Calibri" w:cs="Calibri" w:eastAsia="Calibri" w:hAnsi="Calibri"/>
          <w:sz w:val="22"/>
          <w:szCs w:val="22"/>
        </w:rPr>
        <w:t xml:space="preserve">This report explains what SAP FICO is, how it works, how it integrates with other SAP modules, where it is used, and what benefits and challenges organisations face when adopting it.</w:t>
      </w:r>
    </w:p>
    <w:p>
      <w:pPr>
        <w:pStyle w:val="Heading1"/>
        <w:spacing w:after="120" w:before="300"/>
      </w:pPr>
      <w:r>
        <w:rPr>
          <w:rFonts w:ascii="Calibri" w:cs="Calibri" w:eastAsia="Calibri" w:hAnsi="Calibri"/>
          <w:b/>
          <w:bCs/>
          <w:color w:val="1F3864"/>
          <w:sz w:val="30"/>
          <w:szCs w:val="30"/>
        </w:rPr>
        <w:t xml:space="preserve">2. What is SAP FICO?</w:t>
      </w:r>
    </w:p>
    <w:p>
      <w:pPr>
        <w:spacing w:after="120" w:line="300"/>
      </w:pPr>
      <w:r>
        <w:rPr>
          <w:rFonts w:ascii="Calibri" w:cs="Calibri" w:eastAsia="Calibri" w:hAnsi="Calibri"/>
          <w:sz w:val="22"/>
          <w:szCs w:val="22"/>
        </w:rPr>
        <w:t xml:space="preserve">SAP FICO stands for Financial Accounting (FI) and Controlling (CO). It is a combination of two closely linked modules in SAP ERP and SAP S/4HANA:</w:t>
      </w:r>
    </w:p>
    <w:p>
      <w:pPr>
        <w:pStyle w:val="ListParagraph"/>
        <w:numPr>
          <w:ilvl w:val="0"/>
          <w:numId w:val="2"/>
        </w:numPr>
        <w:spacing w:after="80" w:line="290"/>
      </w:pPr>
      <w:r>
        <w:rPr>
          <w:rFonts w:ascii="Calibri" w:cs="Calibri" w:eastAsia="Calibri" w:hAnsi="Calibri"/>
          <w:b/>
          <w:bCs/>
          <w:sz w:val="22"/>
          <w:szCs w:val="22"/>
        </w:rPr>
        <w:t xml:space="preserve">SAP FI (Financial Accounting): </w:t>
      </w:r>
      <w:r>
        <w:rPr>
          <w:rFonts w:ascii="Calibri" w:cs="Calibri" w:eastAsia="Calibri" w:hAnsi="Calibri"/>
          <w:sz w:val="22"/>
          <w:szCs w:val="22"/>
        </w:rPr>
        <w:t xml:space="preserve">handles external reporting. It records every financial transaction of the company and produces statutory reports such as the balance sheet and profit and loss statement, as required by law and by outsiders such as investors, banks and tax authorities.</w:t>
      </w:r>
    </w:p>
    <w:p>
      <w:pPr>
        <w:pStyle w:val="ListParagraph"/>
        <w:numPr>
          <w:ilvl w:val="0"/>
          <w:numId w:val="2"/>
        </w:numPr>
        <w:spacing w:after="80" w:line="290"/>
      </w:pPr>
      <w:r>
        <w:rPr>
          <w:rFonts w:ascii="Calibri" w:cs="Calibri" w:eastAsia="Calibri" w:hAnsi="Calibri"/>
          <w:b/>
          <w:bCs/>
          <w:sz w:val="22"/>
          <w:szCs w:val="22"/>
        </w:rPr>
        <w:t xml:space="preserve">SAP CO (Controlling): </w:t>
      </w:r>
      <w:r>
        <w:rPr>
          <w:rFonts w:ascii="Calibri" w:cs="Calibri" w:eastAsia="Calibri" w:hAnsi="Calibri"/>
          <w:sz w:val="22"/>
          <w:szCs w:val="22"/>
        </w:rPr>
        <w:t xml:space="preserve">handles internal reporting. It tracks costs and profits by cost centre, product, project or business unit so that management can plan, monitor and make decisions.</w:t>
      </w:r>
    </w:p>
    <w:p>
      <w:pPr>
        <w:spacing w:after="120" w:line="300"/>
      </w:pPr>
      <w:r>
        <w:rPr>
          <w:rFonts w:ascii="Calibri" w:cs="Calibri" w:eastAsia="Calibri" w:hAnsi="Calibri"/>
          <w:sz w:val="22"/>
          <w:szCs w:val="22"/>
        </w:rPr>
        <w:t xml:space="preserve">In short: FI answers "What is our financial position?" for outsiders, while CO answers "Where is our money going and is it worth it?" for managers. Both read from the same data, so there is one version of the truth.</w:t>
      </w:r>
    </w:p>
    <w:p>
      <w:pPr>
        <w:pStyle w:val="Heading1"/>
        <w:spacing w:after="120" w:before="300"/>
      </w:pPr>
      <w:r>
        <w:rPr>
          <w:rFonts w:ascii="Calibri" w:cs="Calibri" w:eastAsia="Calibri" w:hAnsi="Calibri"/>
          <w:b/>
          <w:bCs/>
          <w:color w:val="1F3864"/>
          <w:sz w:val="30"/>
          <w:szCs w:val="30"/>
        </w:rPr>
        <w:t xml:space="preserve">3. Core Components and Functionalities</w:t>
      </w:r>
    </w:p>
    <w:p>
      <w:pPr>
        <w:pStyle w:val="Heading2"/>
        <w:spacing w:after="80" w:before="200"/>
      </w:pPr>
      <w:r>
        <w:rPr>
          <w:rFonts w:ascii="Calibri" w:cs="Calibri" w:eastAsia="Calibri" w:hAnsi="Calibri"/>
          <w:b/>
          <w:bCs/>
          <w:color w:val="2E5597"/>
          <w:sz w:val="24"/>
          <w:szCs w:val="24"/>
        </w:rPr>
        <w:t xml:space="preserve">3.1 Financial Accounting (FI)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3864" w:color="auto" w:val="clear"/>
            <w:tcMar>
              <w:top w:type="dxa" w:w="80"/>
              <w:left w:type="dxa" w:w="110"/>
              <w:bottom w:type="dxa" w:w="80"/>
              <w:right w:type="dxa" w:w="110"/>
            </w:tcMar>
          </w:tcPr>
          <w:p>
            <w:r>
              <w:rPr>
                <w:rFonts w:ascii="Calibri" w:cs="Calibri" w:eastAsia="Calibri" w:hAnsi="Calibri"/>
                <w:b/>
                <w:bCs/>
                <w:color w:val="FFFFFF"/>
                <w:sz w:val="20"/>
                <w:szCs w:val="20"/>
              </w:rPr>
              <w:t xml:space="preserve">Sub-module</w:t>
            </w:r>
          </w:p>
        </w:tc>
        <w:tc>
          <w:tcPr>
            <w:tcW w:type="dxa" w:w="6960"/>
            <w:tcBorders>
              <w:top w:val="single" w:color="999999" w:sz="4"/>
              <w:left w:val="single" w:color="999999" w:sz="4"/>
              <w:bottom w:val="single" w:color="999999" w:sz="4"/>
              <w:right w:val="single" w:color="999999" w:sz="4"/>
            </w:tcBorders>
            <w:shd w:fill="1F3864" w:color="auto" w:val="clear"/>
            <w:tcMar>
              <w:top w:type="dxa" w:w="80"/>
              <w:left w:type="dxa" w:w="110"/>
              <w:bottom w:type="dxa" w:w="80"/>
              <w:right w:type="dxa" w:w="110"/>
            </w:tcMar>
          </w:tcPr>
          <w:p>
            <w:r>
              <w:rPr>
                <w:rFonts w:ascii="Calibri" w:cs="Calibri" w:eastAsia="Calibri" w:hAnsi="Calibri"/>
                <w:b/>
                <w:bCs/>
                <w:color w:val="FFFFFF"/>
                <w:sz w:val="20"/>
                <w:szCs w:val="20"/>
              </w:rPr>
              <w:t xml:space="preserve">Function</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General Ledger (FI-GL)</w:t>
            </w:r>
          </w:p>
        </w:tc>
        <w:tc>
          <w:tcPr>
            <w:tcW w:type="dxa" w:w="696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Central record of all accounting data; chart of accounts, journal entries, period-end closing, financial statements.</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Accounts Payable (FI-AP)</w:t>
            </w:r>
          </w:p>
        </w:tc>
        <w:tc>
          <w:tcPr>
            <w:tcW w:type="dxa" w:w="696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Manages vendor invoices, payments, payment runs and vendor balances.</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Accounts Receivable (FI-AR)</w:t>
            </w:r>
          </w:p>
        </w:tc>
        <w:tc>
          <w:tcPr>
            <w:tcW w:type="dxa" w:w="696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Manages customer invoices, incoming payments, dunning (payment reminders) and credit control.</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Asset Accounting (FI-AA)</w:t>
            </w:r>
          </w:p>
        </w:tc>
        <w:tc>
          <w:tcPr>
            <w:tcW w:type="dxa" w:w="696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Tracks fixed assets from purchase to retirement, including depreciation calculation.</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Bank Accounting</w:t>
            </w:r>
          </w:p>
        </w:tc>
        <w:tc>
          <w:tcPr>
            <w:tcW w:type="dxa" w:w="696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Handles bank master data, cash management and bank reconciliation.</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Travel and Tax Management</w:t>
            </w:r>
          </w:p>
        </w:tc>
        <w:tc>
          <w:tcPr>
            <w:tcW w:type="dxa" w:w="696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Employee expense handling and tax calculation and reporting (e.g. GST/VAT).</w:t>
            </w:r>
          </w:p>
        </w:tc>
      </w:tr>
    </w:tbl>
    <w:p>
      <w:pPr>
        <w:pStyle w:val="Heading2"/>
        <w:spacing w:after="80" w:before="200"/>
      </w:pPr>
      <w:r>
        <w:rPr>
          <w:rFonts w:ascii="Calibri" w:cs="Calibri" w:eastAsia="Calibri" w:hAnsi="Calibri"/>
          <w:b/>
          <w:bCs/>
          <w:color w:val="2E5597"/>
          <w:sz w:val="24"/>
          <w:szCs w:val="24"/>
        </w:rPr>
        <w:t xml:space="preserve">3.2 Controlling (CO)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3864" w:color="auto" w:val="clear"/>
            <w:tcMar>
              <w:top w:type="dxa" w:w="80"/>
              <w:left w:type="dxa" w:w="110"/>
              <w:bottom w:type="dxa" w:w="80"/>
              <w:right w:type="dxa" w:w="110"/>
            </w:tcMar>
          </w:tcPr>
          <w:p>
            <w:r>
              <w:rPr>
                <w:rFonts w:ascii="Calibri" w:cs="Calibri" w:eastAsia="Calibri" w:hAnsi="Calibri"/>
                <w:b/>
                <w:bCs/>
                <w:color w:val="FFFFFF"/>
                <w:sz w:val="20"/>
                <w:szCs w:val="20"/>
              </w:rPr>
              <w:t xml:space="preserve">Sub-module</w:t>
            </w:r>
          </w:p>
        </w:tc>
        <w:tc>
          <w:tcPr>
            <w:tcW w:type="dxa" w:w="6960"/>
            <w:tcBorders>
              <w:top w:val="single" w:color="999999" w:sz="4"/>
              <w:left w:val="single" w:color="999999" w:sz="4"/>
              <w:bottom w:val="single" w:color="999999" w:sz="4"/>
              <w:right w:val="single" w:color="999999" w:sz="4"/>
            </w:tcBorders>
            <w:shd w:fill="1F3864" w:color="auto" w:val="clear"/>
            <w:tcMar>
              <w:top w:type="dxa" w:w="80"/>
              <w:left w:type="dxa" w:w="110"/>
              <w:bottom w:type="dxa" w:w="80"/>
              <w:right w:type="dxa" w:w="110"/>
            </w:tcMar>
          </w:tcPr>
          <w:p>
            <w:r>
              <w:rPr>
                <w:rFonts w:ascii="Calibri" w:cs="Calibri" w:eastAsia="Calibri" w:hAnsi="Calibri"/>
                <w:b/>
                <w:bCs/>
                <w:color w:val="FFFFFF"/>
                <w:sz w:val="20"/>
                <w:szCs w:val="20"/>
              </w:rPr>
              <w:t xml:space="preserve">Function</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Cost Element Accounting</w:t>
            </w:r>
          </w:p>
        </w:tc>
        <w:tc>
          <w:tcPr>
            <w:tcW w:type="dxa" w:w="696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Classifies costs and revenues that arise in the company.</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Cost Center Accounting</w:t>
            </w:r>
          </w:p>
        </w:tc>
        <w:tc>
          <w:tcPr>
            <w:tcW w:type="dxa" w:w="696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Tracks costs where they are incurred (departments, teams) and compares actual with planned costs.</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Profit Center Accounting</w:t>
            </w:r>
          </w:p>
        </w:tc>
        <w:tc>
          <w:tcPr>
            <w:tcW w:type="dxa" w:w="696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Measures the profitability of business units or divisions.</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Internal Orders</w:t>
            </w:r>
          </w:p>
        </w:tc>
        <w:tc>
          <w:tcPr>
            <w:tcW w:type="dxa" w:w="696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Monitors costs of short-term jobs, events or projects.</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Product Costing</w:t>
            </w:r>
          </w:p>
        </w:tc>
        <w:tc>
          <w:tcPr>
            <w:tcW w:type="dxa" w:w="696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Calculates the cost of manufacturing a product or delivering a service, and supports pricing.</w:t>
            </w:r>
          </w:p>
        </w:tc>
      </w:tr>
      <w:tr>
        <w:trPr>
          <w:tblHeader w:val="false"/>
        </w:trPr>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Profitability Analysis (CO-PA)</w:t>
            </w:r>
          </w:p>
        </w:tc>
        <w:tc>
          <w:tcPr>
            <w:tcW w:type="dxa" w:w="696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Analyses profit by market segment, such as product, customer or region.</w:t>
            </w:r>
          </w:p>
        </w:tc>
      </w:tr>
    </w:tbl>
    <w:p>
      <w:pPr>
        <w:pStyle w:val="Heading2"/>
        <w:spacing w:after="80" w:before="200"/>
      </w:pPr>
      <w:r>
        <w:rPr>
          <w:rFonts w:ascii="Calibri" w:cs="Calibri" w:eastAsia="Calibri" w:hAnsi="Calibri"/>
          <w:b/>
          <w:bCs/>
          <w:color w:val="2E5597"/>
          <w:sz w:val="24"/>
          <w:szCs w:val="24"/>
        </w:rPr>
        <w:t xml:space="preserve">3.3 Key capabilities</w:t>
      </w:r>
    </w:p>
    <w:p>
      <w:pPr>
        <w:pStyle w:val="ListParagraph"/>
        <w:numPr>
          <w:ilvl w:val="0"/>
          <w:numId w:val="2"/>
        </w:numPr>
        <w:spacing w:after="80" w:line="290"/>
      </w:pPr>
      <w:r>
        <w:rPr>
          <w:rFonts w:ascii="Calibri" w:cs="Calibri" w:eastAsia="Calibri" w:hAnsi="Calibri"/>
          <w:sz w:val="22"/>
          <w:szCs w:val="22"/>
        </w:rPr>
        <w:t xml:space="preserve">Real-time posting: a transaction is recorded once and is immediately visible in all related reports.</w:t>
      </w:r>
    </w:p>
    <w:p>
      <w:pPr>
        <w:pStyle w:val="ListParagraph"/>
        <w:numPr>
          <w:ilvl w:val="0"/>
          <w:numId w:val="2"/>
        </w:numPr>
        <w:spacing w:after="80" w:line="290"/>
      </w:pPr>
      <w:r>
        <w:rPr>
          <w:rFonts w:ascii="Calibri" w:cs="Calibri" w:eastAsia="Calibri" w:hAnsi="Calibri"/>
          <w:sz w:val="22"/>
          <w:szCs w:val="22"/>
        </w:rPr>
        <w:t xml:space="preserve">Multi-currency and multi-company support for global organisations, with automatic currency conversion.</w:t>
      </w:r>
    </w:p>
    <w:p>
      <w:pPr>
        <w:pStyle w:val="ListParagraph"/>
        <w:numPr>
          <w:ilvl w:val="0"/>
          <w:numId w:val="2"/>
        </w:numPr>
        <w:spacing w:after="80" w:line="290"/>
      </w:pPr>
      <w:r>
        <w:rPr>
          <w:rFonts w:ascii="Calibri" w:cs="Calibri" w:eastAsia="Calibri" w:hAnsi="Calibri"/>
          <w:sz w:val="22"/>
          <w:szCs w:val="22"/>
        </w:rPr>
        <w:t xml:space="preserve">Compliance with accounting standards such as IFRS and local GAAP, with audit trails.</w:t>
      </w:r>
    </w:p>
    <w:p>
      <w:pPr>
        <w:pStyle w:val="ListParagraph"/>
        <w:numPr>
          <w:ilvl w:val="0"/>
          <w:numId w:val="2"/>
        </w:numPr>
        <w:spacing w:after="80" w:line="290"/>
      </w:pPr>
      <w:r>
        <w:rPr>
          <w:rFonts w:ascii="Calibri" w:cs="Calibri" w:eastAsia="Calibri" w:hAnsi="Calibri"/>
          <w:sz w:val="22"/>
          <w:szCs w:val="22"/>
        </w:rPr>
        <w:t xml:space="preserve">Budgeting, planning and variance analysis to compare actual results against targets.</w:t>
      </w:r>
    </w:p>
    <w:p>
      <w:pPr>
        <w:pStyle w:val="Heading1"/>
        <w:spacing w:after="120" w:before="300"/>
      </w:pPr>
      <w:r>
        <w:rPr>
          <w:rFonts w:ascii="Calibri" w:cs="Calibri" w:eastAsia="Calibri" w:hAnsi="Calibri"/>
          <w:b/>
          <w:bCs/>
          <w:color w:val="1F3864"/>
          <w:sz w:val="30"/>
          <w:szCs w:val="30"/>
        </w:rPr>
        <w:t xml:space="preserve">4. Integration with Other SAP Modules</w:t>
      </w:r>
    </w:p>
    <w:p>
      <w:pPr>
        <w:spacing w:after="120" w:line="300"/>
      </w:pPr>
      <w:r>
        <w:rPr>
          <w:rFonts w:ascii="Calibri" w:cs="Calibri" w:eastAsia="Calibri" w:hAnsi="Calibri"/>
          <w:sz w:val="22"/>
          <w:szCs w:val="22"/>
        </w:rPr>
        <w:t xml:space="preserve">SAP FICO's biggest strength is that it is the financial backbone of the whole ERP system. When a business event happens in another module, the matching accounting entry is created automatically in FI and CO, which removes manual re-entry and reduces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999999" w:sz="4"/>
              <w:left w:val="single" w:color="999999" w:sz="4"/>
              <w:bottom w:val="single" w:color="999999" w:sz="4"/>
              <w:right w:val="single" w:color="999999" w:sz="4"/>
            </w:tcBorders>
            <w:shd w:fill="1F3864" w:color="auto" w:val="clear"/>
            <w:tcMar>
              <w:top w:type="dxa" w:w="80"/>
              <w:left w:type="dxa" w:w="110"/>
              <w:bottom w:type="dxa" w:w="80"/>
              <w:right w:type="dxa" w:w="110"/>
            </w:tcMar>
          </w:tcPr>
          <w:p>
            <w:r>
              <w:rPr>
                <w:rFonts w:ascii="Calibri" w:cs="Calibri" w:eastAsia="Calibri" w:hAnsi="Calibri"/>
                <w:b/>
                <w:bCs/>
                <w:color w:val="FFFFFF"/>
                <w:sz w:val="20"/>
                <w:szCs w:val="20"/>
              </w:rPr>
              <w:t xml:space="preserve">Module</w:t>
            </w:r>
          </w:p>
        </w:tc>
        <w:tc>
          <w:tcPr>
            <w:tcW w:type="dxa" w:w="7360"/>
            <w:tcBorders>
              <w:top w:val="single" w:color="999999" w:sz="4"/>
              <w:left w:val="single" w:color="999999" w:sz="4"/>
              <w:bottom w:val="single" w:color="999999" w:sz="4"/>
              <w:right w:val="single" w:color="999999" w:sz="4"/>
            </w:tcBorders>
            <w:shd w:fill="1F3864" w:color="auto" w:val="clear"/>
            <w:tcMar>
              <w:top w:type="dxa" w:w="80"/>
              <w:left w:type="dxa" w:w="110"/>
              <w:bottom w:type="dxa" w:w="80"/>
              <w:right w:type="dxa" w:w="110"/>
            </w:tcMar>
          </w:tcPr>
          <w:p>
            <w:r>
              <w:rPr>
                <w:rFonts w:ascii="Calibri" w:cs="Calibri" w:eastAsia="Calibri" w:hAnsi="Calibri"/>
                <w:b/>
                <w:bCs/>
                <w:color w:val="FFFFFF"/>
                <w:sz w:val="20"/>
                <w:szCs w:val="20"/>
              </w:rPr>
              <w:t xml:space="preserve">How it integrates with FICO</w:t>
            </w:r>
          </w:p>
        </w:tc>
      </w:tr>
      <w:tr>
        <w:trPr>
          <w:tblHeader w:val="false"/>
        </w:trPr>
        <w:tc>
          <w:tcPr>
            <w:tcW w:type="dxa" w:w="2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MM (Materials Management)</w:t>
            </w:r>
          </w:p>
        </w:tc>
        <w:tc>
          <w:tcPr>
            <w:tcW w:type="dxa" w:w="736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A goods receipt or vendor invoice posts to inventory, GR/IR and vendor accounts in FI. Material costs flow into CO for cost tracking.</w:t>
            </w:r>
          </w:p>
        </w:tc>
      </w:tr>
      <w:tr>
        <w:trPr>
          <w:tblHeader w:val="false"/>
        </w:trPr>
        <w:tc>
          <w:tcPr>
            <w:tcW w:type="dxa" w:w="2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SD (Sales and Distribution)</w:t>
            </w:r>
          </w:p>
        </w:tc>
        <w:tc>
          <w:tcPr>
            <w:tcW w:type="dxa" w:w="736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A billing document posts revenue and the customer receivable to FI automatically. Sales data feeds CO-PA for profitability analysis.</w:t>
            </w:r>
          </w:p>
        </w:tc>
      </w:tr>
      <w:tr>
        <w:trPr>
          <w:tblHeader w:val="false"/>
        </w:trPr>
        <w:tc>
          <w:tcPr>
            <w:tcW w:type="dxa" w:w="2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PP (Production Planning)</w:t>
            </w:r>
          </w:p>
        </w:tc>
        <w:tc>
          <w:tcPr>
            <w:tcW w:type="dxa" w:w="736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Production orders collect actual costs (material, labour, overhead) in CO. Settlement posts the finished goods value to FI.</w:t>
            </w:r>
          </w:p>
        </w:tc>
      </w:tr>
      <w:tr>
        <w:trPr>
          <w:tblHeader w:val="false"/>
        </w:trPr>
        <w:tc>
          <w:tcPr>
            <w:tcW w:type="dxa" w:w="2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HR/HCM (Human Capital Management)</w:t>
            </w:r>
          </w:p>
        </w:tc>
        <w:tc>
          <w:tcPr>
            <w:tcW w:type="dxa" w:w="736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Payroll results post salary expenses, taxes and liabilities to FI and cost centres in CO.</w:t>
            </w:r>
          </w:p>
        </w:tc>
      </w:tr>
      <w:tr>
        <w:trPr>
          <w:tblHeader w:val="false"/>
        </w:trPr>
        <w:tc>
          <w:tcPr>
            <w:tcW w:type="dxa" w:w="2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PM (Plant Maintenance)</w:t>
            </w:r>
          </w:p>
        </w:tc>
        <w:tc>
          <w:tcPr>
            <w:tcW w:type="dxa" w:w="736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Maintenance orders collect repair costs that are settled to cost centres or assets.</w:t>
            </w:r>
          </w:p>
        </w:tc>
      </w:tr>
      <w:tr>
        <w:trPr>
          <w:tblHeader w:val="false"/>
        </w:trPr>
        <w:tc>
          <w:tcPr>
            <w:tcW w:type="dxa" w:w="20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PS (Project System)</w:t>
            </w:r>
          </w:p>
        </w:tc>
        <w:tc>
          <w:tcPr>
            <w:tcW w:type="dxa" w:w="736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Calibri" w:cs="Calibri" w:eastAsia="Calibri" w:hAnsi="Calibri"/>
                <w:b w:val="false"/>
                <w:bCs w:val="false"/>
                <w:color w:val="000000"/>
                <w:sz w:val="20"/>
                <w:szCs w:val="20"/>
              </w:rPr>
              <w:t xml:space="preserve">Project costs and revenues are tracked and settled to FI and CO.</w:t>
            </w:r>
          </w:p>
        </w:tc>
      </w:tr>
    </w:tbl>
    <w:p>
      <w:pPr>
        <w:spacing w:after="60"/>
      </w:pPr>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Example (procure-to-pay): a purchase order is raised in MM, goods are received (inventory increases in FI), the vendor invoice is verified (a payable is created in FI-AP), and payment is made through FI (bank account reduced, payable cleared). Every step posts to the books without separate accounting entry.</w:t>
      </w:r>
    </w:p>
    <w:p>
      <w:pPr>
        <w:pStyle w:val="Heading1"/>
        <w:spacing w:after="120" w:before="300"/>
      </w:pPr>
      <w:r>
        <w:rPr>
          <w:rFonts w:ascii="Calibri" w:cs="Calibri" w:eastAsia="Calibri" w:hAnsi="Calibri"/>
          <w:b/>
          <w:bCs/>
          <w:color w:val="1F3864"/>
          <w:sz w:val="30"/>
          <w:szCs w:val="30"/>
        </w:rPr>
        <w:t xml:space="preserve">5. Use Cases</w:t>
      </w:r>
    </w:p>
    <w:p>
      <w:pPr>
        <w:pStyle w:val="ListParagraph"/>
        <w:numPr>
          <w:ilvl w:val="0"/>
          <w:numId w:val="2"/>
        </w:numPr>
        <w:spacing w:after="80" w:line="290"/>
      </w:pPr>
      <w:r>
        <w:rPr>
          <w:rFonts w:ascii="Calibri" w:cs="Calibri" w:eastAsia="Calibri" w:hAnsi="Calibri"/>
          <w:b/>
          <w:bCs/>
          <w:sz w:val="22"/>
          <w:szCs w:val="22"/>
        </w:rPr>
        <w:t xml:space="preserve">Financial closing and reporting: </w:t>
      </w:r>
      <w:r>
        <w:rPr>
          <w:rFonts w:ascii="Calibri" w:cs="Calibri" w:eastAsia="Calibri" w:hAnsi="Calibri"/>
          <w:sz w:val="22"/>
          <w:szCs w:val="22"/>
        </w:rPr>
        <w:t xml:space="preserve">a manufacturing company closes its books each month and generates balance sheet, P&amp;L and cash flow statements from one system.</w:t>
      </w:r>
    </w:p>
    <w:p>
      <w:pPr>
        <w:pStyle w:val="ListParagraph"/>
        <w:numPr>
          <w:ilvl w:val="0"/>
          <w:numId w:val="2"/>
        </w:numPr>
        <w:spacing w:after="80" w:line="290"/>
      </w:pPr>
      <w:r>
        <w:rPr>
          <w:rFonts w:ascii="Calibri" w:cs="Calibri" w:eastAsia="Calibri" w:hAnsi="Calibri"/>
          <w:b/>
          <w:bCs/>
          <w:sz w:val="22"/>
          <w:szCs w:val="22"/>
        </w:rPr>
        <w:t xml:space="preserve">Vendor and customer management: </w:t>
      </w:r>
      <w:r>
        <w:rPr>
          <w:rFonts w:ascii="Calibri" w:cs="Calibri" w:eastAsia="Calibri" w:hAnsi="Calibri"/>
          <w:sz w:val="22"/>
          <w:szCs w:val="22"/>
        </w:rPr>
        <w:t xml:space="preserve">a retail chain automates supplier payments and tracks overdue customer invoices with dunning.</w:t>
      </w:r>
    </w:p>
    <w:p>
      <w:pPr>
        <w:pStyle w:val="ListParagraph"/>
        <w:numPr>
          <w:ilvl w:val="0"/>
          <w:numId w:val="2"/>
        </w:numPr>
        <w:spacing w:after="80" w:line="290"/>
      </w:pPr>
      <w:r>
        <w:rPr>
          <w:rFonts w:ascii="Calibri" w:cs="Calibri" w:eastAsia="Calibri" w:hAnsi="Calibri"/>
          <w:b/>
          <w:bCs/>
          <w:sz w:val="22"/>
          <w:szCs w:val="22"/>
        </w:rPr>
        <w:t xml:space="preserve">Cost control: </w:t>
      </w:r>
      <w:r>
        <w:rPr>
          <w:rFonts w:ascii="Calibri" w:cs="Calibri" w:eastAsia="Calibri" w:hAnsi="Calibri"/>
          <w:sz w:val="22"/>
          <w:szCs w:val="22"/>
        </w:rPr>
        <w:t xml:space="preserve">a hospital or IT services firm monitors department costs against budget with cost centre reports.</w:t>
      </w:r>
    </w:p>
    <w:p>
      <w:pPr>
        <w:pStyle w:val="ListParagraph"/>
        <w:numPr>
          <w:ilvl w:val="0"/>
          <w:numId w:val="2"/>
        </w:numPr>
        <w:spacing w:after="80" w:line="290"/>
      </w:pPr>
      <w:r>
        <w:rPr>
          <w:rFonts w:ascii="Calibri" w:cs="Calibri" w:eastAsia="Calibri" w:hAnsi="Calibri"/>
          <w:b/>
          <w:bCs/>
          <w:sz w:val="22"/>
          <w:szCs w:val="22"/>
        </w:rPr>
        <w:t xml:space="preserve">Product profitability: </w:t>
      </w:r>
      <w:r>
        <w:rPr>
          <w:rFonts w:ascii="Calibri" w:cs="Calibri" w:eastAsia="Calibri" w:hAnsi="Calibri"/>
          <w:sz w:val="22"/>
          <w:szCs w:val="22"/>
        </w:rPr>
        <w:t xml:space="preserve">a consumer goods company uses product costing and CO-PA to find which products and regions earn the most margin.</w:t>
      </w:r>
    </w:p>
    <w:p>
      <w:pPr>
        <w:pStyle w:val="ListParagraph"/>
        <w:numPr>
          <w:ilvl w:val="0"/>
          <w:numId w:val="2"/>
        </w:numPr>
        <w:spacing w:after="80" w:line="290"/>
      </w:pPr>
      <w:r>
        <w:rPr>
          <w:rFonts w:ascii="Calibri" w:cs="Calibri" w:eastAsia="Calibri" w:hAnsi="Calibri"/>
          <w:b/>
          <w:bCs/>
          <w:sz w:val="22"/>
          <w:szCs w:val="22"/>
        </w:rPr>
        <w:t xml:space="preserve">Fixed asset management: </w:t>
      </w:r>
      <w:r>
        <w:rPr>
          <w:rFonts w:ascii="Calibri" w:cs="Calibri" w:eastAsia="Calibri" w:hAnsi="Calibri"/>
          <w:sz w:val="22"/>
          <w:szCs w:val="22"/>
        </w:rPr>
        <w:t xml:space="preserve">an infrastructure or logistics company tracks vehicles and equipment, and calculates depreciation automatically.</w:t>
      </w:r>
    </w:p>
    <w:p>
      <w:pPr>
        <w:pStyle w:val="ListParagraph"/>
        <w:numPr>
          <w:ilvl w:val="0"/>
          <w:numId w:val="2"/>
        </w:numPr>
        <w:spacing w:after="80" w:line="290"/>
      </w:pPr>
      <w:r>
        <w:rPr>
          <w:rFonts w:ascii="Calibri" w:cs="Calibri" w:eastAsia="Calibri" w:hAnsi="Calibri"/>
          <w:b/>
          <w:bCs/>
          <w:sz w:val="22"/>
          <w:szCs w:val="22"/>
        </w:rPr>
        <w:t xml:space="preserve">Multinational consolidation: </w:t>
      </w:r>
      <w:r>
        <w:rPr>
          <w:rFonts w:ascii="Calibri" w:cs="Calibri" w:eastAsia="Calibri" w:hAnsi="Calibri"/>
          <w:sz w:val="22"/>
          <w:szCs w:val="22"/>
        </w:rPr>
        <w:t xml:space="preserve">a group with subsidiaries in several countries reports in multiple currencies and consolidates results.</w:t>
      </w:r>
    </w:p>
    <w:p>
      <w:pPr>
        <w:pStyle w:val="Heading1"/>
        <w:spacing w:after="120" w:before="300"/>
      </w:pPr>
      <w:r>
        <w:rPr>
          <w:rFonts w:ascii="Calibri" w:cs="Calibri" w:eastAsia="Calibri" w:hAnsi="Calibri"/>
          <w:b/>
          <w:bCs/>
          <w:color w:val="1F3864"/>
          <w:sz w:val="30"/>
          <w:szCs w:val="30"/>
        </w:rPr>
        <w:t xml:space="preserve">6. Benefits</w:t>
      </w:r>
    </w:p>
    <w:p>
      <w:pPr>
        <w:pStyle w:val="ListParagraph"/>
        <w:numPr>
          <w:ilvl w:val="0"/>
          <w:numId w:val="2"/>
        </w:numPr>
        <w:spacing w:after="80" w:line="290"/>
      </w:pPr>
      <w:r>
        <w:rPr>
          <w:rFonts w:ascii="Calibri" w:cs="Calibri" w:eastAsia="Calibri" w:hAnsi="Calibri"/>
          <w:b/>
          <w:bCs/>
          <w:sz w:val="22"/>
          <w:szCs w:val="22"/>
        </w:rPr>
        <w:t xml:space="preserve">Single source of truth: </w:t>
      </w:r>
      <w:r>
        <w:rPr>
          <w:rFonts w:ascii="Calibri" w:cs="Calibri" w:eastAsia="Calibri" w:hAnsi="Calibri"/>
          <w:sz w:val="22"/>
          <w:szCs w:val="22"/>
        </w:rPr>
        <w:t xml:space="preserve">all departments work on the same real-time financial data.</w:t>
      </w:r>
    </w:p>
    <w:p>
      <w:pPr>
        <w:pStyle w:val="ListParagraph"/>
        <w:numPr>
          <w:ilvl w:val="0"/>
          <w:numId w:val="2"/>
        </w:numPr>
        <w:spacing w:after="80" w:line="290"/>
      </w:pPr>
      <w:r>
        <w:rPr>
          <w:rFonts w:ascii="Calibri" w:cs="Calibri" w:eastAsia="Calibri" w:hAnsi="Calibri"/>
          <w:b/>
          <w:bCs/>
          <w:sz w:val="22"/>
          <w:szCs w:val="22"/>
        </w:rPr>
        <w:t xml:space="preserve">Automation: </w:t>
      </w:r>
      <w:r>
        <w:rPr>
          <w:rFonts w:ascii="Calibri" w:cs="Calibri" w:eastAsia="Calibri" w:hAnsi="Calibri"/>
          <w:sz w:val="22"/>
          <w:szCs w:val="22"/>
        </w:rPr>
        <w:t xml:space="preserve">less manual entry, fewer errors and faster period-end closing.</w:t>
      </w:r>
    </w:p>
    <w:p>
      <w:pPr>
        <w:pStyle w:val="ListParagraph"/>
        <w:numPr>
          <w:ilvl w:val="0"/>
          <w:numId w:val="2"/>
        </w:numPr>
        <w:spacing w:after="80" w:line="290"/>
      </w:pPr>
      <w:r>
        <w:rPr>
          <w:rFonts w:ascii="Calibri" w:cs="Calibri" w:eastAsia="Calibri" w:hAnsi="Calibri"/>
          <w:b/>
          <w:bCs/>
          <w:sz w:val="22"/>
          <w:szCs w:val="22"/>
        </w:rPr>
        <w:t xml:space="preserve">Better decision-making: </w:t>
      </w:r>
      <w:r>
        <w:rPr>
          <w:rFonts w:ascii="Calibri" w:cs="Calibri" w:eastAsia="Calibri" w:hAnsi="Calibri"/>
          <w:sz w:val="22"/>
          <w:szCs w:val="22"/>
        </w:rPr>
        <w:t xml:space="preserve">detailed cost and profitability reports help managers act on facts.</w:t>
      </w:r>
    </w:p>
    <w:p>
      <w:pPr>
        <w:pStyle w:val="ListParagraph"/>
        <w:numPr>
          <w:ilvl w:val="0"/>
          <w:numId w:val="2"/>
        </w:numPr>
        <w:spacing w:after="80" w:line="290"/>
      </w:pPr>
      <w:r>
        <w:rPr>
          <w:rFonts w:ascii="Calibri" w:cs="Calibri" w:eastAsia="Calibri" w:hAnsi="Calibri"/>
          <w:b/>
          <w:bCs/>
          <w:sz w:val="22"/>
          <w:szCs w:val="22"/>
        </w:rPr>
        <w:t xml:space="preserve">Compliance and control: </w:t>
      </w:r>
      <w:r>
        <w:rPr>
          <w:rFonts w:ascii="Calibri" w:cs="Calibri" w:eastAsia="Calibri" w:hAnsi="Calibri"/>
          <w:sz w:val="22"/>
          <w:szCs w:val="22"/>
        </w:rPr>
        <w:t xml:space="preserve">built-in audit trails, authorisations and support for tax and accounting standards.</w:t>
      </w:r>
    </w:p>
    <w:p>
      <w:pPr>
        <w:pStyle w:val="ListParagraph"/>
        <w:numPr>
          <w:ilvl w:val="0"/>
          <w:numId w:val="2"/>
        </w:numPr>
        <w:spacing w:after="80" w:line="290"/>
      </w:pPr>
      <w:r>
        <w:rPr>
          <w:rFonts w:ascii="Calibri" w:cs="Calibri" w:eastAsia="Calibri" w:hAnsi="Calibri"/>
          <w:b/>
          <w:bCs/>
          <w:sz w:val="22"/>
          <w:szCs w:val="22"/>
        </w:rPr>
        <w:t xml:space="preserve">Scalability: </w:t>
      </w:r>
      <w:r>
        <w:rPr>
          <w:rFonts w:ascii="Calibri" w:cs="Calibri" w:eastAsia="Calibri" w:hAnsi="Calibri"/>
          <w:sz w:val="22"/>
          <w:szCs w:val="22"/>
        </w:rPr>
        <w:t xml:space="preserve">suits small businesses to large global enterprises.</w:t>
      </w:r>
    </w:p>
    <w:p>
      <w:pPr>
        <w:pStyle w:val="ListParagraph"/>
        <w:numPr>
          <w:ilvl w:val="0"/>
          <w:numId w:val="2"/>
        </w:numPr>
        <w:spacing w:after="80" w:line="290"/>
      </w:pPr>
      <w:r>
        <w:rPr>
          <w:rFonts w:ascii="Calibri" w:cs="Calibri" w:eastAsia="Calibri" w:hAnsi="Calibri"/>
          <w:b/>
          <w:bCs/>
          <w:sz w:val="22"/>
          <w:szCs w:val="22"/>
        </w:rPr>
        <w:t xml:space="preserve">Seamless integration: </w:t>
      </w:r>
      <w:r>
        <w:rPr>
          <w:rFonts w:ascii="Calibri" w:cs="Calibri" w:eastAsia="Calibri" w:hAnsi="Calibri"/>
          <w:sz w:val="22"/>
          <w:szCs w:val="22"/>
        </w:rPr>
        <w:t xml:space="preserve">finance stays in sync with procurement, sales, production and HR.</w:t>
      </w:r>
    </w:p>
    <w:p>
      <w:pPr>
        <w:pStyle w:val="Heading1"/>
        <w:spacing w:after="120" w:before="300"/>
      </w:pPr>
      <w:r>
        <w:rPr>
          <w:rFonts w:ascii="Calibri" w:cs="Calibri" w:eastAsia="Calibri" w:hAnsi="Calibri"/>
          <w:b/>
          <w:bCs/>
          <w:color w:val="1F3864"/>
          <w:sz w:val="30"/>
          <w:szCs w:val="30"/>
        </w:rPr>
        <w:t xml:space="preserve">7. Challenges</w:t>
      </w:r>
    </w:p>
    <w:p>
      <w:pPr>
        <w:pStyle w:val="ListParagraph"/>
        <w:numPr>
          <w:ilvl w:val="0"/>
          <w:numId w:val="2"/>
        </w:numPr>
        <w:spacing w:after="80" w:line="290"/>
      </w:pPr>
      <w:r>
        <w:rPr>
          <w:rFonts w:ascii="Calibri" w:cs="Calibri" w:eastAsia="Calibri" w:hAnsi="Calibri"/>
          <w:b/>
          <w:bCs/>
          <w:sz w:val="22"/>
          <w:szCs w:val="22"/>
        </w:rPr>
        <w:t xml:space="preserve">High cost: </w:t>
      </w:r>
      <w:r>
        <w:rPr>
          <w:rFonts w:ascii="Calibri" w:cs="Calibri" w:eastAsia="Calibri" w:hAnsi="Calibri"/>
          <w:sz w:val="22"/>
          <w:szCs w:val="22"/>
        </w:rPr>
        <w:t xml:space="preserve">licences, implementation, consultants and infrastructure are expensive, which is difficult for small firms.</w:t>
      </w:r>
    </w:p>
    <w:p>
      <w:pPr>
        <w:pStyle w:val="ListParagraph"/>
        <w:numPr>
          <w:ilvl w:val="0"/>
          <w:numId w:val="2"/>
        </w:numPr>
        <w:spacing w:after="80" w:line="290"/>
      </w:pPr>
      <w:r>
        <w:rPr>
          <w:rFonts w:ascii="Calibri" w:cs="Calibri" w:eastAsia="Calibri" w:hAnsi="Calibri"/>
          <w:b/>
          <w:bCs/>
          <w:sz w:val="22"/>
          <w:szCs w:val="22"/>
        </w:rPr>
        <w:t xml:space="preserve">Complex implementation: </w:t>
      </w:r>
      <w:r>
        <w:rPr>
          <w:rFonts w:ascii="Calibri" w:cs="Calibri" w:eastAsia="Calibri" w:hAnsi="Calibri"/>
          <w:sz w:val="22"/>
          <w:szCs w:val="22"/>
        </w:rPr>
        <w:t xml:space="preserve">configuring the chart of accounts, controlling areas and integration points needs skilled consultants and months of work.</w:t>
      </w:r>
    </w:p>
    <w:p>
      <w:pPr>
        <w:pStyle w:val="ListParagraph"/>
        <w:numPr>
          <w:ilvl w:val="0"/>
          <w:numId w:val="2"/>
        </w:numPr>
        <w:spacing w:after="80" w:line="290"/>
      </w:pPr>
      <w:r>
        <w:rPr>
          <w:rFonts w:ascii="Calibri" w:cs="Calibri" w:eastAsia="Calibri" w:hAnsi="Calibri"/>
          <w:b/>
          <w:bCs/>
          <w:sz w:val="22"/>
          <w:szCs w:val="22"/>
        </w:rPr>
        <w:t xml:space="preserve">Learning curve: </w:t>
      </w:r>
      <w:r>
        <w:rPr>
          <w:rFonts w:ascii="Calibri" w:cs="Calibri" w:eastAsia="Calibri" w:hAnsi="Calibri"/>
          <w:sz w:val="22"/>
          <w:szCs w:val="22"/>
        </w:rPr>
        <w:t xml:space="preserve">users need substantial training because the interface and processes are detailed.</w:t>
      </w:r>
    </w:p>
    <w:p>
      <w:pPr>
        <w:pStyle w:val="ListParagraph"/>
        <w:numPr>
          <w:ilvl w:val="0"/>
          <w:numId w:val="2"/>
        </w:numPr>
        <w:spacing w:after="80" w:line="290"/>
      </w:pPr>
      <w:r>
        <w:rPr>
          <w:rFonts w:ascii="Calibri" w:cs="Calibri" w:eastAsia="Calibri" w:hAnsi="Calibri"/>
          <w:b/>
          <w:bCs/>
          <w:sz w:val="22"/>
          <w:szCs w:val="22"/>
        </w:rPr>
        <w:t xml:space="preserve">Data migration: </w:t>
      </w:r>
      <w:r>
        <w:rPr>
          <w:rFonts w:ascii="Calibri" w:cs="Calibri" w:eastAsia="Calibri" w:hAnsi="Calibri"/>
          <w:sz w:val="22"/>
          <w:szCs w:val="22"/>
        </w:rPr>
        <w:t xml:space="preserve">moving clean, accurate legacy data into SAP is time-consuming and risky.</w:t>
      </w:r>
    </w:p>
    <w:p>
      <w:pPr>
        <w:pStyle w:val="ListParagraph"/>
        <w:numPr>
          <w:ilvl w:val="0"/>
          <w:numId w:val="2"/>
        </w:numPr>
        <w:spacing w:after="80" w:line="290"/>
      </w:pPr>
      <w:r>
        <w:rPr>
          <w:rFonts w:ascii="Calibri" w:cs="Calibri" w:eastAsia="Calibri" w:hAnsi="Calibri"/>
          <w:b/>
          <w:bCs/>
          <w:sz w:val="22"/>
          <w:szCs w:val="22"/>
        </w:rPr>
        <w:t xml:space="preserve">Change resistance: </w:t>
      </w:r>
      <w:r>
        <w:rPr>
          <w:rFonts w:ascii="Calibri" w:cs="Calibri" w:eastAsia="Calibri" w:hAnsi="Calibri"/>
          <w:sz w:val="22"/>
          <w:szCs w:val="22"/>
        </w:rPr>
        <w:t xml:space="preserve">staff used to old systems or spreadsheets may resist new processes.</w:t>
      </w:r>
    </w:p>
    <w:p>
      <w:pPr>
        <w:pStyle w:val="ListParagraph"/>
        <w:numPr>
          <w:ilvl w:val="0"/>
          <w:numId w:val="2"/>
        </w:numPr>
        <w:spacing w:after="80" w:line="290"/>
      </w:pPr>
      <w:r>
        <w:rPr>
          <w:rFonts w:ascii="Calibri" w:cs="Calibri" w:eastAsia="Calibri" w:hAnsi="Calibri"/>
          <w:b/>
          <w:bCs/>
          <w:sz w:val="22"/>
          <w:szCs w:val="22"/>
        </w:rPr>
        <w:t xml:space="preserve">Customisation and maintenance: </w:t>
      </w:r>
      <w:r>
        <w:rPr>
          <w:rFonts w:ascii="Calibri" w:cs="Calibri" w:eastAsia="Calibri" w:hAnsi="Calibri"/>
          <w:sz w:val="22"/>
          <w:szCs w:val="22"/>
        </w:rPr>
        <w:t xml:space="preserve">heavy customisation makes upgrades harder, and ongoing support costs continue after go-live.</w:t>
      </w:r>
    </w:p>
    <w:p>
      <w:pPr>
        <w:spacing w:after="120" w:line="300"/>
      </w:pPr>
      <w:r>
        <w:rPr>
          <w:rFonts w:ascii="Calibri" w:cs="Calibri" w:eastAsia="Calibri" w:hAnsi="Calibri"/>
          <w:sz w:val="22"/>
          <w:szCs w:val="22"/>
        </w:rPr>
        <w:t xml:space="preserve">Challenges can be reduced through clear requirements, phased rollout, thorough testing, user training and strong management support.</w:t>
      </w:r>
    </w:p>
    <w:p>
      <w:pPr>
        <w:pStyle w:val="Heading1"/>
        <w:spacing w:after="120" w:before="300"/>
      </w:pPr>
      <w:r>
        <w:rPr>
          <w:rFonts w:ascii="Calibri" w:cs="Calibri" w:eastAsia="Calibri" w:hAnsi="Calibri"/>
          <w:b/>
          <w:bCs/>
          <w:color w:val="1F3864"/>
          <w:sz w:val="30"/>
          <w:szCs w:val="30"/>
        </w:rPr>
        <w:t xml:space="preserve">8. Conclusion</w:t>
      </w:r>
    </w:p>
    <w:p>
      <w:pPr>
        <w:spacing w:after="120" w:line="300"/>
      </w:pPr>
      <w:r>
        <w:rPr>
          <w:rFonts w:ascii="Calibri" w:cs="Calibri" w:eastAsia="Calibri" w:hAnsi="Calibri"/>
          <w:sz w:val="22"/>
          <w:szCs w:val="22"/>
        </w:rPr>
        <w:t xml:space="preserve">SAP FICO is the financial core of SAP. FI ensures accurate, compliant external reporting, while CO gives management the cost and profit insight to run the business. Its tight integration with MM, SD, PP and HR means financial data is posted automatically and consistently. Despite the cost and complexity of implementation, the accuracy, control and real-time visibility it provides make it a leading choice for organisations that want to manage finances at scale. Newer versions on SAP S/4HANA further simplify FICO by unifying FI and CO data in a single Universal Journal.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2026-10-04T16:49:14.657Z</dcterms:created>
  <dcterms:modified xsi:type="dcterms:W3CDTF">2026-10-04T16:49:14.663Z</dcterms:modified>
</cp:coreProperties>
</file>

<file path=docProps/custom.xml><?xml version="1.0" encoding="utf-8"?>
<Properties xmlns="http://schemas.openxmlformats.org/officeDocument/2006/custom-properties" xmlns:vt="http://schemas.openxmlformats.org/officeDocument/2006/docPropsVTypes"/>
</file>