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8"/>
          <w:szCs w:val="48"/>
        </w:rPr>
        <w:t xml:space="preserve">The Future of SAP FICO</w:t>
      </w:r>
    </w:p>
    <w:p>
      <w:pPr>
        <w:spacing w:after="400"/>
        <w:jc w:val="center"/>
      </w:pPr>
      <w:r>
        <w:rPr>
          <w:rFonts w:ascii="Calibri" w:cs="Calibri" w:eastAsia="Calibri" w:hAnsi="Calibri"/>
          <w:color w:val="555555"/>
          <w:sz w:val="24"/>
          <w:szCs w:val="24"/>
        </w:rPr>
        <w:t xml:space="preserve">Future Outlook: Research Findings and Personal Insights (Week 6 Task)</w:t>
      </w:r>
    </w:p>
    <w:p>
      <w:pPr>
        <w:pStyle w:val="Heading1"/>
        <w:spacing w:after="120" w:before="30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SAP FICO is changing. The traditional version, running on SAP ECC, is giving way to finance built on SAP S/4HANA, with cloud deployment, embedded analytics and artificial intelligence. This report examines how SAP FICO is evolving, the trends that will shape it, and what this means for businesses and for people who work with it. It ends with my own insights and recommendations.</w:t>
      </w:r>
    </w:p>
    <w:p>
      <w:pPr>
        <w:pStyle w:val="Heading1"/>
        <w:spacing w:after="120" w:before="300"/>
      </w:pPr>
      <w:r>
        <w:rPr>
          <w:rFonts w:ascii="Calibri" w:cs="Calibri" w:eastAsia="Calibri" w:hAnsi="Calibri"/>
          <w:b/>
          <w:bCs/>
          <w:color w:val="1F3864"/>
          <w:sz w:val="30"/>
          <w:szCs w:val="30"/>
        </w:rPr>
        <w:t xml:space="preserve">2. Where SAP FICO Stands Today</w:t>
      </w:r>
    </w:p>
    <w:p>
      <w:pPr>
        <w:spacing w:after="120" w:line="300"/>
      </w:pPr>
      <w:r>
        <w:rPr>
          <w:rFonts w:ascii="Calibri" w:cs="Calibri" w:eastAsia="Calibri" w:hAnsi="Calibri"/>
          <w:sz w:val="22"/>
          <w:szCs w:val="22"/>
        </w:rPr>
        <w:t xml:space="preserve">In classic SAP ERP (ECC), Financial Accounting and Controlling were separate modules with separate data stores, so teams had to reconcile them at each month-end. SAP S/4HANA removes much of this with the Universal Journal, a single table of line items that serves both FI and CO. Reporting runs on live data on the HANA in-memory database, and users work through the Fiori web interface. This is the base on which the future developments below are being built.</w:t>
      </w:r>
    </w:p>
    <w:p>
      <w:pPr>
        <w:pStyle w:val="Heading1"/>
        <w:spacing w:after="120" w:before="300"/>
      </w:pPr>
      <w:r>
        <w:rPr>
          <w:rFonts w:ascii="Calibri" w:cs="Calibri" w:eastAsia="Calibri" w:hAnsi="Calibri"/>
          <w:b/>
          <w:bCs/>
          <w:color w:val="1F3864"/>
          <w:sz w:val="30"/>
          <w:szCs w:val="30"/>
        </w:rPr>
        <w:t xml:space="preserve">3. The 2027 Deadline</w:t>
      </w:r>
    </w:p>
    <w:p>
      <w:pPr>
        <w:spacing w:after="120" w:line="300"/>
      </w:pPr>
      <w:r>
        <w:rPr>
          <w:rFonts w:ascii="Calibri" w:cs="Calibri" w:eastAsia="Calibri" w:hAnsi="Calibri"/>
          <w:sz w:val="22"/>
          <w:szCs w:val="22"/>
        </w:rPr>
        <w:t xml:space="preserve">The most important near-term event is the end of mainstream maintenance for SAP ECC. Sources report that this happens on 31 December 2027, with extended maintenance available until about 2030 at a higher cost. After mainstream support ends, standard maintenance and new security patches stop, and companies that stay must pay a premium. Reports differ on how large the premium is, so companies should confirm current terms with SAP.</w:t>
      </w:r>
    </w:p>
    <w:p>
      <w:pPr>
        <w:spacing w:after="120" w:line="300"/>
      </w:pPr>
      <w:r>
        <w:rPr>
          <w:rFonts w:ascii="Calibri" w:cs="Calibri" w:eastAsia="Calibri" w:hAnsi="Calibri"/>
          <w:sz w:val="22"/>
          <w:szCs w:val="22"/>
        </w:rPr>
        <w:t xml:space="preserve">This deadline is pushing many organisations to migrate their finance systems. Industry commentary notes that a large share of customers were still on ECC in recent years, which suggests that migration projects and demand for skilled FICO consultants will remain high through the end of the decade.</w:t>
      </w:r>
    </w:p>
    <w:p>
      <w:pPr>
        <w:pStyle w:val="Heading1"/>
        <w:spacing w:after="120" w:before="300"/>
      </w:pPr>
      <w:r>
        <w:rPr>
          <w:rFonts w:ascii="Calibri" w:cs="Calibri" w:eastAsia="Calibri" w:hAnsi="Calibri"/>
          <w:b/>
          <w:bCs/>
          <w:color w:val="1F3864"/>
          <w:sz w:val="30"/>
          <w:szCs w:val="30"/>
        </w:rPr>
        <w:t xml:space="preserve">4. Key Trends Shaping the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Trend</w:t>
            </w:r>
          </w:p>
        </w:tc>
        <w:tc>
          <w:tcPr>
            <w:tcW w:type="dxa" w:w="6860"/>
            <w:tcBorders>
              <w:top w:val="single" w:color="999999" w:sz="4"/>
              <w:left w:val="single" w:color="999999" w:sz="4"/>
              <w:bottom w:val="single" w:color="999999" w:sz="4"/>
              <w:right w:val="single" w:color="999999"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What it means for SAP FICO</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Artificial intelligence (Joule)</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SAP's AI assistant, Joule, is being embedded in S/4HANA finance. Reported uses include drafting journal entries, detecting anomalies in postings and summarising close status. SAP describes a move from an assistant that answers questions to agents that can carry out parts of a process.</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Cloud and RISE with SAP</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Finance is moving to cloud editions of S/4HANA and to the RISE with SAP bundle, where SAP provides the infrastructure and services. Many newer AI features are delivered first or only in the cloud.</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Clean core</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Companies are encouraged to keep the standard system free of heavy custom code and to put extensions on SAP Business Technology Platform (BTP). This makes upgrades easier.</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Real-time and continuous accounting</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Embedded analytics and the Universal Journal allow reporting at any time rather than only after month-end, and tools such as the financial close cockpit automate and monitor close tasks.</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Automation of routine work</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Intercompany reconciliation, clearing, accruals and close tasks are increasingly automated, reducing manual journal effort.</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Regulatory and e-invoicing requirements</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Governments are expanding digital tax and e-invoicing rules, so finance systems must update frequently. Cloud delivery makes these updates faster to apply.</w:t>
            </w:r>
          </w:p>
        </w:tc>
      </w:tr>
      <w:tr>
        <w:trPr>
          <w:tblHeader w:val="false"/>
        </w:trPr>
        <w:tc>
          <w:tcPr>
            <w:tcW w:type="dxa" w:w="2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Sustainability and integrated reporting</w:t>
            </w:r>
          </w:p>
        </w:tc>
        <w:tc>
          <w:tcPr>
            <w:tcW w:type="dxa" w:w="6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Companies are being asked to report environmental and financial data together, and finance teams increasingly handle this alongside financial reporting.</w:t>
            </w:r>
          </w:p>
        </w:tc>
      </w:tr>
    </w:tbl>
    <w:p>
      <w:pPr>
        <w:spacing w:after="60"/>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3864"/>
          <w:sz w:val="30"/>
          <w:szCs w:val="30"/>
        </w:rPr>
        <w:t xml:space="preserve">5. Impact on Businesses</w:t>
      </w:r>
    </w:p>
    <w:p>
      <w:pPr>
        <w:pStyle w:val="ListParagraph"/>
        <w:numPr>
          <w:ilvl w:val="0"/>
          <w:numId w:val="2"/>
        </w:numPr>
        <w:spacing w:after="80" w:line="290"/>
      </w:pPr>
      <w:r>
        <w:rPr>
          <w:rFonts w:ascii="Calibri" w:cs="Calibri" w:eastAsia="Calibri" w:hAnsi="Calibri"/>
          <w:b/>
          <w:bCs/>
          <w:sz w:val="22"/>
          <w:szCs w:val="22"/>
        </w:rPr>
        <w:t xml:space="preserve">Faster close and better decisions: </w:t>
      </w:r>
      <w:r>
        <w:rPr>
          <w:rFonts w:ascii="Calibri" w:cs="Calibri" w:eastAsia="Calibri" w:hAnsi="Calibri"/>
          <w:sz w:val="22"/>
          <w:szCs w:val="22"/>
        </w:rPr>
        <w:t xml:space="preserve">automation and live data shorten the close and give managers up-to-date figures.</w:t>
      </w:r>
    </w:p>
    <w:p>
      <w:pPr>
        <w:pStyle w:val="ListParagraph"/>
        <w:numPr>
          <w:ilvl w:val="0"/>
          <w:numId w:val="2"/>
        </w:numPr>
        <w:spacing w:after="80" w:line="290"/>
      </w:pPr>
      <w:r>
        <w:rPr>
          <w:rFonts w:ascii="Calibri" w:cs="Calibri" w:eastAsia="Calibri" w:hAnsi="Calibri"/>
          <w:b/>
          <w:bCs/>
          <w:sz w:val="22"/>
          <w:szCs w:val="22"/>
        </w:rPr>
        <w:t xml:space="preserve">Lower manual effort: </w:t>
      </w:r>
      <w:r>
        <w:rPr>
          <w:rFonts w:ascii="Calibri" w:cs="Calibri" w:eastAsia="Calibri" w:hAnsi="Calibri"/>
          <w:sz w:val="22"/>
          <w:szCs w:val="22"/>
        </w:rPr>
        <w:t xml:space="preserve">AI and automation take over repetitive journal and reconciliation work, so finance staff spend more time on analysis.</w:t>
      </w:r>
    </w:p>
    <w:p>
      <w:pPr>
        <w:pStyle w:val="ListParagraph"/>
        <w:numPr>
          <w:ilvl w:val="0"/>
          <w:numId w:val="2"/>
        </w:numPr>
        <w:spacing w:after="80" w:line="290"/>
      </w:pPr>
      <w:r>
        <w:rPr>
          <w:rFonts w:ascii="Calibri" w:cs="Calibri" w:eastAsia="Calibri" w:hAnsi="Calibri"/>
          <w:b/>
          <w:bCs/>
          <w:sz w:val="22"/>
          <w:szCs w:val="22"/>
        </w:rPr>
        <w:t xml:space="preserve">Stronger control: </w:t>
      </w:r>
      <w:r>
        <w:rPr>
          <w:rFonts w:ascii="Calibri" w:cs="Calibri" w:eastAsia="Calibri" w:hAnsi="Calibri"/>
          <w:sz w:val="22"/>
          <w:szCs w:val="22"/>
        </w:rPr>
        <w:t xml:space="preserve">AI-based anomaly detection can flag unusual postings sooner than periodic review.</w:t>
      </w:r>
    </w:p>
    <w:p>
      <w:pPr>
        <w:pStyle w:val="ListParagraph"/>
        <w:numPr>
          <w:ilvl w:val="0"/>
          <w:numId w:val="2"/>
        </w:numPr>
        <w:spacing w:after="80" w:line="290"/>
      </w:pPr>
      <w:r>
        <w:rPr>
          <w:rFonts w:ascii="Calibri" w:cs="Calibri" w:eastAsia="Calibri" w:hAnsi="Calibri"/>
          <w:b/>
          <w:bCs/>
          <w:sz w:val="22"/>
          <w:szCs w:val="22"/>
        </w:rPr>
        <w:t xml:space="preserve">Lower long-term maintenance cost: </w:t>
      </w:r>
      <w:r>
        <w:rPr>
          <w:rFonts w:ascii="Calibri" w:cs="Calibri" w:eastAsia="Calibri" w:hAnsi="Calibri"/>
          <w:sz w:val="22"/>
          <w:szCs w:val="22"/>
        </w:rPr>
        <w:t xml:space="preserve">a simpler, cleaner system is cheaper to upgrade, though the migration itself is a major investment.</w:t>
      </w:r>
    </w:p>
    <w:p>
      <w:pPr>
        <w:pStyle w:val="ListParagraph"/>
        <w:numPr>
          <w:ilvl w:val="0"/>
          <w:numId w:val="2"/>
        </w:numPr>
        <w:spacing w:after="80" w:line="290"/>
      </w:pPr>
      <w:r>
        <w:rPr>
          <w:rFonts w:ascii="Calibri" w:cs="Calibri" w:eastAsia="Calibri" w:hAnsi="Calibri"/>
          <w:b/>
          <w:bCs/>
          <w:sz w:val="22"/>
          <w:szCs w:val="22"/>
        </w:rPr>
        <w:t xml:space="preserve">Easier compliance: </w:t>
      </w:r>
      <w:r>
        <w:rPr>
          <w:rFonts w:ascii="Calibri" w:cs="Calibri" w:eastAsia="Calibri" w:hAnsi="Calibri"/>
          <w:sz w:val="22"/>
          <w:szCs w:val="22"/>
        </w:rPr>
        <w:t xml:space="preserve">regular cloud updates help keep up with changing tax and reporting rules.</w:t>
      </w:r>
    </w:p>
    <w:p>
      <w:pPr>
        <w:pStyle w:val="Heading1"/>
        <w:spacing w:after="120" w:before="300"/>
      </w:pPr>
      <w:r>
        <w:rPr>
          <w:rFonts w:ascii="Calibri" w:cs="Calibri" w:eastAsia="Calibri" w:hAnsi="Calibri"/>
          <w:b/>
          <w:bCs/>
          <w:color w:val="1F3864"/>
          <w:sz w:val="30"/>
          <w:szCs w:val="30"/>
        </w:rPr>
        <w:t xml:space="preserve">6. Challenges and Risks</w:t>
      </w:r>
    </w:p>
    <w:p>
      <w:pPr>
        <w:pStyle w:val="ListParagraph"/>
        <w:numPr>
          <w:ilvl w:val="0"/>
          <w:numId w:val="2"/>
        </w:numPr>
        <w:spacing w:after="80" w:line="290"/>
      </w:pPr>
      <w:r>
        <w:rPr>
          <w:rFonts w:ascii="Calibri" w:cs="Calibri" w:eastAsia="Calibri" w:hAnsi="Calibri"/>
          <w:b/>
          <w:bCs/>
          <w:sz w:val="22"/>
          <w:szCs w:val="22"/>
        </w:rPr>
        <w:t xml:space="preserve">Migration cost and complexity: </w:t>
      </w:r>
      <w:r>
        <w:rPr>
          <w:rFonts w:ascii="Calibri" w:cs="Calibri" w:eastAsia="Calibri" w:hAnsi="Calibri"/>
          <w:sz w:val="22"/>
          <w:szCs w:val="22"/>
        </w:rPr>
        <w:t xml:space="preserve">moving from ECC involves data cleaning, redesigning custom code and retraining users.</w:t>
      </w:r>
    </w:p>
    <w:p>
      <w:pPr>
        <w:pStyle w:val="ListParagraph"/>
        <w:numPr>
          <w:ilvl w:val="0"/>
          <w:numId w:val="2"/>
        </w:numPr>
        <w:spacing w:after="80" w:line="290"/>
      </w:pPr>
      <w:r>
        <w:rPr>
          <w:rFonts w:ascii="Calibri" w:cs="Calibri" w:eastAsia="Calibri" w:hAnsi="Calibri"/>
          <w:b/>
          <w:bCs/>
          <w:sz w:val="22"/>
          <w:szCs w:val="22"/>
        </w:rPr>
        <w:t xml:space="preserve">Data quality: </w:t>
      </w:r>
      <w:r>
        <w:rPr>
          <w:rFonts w:ascii="Calibri" w:cs="Calibri" w:eastAsia="Calibri" w:hAnsi="Calibri"/>
          <w:sz w:val="22"/>
          <w:szCs w:val="22"/>
        </w:rPr>
        <w:t xml:space="preserve">AI and analytics produce poor results if master data and postings are unreliable.</w:t>
      </w:r>
    </w:p>
    <w:p>
      <w:pPr>
        <w:pStyle w:val="ListParagraph"/>
        <w:numPr>
          <w:ilvl w:val="0"/>
          <w:numId w:val="2"/>
        </w:numPr>
        <w:spacing w:after="80" w:line="290"/>
      </w:pPr>
      <w:r>
        <w:rPr>
          <w:rFonts w:ascii="Calibri" w:cs="Calibri" w:eastAsia="Calibri" w:hAnsi="Calibri"/>
          <w:b/>
          <w:bCs/>
          <w:sz w:val="22"/>
          <w:szCs w:val="22"/>
        </w:rPr>
        <w:t xml:space="preserve">Business case for AI: </w:t>
      </w:r>
      <w:r>
        <w:rPr>
          <w:rFonts w:ascii="Calibri" w:cs="Calibri" w:eastAsia="Calibri" w:hAnsi="Calibri"/>
          <w:sz w:val="22"/>
          <w:szCs w:val="22"/>
        </w:rPr>
        <w:t xml:space="preserve">surveys of SAP users report that many organisations still struggle to define a clear business case for AI.</w:t>
      </w:r>
    </w:p>
    <w:p>
      <w:pPr>
        <w:pStyle w:val="ListParagraph"/>
        <w:numPr>
          <w:ilvl w:val="0"/>
          <w:numId w:val="2"/>
        </w:numPr>
        <w:spacing w:after="80" w:line="290"/>
      </w:pPr>
      <w:r>
        <w:rPr>
          <w:rFonts w:ascii="Calibri" w:cs="Calibri" w:eastAsia="Calibri" w:hAnsi="Calibri"/>
          <w:b/>
          <w:bCs/>
          <w:sz w:val="22"/>
          <w:szCs w:val="22"/>
        </w:rPr>
        <w:t xml:space="preserve">Trust and governance: </w:t>
      </w:r>
      <w:r>
        <w:rPr>
          <w:rFonts w:ascii="Calibri" w:cs="Calibri" w:eastAsia="Calibri" w:hAnsi="Calibri"/>
          <w:sz w:val="22"/>
          <w:szCs w:val="22"/>
        </w:rPr>
        <w:t xml:space="preserve">automated postings need audit trails, human approval where needed, and clear accountability.</w:t>
      </w:r>
    </w:p>
    <w:p>
      <w:pPr>
        <w:pStyle w:val="ListParagraph"/>
        <w:numPr>
          <w:ilvl w:val="0"/>
          <w:numId w:val="2"/>
        </w:numPr>
        <w:spacing w:after="80" w:line="290"/>
      </w:pPr>
      <w:r>
        <w:rPr>
          <w:rFonts w:ascii="Calibri" w:cs="Calibri" w:eastAsia="Calibri" w:hAnsi="Calibri"/>
          <w:b/>
          <w:bCs/>
          <w:sz w:val="22"/>
          <w:szCs w:val="22"/>
        </w:rPr>
        <w:t xml:space="preserve">Vendor dependence and cloud-only features: </w:t>
      </w:r>
      <w:r>
        <w:rPr>
          <w:rFonts w:ascii="Calibri" w:cs="Calibri" w:eastAsia="Calibri" w:hAnsi="Calibri"/>
          <w:sz w:val="22"/>
          <w:szCs w:val="22"/>
        </w:rPr>
        <w:t xml:space="preserve">user groups have criticised SAP for offering new AI innovation mainly in the cloud, which limits options for companies that stay on-premise.</w:t>
      </w:r>
    </w:p>
    <w:p>
      <w:pPr>
        <w:pStyle w:val="ListParagraph"/>
        <w:numPr>
          <w:ilvl w:val="0"/>
          <w:numId w:val="2"/>
        </w:numPr>
        <w:spacing w:after="80" w:line="290"/>
      </w:pPr>
      <w:r>
        <w:rPr>
          <w:rFonts w:ascii="Calibri" w:cs="Calibri" w:eastAsia="Calibri" w:hAnsi="Calibri"/>
          <w:b/>
          <w:bCs/>
          <w:sz w:val="22"/>
          <w:szCs w:val="22"/>
        </w:rPr>
        <w:t xml:space="preserve">Skills gap: </w:t>
      </w:r>
      <w:r>
        <w:rPr>
          <w:rFonts w:ascii="Calibri" w:cs="Calibri" w:eastAsia="Calibri" w:hAnsi="Calibri"/>
          <w:sz w:val="22"/>
          <w:szCs w:val="22"/>
        </w:rPr>
        <w:t xml:space="preserve">consultants must now combine accounting knowledge with cloud, data and AI skills, while experts in older, highly customised systems become scarcer.</w:t>
      </w:r>
    </w:p>
    <w:p>
      <w:pPr>
        <w:pStyle w:val="Heading1"/>
        <w:spacing w:after="120" w:before="300"/>
      </w:pPr>
      <w:r>
        <w:rPr>
          <w:rFonts w:ascii="Calibri" w:cs="Calibri" w:eastAsia="Calibri" w:hAnsi="Calibri"/>
          <w:b/>
          <w:bCs/>
          <w:color w:val="1F3864"/>
          <w:sz w:val="30"/>
          <w:szCs w:val="30"/>
        </w:rPr>
        <w:t xml:space="preserve">7. Impact on Careers and Skills</w:t>
      </w:r>
    </w:p>
    <w:p>
      <w:pPr>
        <w:spacing w:after="120" w:line="300"/>
      </w:pPr>
      <w:r>
        <w:rPr>
          <w:rFonts w:ascii="Calibri" w:cs="Calibri" w:eastAsia="Calibri" w:hAnsi="Calibri"/>
          <w:sz w:val="22"/>
          <w:szCs w:val="22"/>
        </w:rPr>
        <w:t xml:space="preserve">The role of the FICO professional is shifting from configuring accounts and running reports towards designing automated, data-driven finance processes. The most valuable skills in the coming years are likely to be:</w:t>
      </w:r>
    </w:p>
    <w:p>
      <w:pPr>
        <w:pStyle w:val="ListParagraph"/>
        <w:numPr>
          <w:ilvl w:val="0"/>
          <w:numId w:val="2"/>
        </w:numPr>
        <w:spacing w:after="80" w:line="290"/>
      </w:pPr>
      <w:r>
        <w:rPr>
          <w:rFonts w:ascii="Calibri" w:cs="Calibri" w:eastAsia="Calibri" w:hAnsi="Calibri"/>
          <w:sz w:val="22"/>
          <w:szCs w:val="22"/>
        </w:rPr>
        <w:t xml:space="preserve">Strong accounting fundamentals, since AI cannot replace judgement about how a transaction should be treated.</w:t>
      </w:r>
    </w:p>
    <w:p>
      <w:pPr>
        <w:pStyle w:val="ListParagraph"/>
        <w:numPr>
          <w:ilvl w:val="0"/>
          <w:numId w:val="2"/>
        </w:numPr>
        <w:spacing w:after="80" w:line="290"/>
      </w:pPr>
      <w:r>
        <w:rPr>
          <w:rFonts w:ascii="Calibri" w:cs="Calibri" w:eastAsia="Calibri" w:hAnsi="Calibri"/>
          <w:sz w:val="22"/>
          <w:szCs w:val="22"/>
        </w:rPr>
        <w:t xml:space="preserve">S/4HANA finance knowledge: Universal Journal, Fiori apps, Group Reporting and the financial close cockpit.</w:t>
      </w:r>
    </w:p>
    <w:p>
      <w:pPr>
        <w:pStyle w:val="ListParagraph"/>
        <w:numPr>
          <w:ilvl w:val="0"/>
          <w:numId w:val="2"/>
        </w:numPr>
        <w:spacing w:after="80" w:line="290"/>
      </w:pPr>
      <w:r>
        <w:rPr>
          <w:rFonts w:ascii="Calibri" w:cs="Calibri" w:eastAsia="Calibri" w:hAnsi="Calibri"/>
          <w:sz w:val="22"/>
          <w:szCs w:val="22"/>
        </w:rPr>
        <w:t xml:space="preserve">Data and analytics skills, such as embedded analytics and SAP Analytics Cloud.</w:t>
      </w:r>
    </w:p>
    <w:p>
      <w:pPr>
        <w:pStyle w:val="ListParagraph"/>
        <w:numPr>
          <w:ilvl w:val="0"/>
          <w:numId w:val="2"/>
        </w:numPr>
        <w:spacing w:after="80" w:line="290"/>
      </w:pPr>
      <w:r>
        <w:rPr>
          <w:rFonts w:ascii="Calibri" w:cs="Calibri" w:eastAsia="Calibri" w:hAnsi="Calibri"/>
          <w:sz w:val="22"/>
          <w:szCs w:val="22"/>
        </w:rPr>
        <w:t xml:space="preserve">Familiarity with AI tools such as Joule and with controls and governance for automated processes.</w:t>
      </w:r>
    </w:p>
    <w:p>
      <w:pPr>
        <w:pStyle w:val="ListParagraph"/>
        <w:numPr>
          <w:ilvl w:val="0"/>
          <w:numId w:val="2"/>
        </w:numPr>
        <w:spacing w:after="80" w:line="290"/>
      </w:pPr>
      <w:r>
        <w:rPr>
          <w:rFonts w:ascii="Calibri" w:cs="Calibri" w:eastAsia="Calibri" w:hAnsi="Calibri"/>
          <w:sz w:val="22"/>
          <w:szCs w:val="22"/>
        </w:rPr>
        <w:t xml:space="preserve">Basic understanding of cloud deployment and BTP extensions.</w:t>
      </w:r>
    </w:p>
    <w:p>
      <w:pPr>
        <w:pStyle w:val="Heading1"/>
        <w:spacing w:after="120" w:before="300"/>
      </w:pPr>
      <w:r>
        <w:rPr>
          <w:rFonts w:ascii="Calibri" w:cs="Calibri" w:eastAsia="Calibri" w:hAnsi="Calibri"/>
          <w:b/>
          <w:bCs/>
          <w:color w:val="1F3864"/>
          <w:sz w:val="30"/>
          <w:szCs w:val="30"/>
        </w:rPr>
        <w:t xml:space="preserve">8. Personal Insights</w:t>
      </w:r>
    </w:p>
    <w:p>
      <w:pPr>
        <w:spacing w:after="120" w:line="300"/>
      </w:pPr>
      <w:r>
        <w:rPr>
          <w:rFonts w:ascii="Calibri" w:cs="Calibri" w:eastAsia="Calibri" w:hAnsi="Calibri"/>
          <w:sz w:val="22"/>
          <w:szCs w:val="22"/>
        </w:rPr>
        <w:t xml:space="preserve">From this research, I draw the following conclusions. They are my own interpretation, not statements from a source.</w:t>
      </w:r>
    </w:p>
    <w:p>
      <w:pPr>
        <w:pStyle w:val="ListParagraph"/>
        <w:numPr>
          <w:ilvl w:val="0"/>
          <w:numId w:val="2"/>
        </w:numPr>
        <w:spacing w:after="80" w:line="290"/>
      </w:pPr>
      <w:r>
        <w:rPr>
          <w:rFonts w:ascii="Calibri" w:cs="Calibri" w:eastAsia="Calibri" w:hAnsi="Calibri"/>
          <w:b/>
          <w:bCs/>
          <w:sz w:val="22"/>
          <w:szCs w:val="22"/>
        </w:rPr>
        <w:t xml:space="preserve">Accounting knowledge will matter more, not less. </w:t>
      </w:r>
      <w:r>
        <w:rPr>
          <w:rFonts w:ascii="Calibri" w:cs="Calibri" w:eastAsia="Calibri" w:hAnsi="Calibri"/>
          <w:sz w:val="22"/>
          <w:szCs w:val="22"/>
        </w:rPr>
        <w:t xml:space="preserve">As systems automate postings, someone must still decide whether the output is correct. A professional who understands both accounting and the system will be more useful than one who knows only transaction codes.</w:t>
      </w:r>
    </w:p>
    <w:p>
      <w:pPr>
        <w:pStyle w:val="ListParagraph"/>
        <w:numPr>
          <w:ilvl w:val="0"/>
          <w:numId w:val="2"/>
        </w:numPr>
        <w:spacing w:after="80" w:line="290"/>
      </w:pPr>
      <w:r>
        <w:rPr>
          <w:rFonts w:ascii="Calibri" w:cs="Calibri" w:eastAsia="Calibri" w:hAnsi="Calibri"/>
          <w:b/>
          <w:bCs/>
          <w:sz w:val="22"/>
          <w:szCs w:val="22"/>
        </w:rPr>
        <w:t xml:space="preserve">The 2027 deadline is an opportunity as well as a risk. </w:t>
      </w:r>
      <w:r>
        <w:rPr>
          <w:rFonts w:ascii="Calibri" w:cs="Calibri" w:eastAsia="Calibri" w:hAnsi="Calibri"/>
          <w:sz w:val="22"/>
          <w:szCs w:val="22"/>
        </w:rPr>
        <w:t xml:space="preserve">Companies that treat migration as a chance to simplify processes and clean their data will benefit more than those that simply move old problems to a new system.</w:t>
      </w:r>
    </w:p>
    <w:p>
      <w:pPr>
        <w:pStyle w:val="ListParagraph"/>
        <w:numPr>
          <w:ilvl w:val="0"/>
          <w:numId w:val="2"/>
        </w:numPr>
        <w:spacing w:after="80" w:line="290"/>
      </w:pPr>
      <w:r>
        <w:rPr>
          <w:rFonts w:ascii="Calibri" w:cs="Calibri" w:eastAsia="Calibri" w:hAnsi="Calibri"/>
          <w:b/>
          <w:bCs/>
          <w:sz w:val="22"/>
          <w:szCs w:val="22"/>
        </w:rPr>
        <w:t xml:space="preserve">AI will help most where the process is already standardised. </w:t>
      </w:r>
      <w:r>
        <w:rPr>
          <w:rFonts w:ascii="Calibri" w:cs="Calibri" w:eastAsia="Calibri" w:hAnsi="Calibri"/>
          <w:sz w:val="22"/>
          <w:szCs w:val="22"/>
        </w:rPr>
        <w:t xml:space="preserve">Automation works best on repetitive, rule-based tasks such as reconciliations and journal entries. It will help less in areas that vary widely from case to case.</w:t>
      </w:r>
    </w:p>
    <w:p>
      <w:pPr>
        <w:pStyle w:val="ListParagraph"/>
        <w:numPr>
          <w:ilvl w:val="0"/>
          <w:numId w:val="2"/>
        </w:numPr>
        <w:spacing w:after="80" w:line="290"/>
      </w:pPr>
      <w:r>
        <w:rPr>
          <w:rFonts w:ascii="Calibri" w:cs="Calibri" w:eastAsia="Calibri" w:hAnsi="Calibri"/>
          <w:b/>
          <w:bCs/>
          <w:sz w:val="22"/>
          <w:szCs w:val="22"/>
        </w:rPr>
        <w:t xml:space="preserve">Control and transparency must grow with automation. </w:t>
      </w:r>
      <w:r>
        <w:rPr>
          <w:rFonts w:ascii="Calibri" w:cs="Calibri" w:eastAsia="Calibri" w:hAnsi="Calibri"/>
          <w:sz w:val="22"/>
          <w:szCs w:val="22"/>
        </w:rPr>
        <w:t xml:space="preserve">Every automated posting needs an explanation and an owner. Auditors and regulators will expect this.</w:t>
      </w:r>
    </w:p>
    <w:p>
      <w:pPr>
        <w:pStyle w:val="ListParagraph"/>
        <w:numPr>
          <w:ilvl w:val="0"/>
          <w:numId w:val="2"/>
        </w:numPr>
        <w:spacing w:after="80" w:line="290"/>
      </w:pPr>
      <w:r>
        <w:rPr>
          <w:rFonts w:ascii="Calibri" w:cs="Calibri" w:eastAsia="Calibri" w:hAnsi="Calibri"/>
          <w:b/>
          <w:bCs/>
          <w:sz w:val="22"/>
          <w:szCs w:val="22"/>
        </w:rPr>
        <w:t xml:space="preserve">Beginners should learn S/4HANA now. </w:t>
      </w:r>
      <w:r>
        <w:rPr>
          <w:rFonts w:ascii="Calibri" w:cs="Calibri" w:eastAsia="Calibri" w:hAnsi="Calibri"/>
          <w:sz w:val="22"/>
          <w:szCs w:val="22"/>
        </w:rPr>
        <w:t xml:space="preserve">Since new projects increasingly use S/4HANA and Fiori, learning those, along with the basic FICO concepts, is a better investment than studying only the older ECC screens.</w:t>
      </w:r>
    </w:p>
    <w:p>
      <w:pPr>
        <w:pStyle w:val="Heading1"/>
        <w:spacing w:after="120" w:before="300"/>
      </w:pPr>
      <w:r>
        <w:rPr>
          <w:rFonts w:ascii="Calibri" w:cs="Calibri" w:eastAsia="Calibri" w:hAnsi="Calibri"/>
          <w:b/>
          <w:bCs/>
          <w:color w:val="1F3864"/>
          <w:sz w:val="30"/>
          <w:szCs w:val="30"/>
        </w:rPr>
        <w:t xml:space="preserve">9. Recommendations for Businesses</w:t>
      </w:r>
    </w:p>
    <w:p>
      <w:pPr>
        <w:pStyle w:val="ListParagraph"/>
        <w:numPr>
          <w:ilvl w:val="0"/>
          <w:numId w:val="2"/>
        </w:numPr>
        <w:spacing w:after="80" w:line="290"/>
      </w:pPr>
      <w:r>
        <w:rPr>
          <w:rFonts w:ascii="Calibri" w:cs="Calibri" w:eastAsia="Calibri" w:hAnsi="Calibri"/>
          <w:sz w:val="22"/>
          <w:szCs w:val="22"/>
        </w:rPr>
        <w:t xml:space="preserve">Plan the move from ECC early, and decide whether to migrate in one step or in phases.</w:t>
      </w:r>
    </w:p>
    <w:p>
      <w:pPr>
        <w:pStyle w:val="ListParagraph"/>
        <w:numPr>
          <w:ilvl w:val="0"/>
          <w:numId w:val="2"/>
        </w:numPr>
        <w:spacing w:after="80" w:line="290"/>
      </w:pPr>
      <w:r>
        <w:rPr>
          <w:rFonts w:ascii="Calibri" w:cs="Calibri" w:eastAsia="Calibri" w:hAnsi="Calibri"/>
          <w:sz w:val="22"/>
          <w:szCs w:val="22"/>
        </w:rPr>
        <w:t xml:space="preserve">Clean master data and simplify processes before migration.</w:t>
      </w:r>
    </w:p>
    <w:p>
      <w:pPr>
        <w:pStyle w:val="ListParagraph"/>
        <w:numPr>
          <w:ilvl w:val="0"/>
          <w:numId w:val="2"/>
        </w:numPr>
        <w:spacing w:after="80" w:line="290"/>
      </w:pPr>
      <w:r>
        <w:rPr>
          <w:rFonts w:ascii="Calibri" w:cs="Calibri" w:eastAsia="Calibri" w:hAnsi="Calibri"/>
          <w:sz w:val="22"/>
          <w:szCs w:val="22"/>
        </w:rPr>
        <w:t xml:space="preserve">Keep custom code to a minimum and place extensions outside the core system.</w:t>
      </w:r>
    </w:p>
    <w:p>
      <w:pPr>
        <w:pStyle w:val="ListParagraph"/>
        <w:numPr>
          <w:ilvl w:val="0"/>
          <w:numId w:val="2"/>
        </w:numPr>
        <w:spacing w:after="80" w:line="290"/>
      </w:pPr>
      <w:r>
        <w:rPr>
          <w:rFonts w:ascii="Calibri" w:cs="Calibri" w:eastAsia="Calibri" w:hAnsi="Calibri"/>
          <w:sz w:val="22"/>
          <w:szCs w:val="22"/>
        </w:rPr>
        <w:t xml:space="preserve">Start with small AI pilots in finance, such as anomaly detection or journal drafting, and measure the results.</w:t>
      </w:r>
    </w:p>
    <w:p>
      <w:pPr>
        <w:pStyle w:val="ListParagraph"/>
        <w:numPr>
          <w:ilvl w:val="0"/>
          <w:numId w:val="2"/>
        </w:numPr>
        <w:spacing w:after="80" w:line="290"/>
      </w:pPr>
      <w:r>
        <w:rPr>
          <w:rFonts w:ascii="Calibri" w:cs="Calibri" w:eastAsia="Calibri" w:hAnsi="Calibri"/>
          <w:sz w:val="22"/>
          <w:szCs w:val="22"/>
        </w:rPr>
        <w:t xml:space="preserve">Build governance: approvals, audit trails and clear ownership for automated processes.</w:t>
      </w:r>
    </w:p>
    <w:p>
      <w:pPr>
        <w:pStyle w:val="ListParagraph"/>
        <w:numPr>
          <w:ilvl w:val="0"/>
          <w:numId w:val="2"/>
        </w:numPr>
        <w:spacing w:after="80" w:line="290"/>
      </w:pPr>
      <w:r>
        <w:rPr>
          <w:rFonts w:ascii="Calibri" w:cs="Calibri" w:eastAsia="Calibri" w:hAnsi="Calibri"/>
          <w:sz w:val="22"/>
          <w:szCs w:val="22"/>
        </w:rPr>
        <w:t xml:space="preserve">Train finance staff in the new tools and in data skills.</w:t>
      </w:r>
    </w:p>
    <w:p>
      <w:pPr>
        <w:pStyle w:val="Heading1"/>
        <w:spacing w:after="120" w:before="300"/>
      </w:pPr>
      <w:r>
        <w:rPr>
          <w:rFonts w:ascii="Calibri" w:cs="Calibri" w:eastAsia="Calibri" w:hAnsi="Calibri"/>
          <w:b/>
          <w:bCs/>
          <w:color w:val="1F3864"/>
          <w:sz w:val="30"/>
          <w:szCs w:val="30"/>
        </w:rPr>
        <w:t xml:space="preserve">10. Conclusion</w:t>
      </w:r>
    </w:p>
    <w:p>
      <w:pPr>
        <w:spacing w:after="120" w:line="300"/>
      </w:pPr>
      <w:r>
        <w:rPr>
          <w:rFonts w:ascii="Calibri" w:cs="Calibri" w:eastAsia="Calibri" w:hAnsi="Calibri"/>
          <w:sz w:val="22"/>
          <w:szCs w:val="22"/>
        </w:rPr>
        <w:t xml:space="preserve">SAP FICO is moving from a system for recording and reporting transactions to an intelligent, real-time finance platform. S/4HANA and the Universal Journal provide the technical base, the 2027 ECC deadline is forcing change, and AI through Joule promises more automation and earlier detection of problems. Businesses that prepare their data, processes and people will gain faster closes, better insight and stronger control. For students and new consultants, the best preparation is a solid grounding in accounting combined with practical knowledge of S/4HANA, analytics and AI-assisted finance.</w:t>
      </w:r>
    </w:p>
    <w:p>
      <w:pPr>
        <w:pStyle w:val="Heading1"/>
        <w:spacing w:after="120" w:before="300"/>
      </w:pPr>
      <w:r>
        <w:rPr>
          <w:rFonts w:ascii="Calibri" w:cs="Calibri" w:eastAsia="Calibri" w:hAnsi="Calibri"/>
          <w:b/>
          <w:bCs/>
          <w:color w:val="1F3864"/>
          <w:sz w:val="30"/>
          <w:szCs w:val="30"/>
        </w:rPr>
        <w:t xml:space="preserve">References</w:t>
      </w:r>
    </w:p>
    <w:p>
      <w:pPr>
        <w:pStyle w:val="ListParagraph"/>
        <w:numPr>
          <w:ilvl w:val="0"/>
          <w:numId w:val="2"/>
        </w:numPr>
        <w:spacing w:after="80" w:line="290"/>
      </w:pPr>
      <w:r>
        <w:rPr>
          <w:rFonts w:ascii="Calibri" w:cs="Calibri" w:eastAsia="Calibri" w:hAnsi="Calibri"/>
          <w:sz w:val="22"/>
          <w:szCs w:val="22"/>
        </w:rPr>
        <w:t xml:space="preserve">SAPinsider, SAP S/4HANA Finance topic page (sapinsider.org): ECC maintenance timeline and embedded AI features in S/4HANA 2025.</w:t>
      </w:r>
    </w:p>
    <w:p>
      <w:pPr>
        <w:pStyle w:val="ListParagraph"/>
        <w:numPr>
          <w:ilvl w:val="0"/>
          <w:numId w:val="2"/>
        </w:numPr>
        <w:spacing w:after="80" w:line="290"/>
      </w:pPr>
      <w:r>
        <w:rPr>
          <w:rFonts w:ascii="Calibri" w:cs="Calibri" w:eastAsia="Calibri" w:hAnsi="Calibri"/>
          <w:sz w:val="22"/>
          <w:szCs w:val="22"/>
        </w:rPr>
        <w:t xml:space="preserve">SAPinsider, 'Are still on ECC' article (sapinsider.org): ECC maintenance end date, extended maintenance to 2030, and S/4HANA 2025 AI features.</w:t>
      </w:r>
    </w:p>
    <w:p>
      <w:pPr>
        <w:pStyle w:val="ListParagraph"/>
        <w:numPr>
          <w:ilvl w:val="0"/>
          <w:numId w:val="2"/>
        </w:numPr>
        <w:spacing w:after="80" w:line="290"/>
      </w:pPr>
      <w:r>
        <w:rPr>
          <w:rFonts w:ascii="Calibri" w:cs="Calibri" w:eastAsia="Calibri" w:hAnsi="Calibri"/>
          <w:sz w:val="22"/>
          <w:szCs w:val="22"/>
        </w:rPr>
        <w:t xml:space="preserve">The Register, 'SAP ECC support deadline' (theregister.com, 2024): extended support terms and user group views on AI in the cloud.</w:t>
      </w:r>
    </w:p>
    <w:p>
      <w:pPr>
        <w:pStyle w:val="ListParagraph"/>
        <w:numPr>
          <w:ilvl w:val="0"/>
          <w:numId w:val="2"/>
        </w:numPr>
        <w:spacing w:after="80" w:line="290"/>
      </w:pPr>
      <w:r>
        <w:rPr>
          <w:rFonts w:ascii="Calibri" w:cs="Calibri" w:eastAsia="Calibri" w:hAnsi="Calibri"/>
          <w:sz w:val="22"/>
          <w:szCs w:val="22"/>
        </w:rPr>
        <w:t xml:space="preserve">Surety Systems, S/4HANA optimization playbook (suretysystems.com): finance updates, Joule and RISE with SAP.</w:t>
      </w:r>
    </w:p>
    <w:p>
      <w:pPr>
        <w:pStyle w:val="ListParagraph"/>
        <w:numPr>
          <w:ilvl w:val="0"/>
          <w:numId w:val="2"/>
        </w:numPr>
        <w:spacing w:after="80" w:line="290"/>
      </w:pPr>
      <w:r>
        <w:rPr>
          <w:rFonts w:ascii="Calibri" w:cs="Calibri" w:eastAsia="Calibri" w:hAnsi="Calibri"/>
          <w:sz w:val="22"/>
          <w:szCs w:val="22"/>
        </w:rPr>
        <w:t xml:space="preserve">SAP Press blog, 'AI-driven autonomous SAP operations' (blog.sap-press.com): AI direction and the 2027 deadline.</w:t>
      </w:r>
    </w:p>
    <w:p>
      <w:pPr>
        <w:spacing w:after="120" w:before="120"/>
      </w:pPr>
      <w:r>
        <w:rPr>
          <w:rFonts w:ascii="Calibri" w:cs="Calibri" w:eastAsia="Calibri" w:hAnsi="Calibri"/>
          <w:sz w:val="22"/>
          <w:szCs w:val="22"/>
        </w:rPr>
        <w:t xml:space="preserve">Dates, product names and features in this area change quickly. Please check SAP's official announcements (sap.com, help.sap.com) before relying on any specific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2026-10-04T17:35:39.229Z</dcterms:created>
  <dcterms:modified xsi:type="dcterms:W3CDTF">2026-10-04T17:35:39.234Z</dcterms:modified>
</cp:coreProperties>
</file>

<file path=docProps/custom.xml><?xml version="1.0" encoding="utf-8"?>
<Properties xmlns="http://schemas.openxmlformats.org/officeDocument/2006/custom-properties" xmlns:vt="http://schemas.openxmlformats.org/officeDocument/2006/docPropsVTypes"/>
</file>