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2 - Ordre de jeu et choix de gamme</w:t>
      </w:r>
    </w:p>
    <w:p>
      <w:pPr>
        <w:spacing w:after="100"/>
        <w:jc w:val="center"/>
      </w:pPr>
      <w:r>
        <w:rPr>
          <w:i/>
          <w:iCs/>
        </w:rPr>
        <w:t xml:space="preserve">Étape 2.3 : interprétation et vérification rapide</w:t>
      </w:r>
    </w:p>
    <w:p>
      <w:pPr>
        <w:spacing w:after="300"/>
        <w:jc w:val="center"/>
      </w:pPr>
      <w:r>
        <w:t xml:space="preserve">Habiba Daïrou</w:t>
      </w:r>
    </w:p>
    <w:p>
      <w:pPr>
        <w:pStyle w:val="Heading1"/>
        <w:spacing w:after="160" w:before="300"/>
      </w:pPr>
      <w:r>
        <w:t xml:space="preserve">Étape 2.3 - Interpréter</w:t>
      </w:r>
    </w:p>
    <w:p>
      <w:pPr>
        <w:spacing w:after="80" w:before="180"/>
      </w:pPr>
      <w:r>
        <w:rPr>
          <w:b/>
          <w:bCs/>
        </w:rPr>
        <w:t xml:space="preserve">1. Quelle valeur de c* le brouillon donne-t-il, et laquelle le programme ? Pourquoi diffèrent-elles légèrement ?</w:t>
      </w:r>
    </w:p>
    <w:p>
      <w:pPr>
        <w:spacing w:after="120"/>
      </w:pPr>
      <w:r>
        <w:t xml:space="preserve">Au brouillon, on écrit les deux espérances en fonction de c = P(Premium). Discount rapporte 2 x (1 - c) + 8 x c, soit 2 + 6c. Premium rapporte 10 x (1 - c) + 3 x c, soit 10 - 7c. L'égalité 2 + 6c = 10 - 7c donne 13c = 8, donc c* = 8/13, soit environ 0,6154.</w:t>
      </w:r>
    </w:p>
    <w:p>
      <w:pPr>
        <w:spacing w:after="120"/>
      </w:pPr>
      <w:r>
        <w:t xml:space="preserve">Le programme renvoie 0,616. La différence vient de la méthode : il ne résout pas l'équation, il balaie les valeurs de c par pas de un millième et renvoie la première pour laquelle Discount rapporte au moins autant que Premium. Comme 0,615 est encore en dessous de 8/13, la première valeur qui franchit la limite est 0,616. L'écart vaut donc au plus un pas de balayage, et il diminuerait si on passait à dix mille pas.</w:t>
      </w:r>
    </w:p>
    <w:p>
      <w:pPr>
        <w:spacing w:after="80" w:before="180"/>
      </w:pPr>
      <w:r>
        <w:rPr>
          <w:b/>
          <w:bCs/>
        </w:rPr>
        <w:t xml:space="preserve">2. Comparer c* à l'estimation de 0,7. La décision est-elle robuste ? Que conseiller à la direction ?</w:t>
      </w:r>
    </w:p>
    <w:p>
      <w:pPr>
        <w:spacing w:after="120"/>
      </w:pPr>
      <w:r>
        <w:t xml:space="preserve">L'estimation du service commercial vaut 0,7 et la bascule se situe à 0,615 : il ne reste qu'environ huit points de croyance entre les deux. La décision n'est donc pas très robuste. Le sujet le dit lui-même : un collègue aussi sérieux aurait pu annoncer 0,6, et dans ce cas c'est Premium qu'il aurait fallu choisir.</w:t>
      </w:r>
    </w:p>
    <w:p>
      <w:pPr>
        <w:spacing w:after="120"/>
      </w:pPr>
      <w:r>
        <w:t xml:space="preserve">Conseil à la direction : retenir Discount, mais en sachant que cette recommandation repose entièrement sur une estimation, et qu'elle s'inverse dès que la probabilité que Mamma-Auto soit Premium descend sous 62 %. Avant d'engager la gamme, il est donc raisonnable de chercher de l'information sur le positionnement réel du concurrent, par exemple en observant ses prix ou son distributeur existant. Le bonus montre que cette information vaut au maximum 2,40 k€ par mois.</w:t>
      </w:r>
    </w:p>
    <w:p>
      <w:pPr>
        <w:pStyle w:val="Heading1"/>
        <w:spacing w:after="160" w:before="300"/>
      </w:pPr>
      <w:r>
        <w:t xml:space="preserve">Vérification rapide</w:t>
      </w:r>
    </w:p>
    <w:p>
      <w:pPr>
        <w:spacing w:after="80" w:before="180"/>
      </w:pPr>
      <w:r>
        <w:rPr>
          <w:b/>
          <w:bCs/>
        </w:rPr>
        <w:t xml:space="preserve">Question 1 - Que représente un « type » dans la partie 2 ?</w:t>
      </w:r>
    </w:p>
    <w:p>
      <w:pPr>
        <w:spacing w:after="60"/>
        <w:ind w:left="400"/>
      </w:pPr>
      <w:r>
        <w:rPr>
          <w:b/>
          <w:bCs/>
        </w:rPr>
        <w:t xml:space="preserve">☒  La gamme de Mamma-Auto, que Pizza-Bot ne connaît pas</w:t>
      </w:r>
    </w:p>
    <w:p>
      <w:pPr>
        <w:spacing w:after="60"/>
        <w:ind w:left="400"/>
      </w:pPr>
      <w:r>
        <w:rPr>
          <w:b w:val="false"/>
          <w:bCs w:val="false"/>
        </w:rPr>
        <w:t xml:space="preserve">☐  La probabilité que Mamma-Auto soit Premium</w:t>
      </w:r>
    </w:p>
    <w:p>
      <w:pPr>
        <w:spacing w:after="60"/>
        <w:ind w:left="400"/>
      </w:pPr>
      <w:r>
        <w:rPr>
          <w:b w:val="false"/>
          <w:bCs w:val="false"/>
        </w:rPr>
        <w:t xml:space="preserve">☐  La gamme que Pizza-Bot finit par choisir</w:t>
      </w:r>
    </w:p>
    <w:p>
      <w:pPr>
        <w:spacing w:after="120"/>
      </w:pPr>
      <w:r>
        <w:t xml:space="preserve">Justification : un type est une caractéristique de l'adversaire que l'on ignore, ici sa gamme. La probabilité qu'on lui attribue s'appelle la croyance, ce n'est pas le type lui-même. Et la gamme de Pizza-Bot est sa décision, pas un type.</w:t>
      </w:r>
    </w:p>
    <w:p>
      <w:pPr>
        <w:spacing w:after="80" w:before="180"/>
      </w:pPr>
      <w:r>
        <w:rPr>
          <w:b/>
          <w:bCs/>
        </w:rPr>
        <w:t xml:space="preserve">Question 2 - Une décision bascule pour une croyance de 0,45, et la croyance estimée vaut 0,5. Qu'en conclure ?</w:t>
      </w:r>
    </w:p>
    <w:p>
      <w:pPr>
        <w:spacing w:after="60"/>
        <w:ind w:left="400"/>
      </w:pPr>
      <w:r>
        <w:rPr>
          <w:b/>
          <w:bCs/>
        </w:rPr>
        <w:t xml:space="preserve">☒  La décision est fragile : une erreur d'estimation modeste suffit à la renverser</w:t>
      </w:r>
    </w:p>
    <w:p>
      <w:pPr>
        <w:spacing w:after="60"/>
        <w:ind w:left="400"/>
      </w:pPr>
      <w:r>
        <w:rPr>
          <w:b w:val="false"/>
          <w:bCs w:val="false"/>
        </w:rPr>
        <w:t xml:space="preserve">☐  Il faut refaire le calcul avec une croyance de 0,45</w:t>
      </w:r>
    </w:p>
    <w:p>
      <w:pPr>
        <w:spacing w:after="60"/>
        <w:ind w:left="400"/>
      </w:pPr>
      <w:r>
        <w:rPr>
          <w:b w:val="false"/>
          <w:bCs w:val="false"/>
        </w:rPr>
        <w:t xml:space="preserve">☐  La décision est robuste, puisque 0,5 est plus grand que 0,45</w:t>
      </w:r>
    </w:p>
    <w:p>
      <w:pPr>
        <w:spacing w:after="120"/>
      </w:pPr>
      <w:r>
        <w:t xml:space="preserve">Justification : ce qui compte n'est pas que l'estimation soit au-dessus de la bascule, mais de combien. Ici l'écart ne vaut que cinq centièmes, alors que la croyance n'a pas été mesurée. Une décision n'est robuste que si la bascule est loin de l'estimation, ce qui n'est pas le cas.</w:t>
      </w:r>
    </w:p>
    <w:p>
      <w:pPr>
        <w:pStyle w:val="Heading1"/>
        <w:spacing w:after="160" w:before="300"/>
      </w:pPr>
      <w:r>
        <w:t xml:space="preserve">Ce que la partie 2 apporte au rapport</w:t>
      </w:r>
    </w:p>
    <w:p>
      <w:pPr>
        <w:spacing w:after="120"/>
      </w:pPr>
      <w:r>
        <w:t xml:space="preserve">L'ordre d'arrivée a tranché entre les deux équilibres de la partie 1 : Mamma-Auto s'installe au Campus, Pizza-Bot se rabat sur la Gare pour 6 k€ par mois. Pour la gamme, Discount rapporte 6,20 k€ par mois en moyenne, mais cette recommandation tient à une estimation fragile, et c'est cette limite qu'il faut présenter avec le chiffre.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2026-09-25T09:27:10.694Z</dcterms:created>
  <dcterms:modified xsi:type="dcterms:W3CDTF">2026-09-25T09:27:10.702Z</dcterms:modified>
</cp:coreProperties>
</file>

<file path=docProps/custom.xml><?xml version="1.0" encoding="utf-8"?>
<Properties xmlns="http://schemas.openxmlformats.org/officeDocument/2006/custom-properties" xmlns:vt="http://schemas.openxmlformats.org/officeDocument/2006/docPropsVTypes"/>
</file>