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Mini-projet Pizza-Bot</w:t>
      </w:r>
    </w:p>
    <w:p>
      <w:pPr>
        <w:spacing w:after="100"/>
        <w:jc w:val="center"/>
      </w:pPr>
      <w:r>
        <w:rPr>
          <w:sz w:val="30"/>
          <w:szCs w:val="30"/>
        </w:rPr>
        <w:t xml:space="preserve">Partie 4 - Bonus</w:t>
      </w:r>
    </w:p>
    <w:p>
      <w:pPr>
        <w:spacing w:after="100"/>
        <w:jc w:val="center"/>
      </w:pPr>
      <w:r>
        <w:rPr>
          <w:i/>
          <w:iCs/>
        </w:rPr>
        <w:t xml:space="preserve">L'effet de masquage</w:t>
      </w:r>
    </w:p>
    <w:p>
      <w:pPr>
        <w:spacing w:after="300"/>
        <w:jc w:val="center"/>
      </w:pPr>
      <w:r>
        <w:t xml:space="preserve">Habiba Daïrou</w:t>
      </w:r>
    </w:p>
    <w:p>
      <w:pPr>
        <w:pStyle w:val="Heading1"/>
        <w:spacing w:after="160" w:before="300"/>
      </w:pPr>
      <w:r>
        <w:t xml:space="preserve">La question</w:t>
      </w:r>
    </w:p>
    <w:p>
      <w:pPr>
        <w:spacing w:after="120"/>
      </w:pPr>
      <w:r>
        <w:t xml:space="preserve">L'historique de calibration contient une pesée à 93,2 g, étonnamment basse pour une buse saine. On recalcule la moyenne et l'écart-type sans elle, puis on compare le z-score de 93,2 g dans les deux cas.</w:t>
      </w:r>
    </w:p>
    <w:p>
      <w:pPr>
        <w:pStyle w:val="Heading1"/>
        <w:spacing w:after="160" w:before="300"/>
      </w:pPr>
      <w:r>
        <w:t xml:space="preserve">Les résultats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8EDF3" w:val="clear"/>
          </w:tcPr>
          <w:p>
            <w:pPr>
              <w:jc w:val="center"/>
            </w:pPr>
            <w:r>
              <w:rPr>
                <w:b/>
                <w:bCs/>
              </w:rPr>
              <w:t xml:space="preserve">Historique</w:t>
            </w:r>
          </w:p>
        </w:tc>
        <w:tc>
          <w:tcPr>
            <w:tcW w:type="dxa" w:w="2340"/>
            <w:shd w:fill="E8EDF3" w:val="clear"/>
          </w:tcPr>
          <w:p>
            <w:pPr>
              <w:jc w:val="center"/>
            </w:pPr>
            <w:r>
              <w:rPr>
                <w:b/>
                <w:bCs/>
              </w:rPr>
              <w:t xml:space="preserve">mu</w:t>
            </w:r>
          </w:p>
        </w:tc>
        <w:tc>
          <w:tcPr>
            <w:tcW w:type="dxa" w:w="2340"/>
            <w:shd w:fill="E8EDF3" w:val="clear"/>
          </w:tcPr>
          <w:p>
            <w:pPr>
              <w:jc w:val="center"/>
            </w:pPr>
            <w:r>
              <w:rPr>
                <w:b/>
                <w:bCs/>
              </w:rPr>
              <w:t xml:space="preserve">sigma</w:t>
            </w:r>
          </w:p>
        </w:tc>
        <w:tc>
          <w:tcPr>
            <w:tcW w:type="dxa" w:w="2340"/>
            <w:shd w:fill="E8EDF3" w:val="clear"/>
          </w:tcPr>
          <w:p>
            <w:pPr>
              <w:jc w:val="center"/>
            </w:pPr>
            <w:r>
              <w:rPr>
                <w:b/>
                <w:bCs/>
              </w:rPr>
              <w:t xml:space="preserve">z-score de 93,2 g</w:t>
            </w:r>
          </w:p>
        </w:tc>
      </w:tr>
      <w:tr>
        <w:tc>
          <w:tcPr>
            <w:tcW w:type="dxa" w:w="2340"/>
          </w:tcPr>
          <w:p>
            <w:pPr>
              <w:jc w:val="center"/>
            </w:pPr>
            <w:r>
              <w:rPr>
                <w:b w:val="false"/>
                <w:bCs w:val="false"/>
              </w:rPr>
              <w:t xml:space="preserve">Complet (50 pesées)</w:t>
            </w:r>
          </w:p>
        </w:tc>
        <w:tc>
          <w:tcPr>
            <w:tcW w:type="dxa" w:w="2340"/>
          </w:tcPr>
          <w:p>
            <w:pPr>
              <w:jc w:val="center"/>
            </w:pPr>
            <w:r>
              <w:rPr>
                <w:b w:val="false"/>
                <w:bCs w:val="false"/>
              </w:rPr>
              <w:t xml:space="preserve">99,89 g</w:t>
            </w:r>
          </w:p>
        </w:tc>
        <w:tc>
          <w:tcPr>
            <w:tcW w:type="dxa" w:w="2340"/>
          </w:tcPr>
          <w:p>
            <w:pPr>
              <w:jc w:val="center"/>
            </w:pPr>
            <w:r>
              <w:rPr>
                <w:b w:val="false"/>
                <w:bCs w:val="false"/>
              </w:rPr>
              <w:t xml:space="preserve">1,901 g</w:t>
            </w:r>
          </w:p>
        </w:tc>
        <w:tc>
          <w:tcPr>
            <w:tcW w:type="dxa" w:w="2340"/>
          </w:tcPr>
          <w:p>
            <w:pPr>
              <w:jc w:val="center"/>
            </w:pPr>
            <w:r>
              <w:rPr>
                <w:b w:val="false"/>
                <w:bCs w:val="false"/>
              </w:rPr>
              <w:t xml:space="preserve">-3,52</w:t>
            </w:r>
          </w:p>
        </w:tc>
      </w:tr>
      <w:tr>
        <w:tc>
          <w:tcPr>
            <w:tcW w:type="dxa" w:w="2340"/>
          </w:tcPr>
          <w:p>
            <w:pPr>
              <w:jc w:val="center"/>
            </w:pPr>
            <w:r>
              <w:rPr>
                <w:b w:val="false"/>
                <w:bCs w:val="false"/>
              </w:rPr>
              <w:t xml:space="preserve">Sans la pesée à 93,2 g</w:t>
            </w:r>
          </w:p>
        </w:tc>
        <w:tc>
          <w:tcPr>
            <w:tcW w:type="dxa" w:w="2340"/>
          </w:tcPr>
          <w:p>
            <w:pPr>
              <w:jc w:val="center"/>
            </w:pPr>
            <w:r>
              <w:rPr>
                <w:b w:val="false"/>
                <w:bCs w:val="false"/>
              </w:rPr>
              <w:t xml:space="preserve">100,03 g</w:t>
            </w:r>
          </w:p>
        </w:tc>
        <w:tc>
          <w:tcPr>
            <w:tcW w:type="dxa" w:w="2340"/>
          </w:tcPr>
          <w:p>
            <w:pPr>
              <w:jc w:val="center"/>
            </w:pPr>
            <w:r>
              <w:rPr>
                <w:b w:val="false"/>
                <w:bCs w:val="false"/>
              </w:rPr>
              <w:t xml:space="preserve">1,655 g</w:t>
            </w:r>
          </w:p>
        </w:tc>
        <w:tc>
          <w:tcPr>
            <w:tcW w:type="dxa" w:w="2340"/>
          </w:tcPr>
          <w:p>
            <w:pPr>
              <w:jc w:val="center"/>
            </w:pPr>
            <w:r>
              <w:rPr>
                <w:b w:val="false"/>
                <w:bCs w:val="false"/>
              </w:rPr>
              <w:t xml:space="preserve">-4,13</w:t>
            </w:r>
          </w:p>
        </w:tc>
      </w:tr>
    </w:tbl>
    <w:p>
      <w:pPr>
        <w:spacing w:after="120"/>
      </w:pPr>
      <w:r>
        <w:t xml:space="preserve"/>
      </w:r>
    </w:p>
    <w:p>
      <w:pPr>
        <w:pStyle w:val="Heading1"/>
        <w:spacing w:after="160" w:before="300"/>
      </w:pPr>
      <w:r>
        <w:t xml:space="preserve">Ce que montrent ces chiffres</w:t>
      </w:r>
    </w:p>
    <w:p>
      <w:pPr>
        <w:spacing w:after="120"/>
      </w:pPr>
      <w:r>
        <w:t xml:space="preserve">Retirer la pesée suspecte déplace à peine la moyenne, de 99,89 à 100,03 g. En revanche, l'écart-type chute de 1,901 à 1,655 g, soit une baisse de 13 %. À elle seule, cette pesée gonflait donc nettement la dispersion mesurée.</w:t>
      </w:r>
    </w:p>
    <w:p>
      <w:pPr>
        <w:spacing w:after="120"/>
      </w:pPr>
      <w:r>
        <w:t xml:space="preserve">Conséquence directe : jugée avec un écart-type qu'elle a elle-même gonflé, la pesée paraît moins extrême qu'elle ne l'est. Son z-score passe de -4,13 à -3,52. C'est ce qu'on appelle l'effet de masquage : une valeur aberrante atténue son propre écart, et peut même se rendre invisible si elle est assez grande ou si elle n'est pas seule.</w:t>
      </w:r>
    </w:p>
    <w:p>
      <w:pPr>
        <w:spacing w:after="120"/>
      </w:pPr>
      <w:r>
        <w:t xml:space="preserve">L'intervalle de tolérance est affecté de la même façon. Avec l'historique complet, il va de 96,09 à 103,69 g. Sans la pesée suspecte, il se resserre à [96,72 ; 103,34]. Un seuil calculé sur un historique pollué est donc trop large, et laisse passer des dérives réelles.</w:t>
      </w:r>
    </w:p>
    <w:p>
      <w:pPr>
        <w:pStyle w:val="Heading1"/>
        <w:spacing w:after="160" w:before="300"/>
      </w:pPr>
      <w:r>
        <w:t xml:space="preserve">Ce qu'il faut en conclure</w:t>
      </w:r>
    </w:p>
    <w:p>
      <w:pPr>
        <w:spacing w:after="120"/>
      </w:pPr>
      <w:r>
        <w:t xml:space="preserve">Un historique de calibration doit être constitué avec soin. Trois règles en découlent.</w:t>
      </w:r>
    </w:p>
    <w:p>
      <w:pPr>
        <w:spacing w:after="120"/>
      </w:pPr>
      <w:r>
        <w:t xml:space="preserve">D'abord, il faut le mesurer sur une machine dont on a vérifié l'état, et pas simplement sur une machine qu'on suppose saine.</w:t>
      </w:r>
    </w:p>
    <w:p>
      <w:pPr>
        <w:spacing w:after="120"/>
      </w:pPr>
      <w:r>
        <w:t xml:space="preserve">Ensuite, il faut l'inspecter avant de s'en servir : tracer les valeurs, repérer celles qui s'écartent nettement du reste, et chercher leur origine. Une pesée à 93,2 g, soit près de 7 g en dessous de la dose visée, mérite une explication technique.</w:t>
      </w:r>
    </w:p>
    <w:p>
      <w:pPr>
        <w:spacing w:after="120"/>
      </w:pPr>
      <w:r>
        <w:t xml:space="preserve">Enfin, il faut décider du sort de ces valeurs en connaissance de cause. Si une cause est identifiée, par exemple un incident de fromage ou un test, on retire la pesée et on recalcule. Si aucune cause n'est trouvée, on la conserve, mais on sait que le seuil obtenu est un peu large.</w:t>
      </w:r>
    </w:p>
    <w:p>
      <w:pPr>
        <w:spacing w:after="120"/>
      </w:pPr>
      <w:r>
        <w:t xml:space="preserve">C'est le même raisonnement que celui du seuil de vigilance : les statistiques ne décident pas toutes seules, elles fournissent un chiffre qu'il faut confronter à la connaissance de la machine.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2026-09-25T10:00:32.659Z</dcterms:created>
  <dcterms:modified xsi:type="dcterms:W3CDTF">2026-09-25T10:00:32.659Z</dcterms:modified>
</cp:coreProperties>
</file>

<file path=docProps/custom.xml><?xml version="1.0" encoding="utf-8"?>
<Properties xmlns="http://schemas.openxmlformats.org/officeDocument/2006/custom-properties" xmlns:vt="http://schemas.openxmlformats.org/officeDocument/2006/docPropsVTypes"/>
</file>