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bstract"/>
        <w:jc w:val="both"/>
      </w:pPr>
      <w:r>
        <w:rPr>
          <w:rtl w:val="0"/>
          <w:lang w:val="en-US"/>
        </w:rPr>
        <w:t>I argue that higher levels of sectoral competition increased state-capacities overtime. The paper explains how the emergence of industrial elites posed credible threats to the landowning elites, pushing both groups to reach political agreements. I identify one such agreement, the income tax law. Borrowing from the fiscal sociology paradigm I explain how this institution was important for state-making. Exploiting the exogeneity of earthquake shocks, I leverage a novel hand-collected intertemporal dataset on Chilean earthquake death tolls and a Bayesian multilevel Poisson model to estimate levels of state capacities between 1900 and 2010. My identification strategy contends that the capacity of enforcing and monitoring building codes throughout the territory is a reflection of a state</w:t>
      </w:r>
      <w:r>
        <w:rPr>
          <w:rtl w:val="0"/>
          <w:lang w:val="en-US"/>
        </w:rPr>
        <w:t>’</w:t>
      </w:r>
      <w:r>
        <w:rPr>
          <w:rtl w:val="0"/>
          <w:lang w:val="en-US"/>
        </w:rPr>
        <w:t>s overall capacities. What my empirical analyses show are twofolds. Death-tolls decrease, that is, state capacities increase, (1) when levels of sectoral contestation increase, and (2) once the income tax law is implemented. To explore the causal mechanisms at work more deeply I discuss the Chilean case.</w:t>
      </w:r>
    </w:p>
    <w:p>
      <w:pPr>
        <w:pStyle w:val="Body Text"/>
        <w:jc w:val="both"/>
      </w:pPr>
      <w:r>
        <w:rPr>
          <w:rtl w:val="0"/>
          <w:lang w:val="en-US"/>
        </w:rPr>
        <w:t>Latin Americanists have several theories to explain the causes and consequences of state capacities. Scholars also have countless alternatives to measure state capacities. However, there exists a huge deficit. Most state formation theories (just to name a few) are situated during precolonial,</w:t>
      </w:r>
      <w:r>
        <w:rPr>
          <w:rStyle w:val="Footnote Reference"/>
        </w:rPr>
        <w:footnoteReference w:id="1"/>
      </w:r>
      <w:r>
        <w:rPr>
          <w:rtl w:val="0"/>
          <w:lang w:val="en-US"/>
        </w:rPr>
        <w:t xml:space="preserve"> early</w:t>
      </w:r>
      <w:r>
        <w:rPr>
          <w:rStyle w:val="Footnote Reference"/>
        </w:rPr>
        <w:footnoteReference w:id="2"/>
      </w:r>
      <w:r>
        <w:rPr>
          <w:rtl w:val="0"/>
          <w:lang w:val="en-US"/>
        </w:rPr>
        <w:t xml:space="preserve"> or late</w:t>
      </w:r>
      <w:r>
        <w:rPr>
          <w:rStyle w:val="Footnote Reference"/>
        </w:rPr>
        <w:footnoteReference w:id="3"/>
      </w:r>
      <w:r>
        <w:rPr>
          <w:rtl w:val="0"/>
          <w:lang w:val="en-US"/>
        </w:rPr>
        <w:t xml:space="preserve"> independent Latin America. Yet, we lack of a measurement that corresponds </w:t>
      </w:r>
      <w:r>
        <w:rPr>
          <w:i w:val="1"/>
          <w:iCs w:val="1"/>
          <w:rtl w:val="0"/>
          <w:lang w:val="en-US"/>
        </w:rPr>
        <w:t>temporally</w:t>
      </w:r>
      <w:r>
        <w:rPr>
          <w:rtl w:val="0"/>
          <w:lang w:val="en-US"/>
        </w:rPr>
        <w:t xml:space="preserve"> to the theories we have. While most explanations of state-making are </w:t>
      </w:r>
      <w:r>
        <w:rPr>
          <w:i w:val="1"/>
          <w:iCs w:val="1"/>
          <w:rtl w:val="0"/>
          <w:lang w:val="en-US"/>
        </w:rPr>
        <w:t>historical</w:t>
      </w:r>
      <w:r>
        <w:rPr>
          <w:rtl w:val="0"/>
          <w:lang w:val="en-US"/>
        </w:rPr>
        <w:t xml:space="preserve"> in nature, in practice, available measurements capture </w:t>
      </w:r>
      <w:r>
        <w:rPr>
          <w:i w:val="1"/>
          <w:iCs w:val="1"/>
          <w:rtl w:val="0"/>
          <w:lang w:val="en-US"/>
        </w:rPr>
        <w:t>contemporary</w:t>
      </w:r>
      <w:r>
        <w:rPr>
          <w:rtl w:val="0"/>
          <w:lang w:val="en-US"/>
        </w:rPr>
        <w:t xml:space="preserve"> levels of </w:t>
      </w:r>
      <w:r>
        <w:rPr>
          <w:i w:val="1"/>
          <w:iCs w:val="1"/>
          <w:rtl w:val="0"/>
          <w:lang w:val="en-US"/>
        </w:rPr>
        <w:t>stateness</w:t>
      </w:r>
      <w:r>
        <w:rPr>
          <w:rtl w:val="0"/>
          <w:lang w:val="en-US"/>
        </w:rPr>
        <w:t xml:space="preserve">. In this paper I try to bridge this gap by providing an additional explanation on the origins of state capacities in Latin America and a corresponding indicator able to capture levels of state capacities </w:t>
      </w:r>
      <w:r>
        <w:rPr>
          <w:i w:val="1"/>
          <w:iCs w:val="1"/>
          <w:rtl w:val="0"/>
          <w:lang w:val="en-US"/>
        </w:rPr>
        <w:t>overtime</w:t>
      </w:r>
      <w:r>
        <w:rPr>
          <w:rtl w:val="0"/>
          <w:lang w:val="en-US"/>
        </w:rPr>
        <w:t>. This paper then seeks to contribute to the state formation literature in general, both from a theoretical and methodological perspectives.</w:t>
      </w:r>
    </w:p>
    <w:p>
      <w:pPr>
        <w:pStyle w:val="Body Text"/>
        <w:jc w:val="both"/>
      </w:pPr>
      <w:r>
        <w:rPr>
          <w:rtl w:val="0"/>
          <w:lang w:val="en-US"/>
        </w:rPr>
        <w:t>I argue that higher levels of sectoral contestation characterized by the emergence of a strong industrial sector promoted state-capacities. Particularly, the paper explains how higher levels of sectoral contestation promoted the implementation of the income tax, an institution that - according to the fiscal sociology approach - produced positive externalities for state-making. Exploiting the exogeneity of earthquake shocks, I leverage a novel hand-collected dataset on Chilean earthquake death tolls between 1900 and 2010. In conjunction with Bayesian multilevel Poisson models with year fixed-effects I am able to estimate Chilean state capacities overtime. I find that death-tolls decreased (</w:t>
      </w:r>
      <w:r>
        <w:rPr>
          <w:i w:val="1"/>
          <w:iCs w:val="1"/>
          <w:rtl w:val="0"/>
          <w:lang w:val="en-US"/>
        </w:rPr>
        <w:t>state capacities increased</w:t>
      </w:r>
      <w:r>
        <w:rPr>
          <w:rtl w:val="0"/>
          <w:lang w:val="en-US"/>
        </w:rPr>
        <w:t>) when (1) levels of national/subnational sectoral contestation were high, and (2) after the income tax law was implemented.</w:t>
      </w:r>
    </w:p>
    <w:p>
      <w:pPr>
        <w:pStyle w:val="Body Text"/>
        <w:jc w:val="both"/>
      </w:pPr>
      <w:r>
        <w:rPr>
          <w:rtl w:val="0"/>
          <w:lang w:val="en-US"/>
        </w:rPr>
        <w:t xml:space="preserve">Under reasonable assumptions, the capacity the state has of enforcing and monitoring building codes throughout the territory is a </w:t>
      </w:r>
      <w:r>
        <w:rPr>
          <w:i w:val="1"/>
          <w:iCs w:val="1"/>
          <w:rtl w:val="0"/>
          <w:lang w:val="en-US"/>
        </w:rPr>
        <w:t>reflection</w:t>
      </w:r>
      <w:r>
        <w:rPr>
          <w:rtl w:val="0"/>
          <w:lang w:val="en-US"/>
        </w:rPr>
        <w:t xml:space="preserve"> of Chile</w:t>
      </w:r>
      <w:r>
        <w:rPr>
          <w:rtl w:val="0"/>
          <w:lang w:val="en-US"/>
        </w:rPr>
        <w:t>’</w:t>
      </w:r>
      <w:r>
        <w:rPr>
          <w:rtl w:val="0"/>
          <w:lang w:val="en-US"/>
        </w:rPr>
        <w:t xml:space="preserve">s </w:t>
      </w:r>
      <w:r>
        <w:rPr>
          <w:i w:val="1"/>
          <w:iCs w:val="1"/>
          <w:rtl w:val="0"/>
          <w:lang w:val="en-US"/>
        </w:rPr>
        <w:t>overall</w:t>
      </w:r>
      <w:r>
        <w:rPr>
          <w:rtl w:val="0"/>
          <w:lang w:val="en-US"/>
        </w:rPr>
        <w:t xml:space="preserve"> state capacities. Earthquakes are time-invariant, and importantly, orthogonal to economic development and regime type. Consequently, death-toll differentials should be associated with state-capacities only. The proposed measurement goes in line with other attempts to capture state capacities overtime. While most strategies have focused on the capacity to enforce private contracts,</w:t>
      </w:r>
      <w:r>
        <w:rPr>
          <w:rStyle w:val="Footnote Reference"/>
        </w:rPr>
        <w:footnoteReference w:id="4"/>
      </w:r>
      <w:r>
        <w:rPr>
          <w:rtl w:val="0"/>
          <w:lang w:val="en-US"/>
        </w:rPr>
        <w:t xml:space="preserve"> unfortunately, these measurements correlate strongly with property rights protection, distorting the resemblance between concept and measurement.</w:t>
      </w:r>
    </w:p>
    <w:p>
      <w:pPr>
        <w:pStyle w:val="Body Text"/>
        <w:jc w:val="both"/>
      </w:pPr>
      <w:r>
        <w:rPr>
          <w:rtl w:val="0"/>
          <w:lang w:val="en-US"/>
        </w:rPr>
        <w:t>The theory incorporates important subnational dynamics as well. The ability of the central level of enforcing these (and other) institutions depends on whether subnational elites are willing to cooperate with the central level. The paper contends that industrial elites challenged agricultural elites, moving forward investments in state-</w:t>
      </w:r>
      <w:r>
        <w:rPr>
          <w:i w:val="1"/>
          <w:iCs w:val="1"/>
          <w:rtl w:val="0"/>
          <w:lang w:val="en-US"/>
        </w:rPr>
        <w:t>making</w:t>
      </w:r>
      <w:r>
        <w:rPr>
          <w:rtl w:val="0"/>
          <w:lang w:val="en-US"/>
        </w:rPr>
        <w:t xml:space="preserve"> institutions - the income tax law.</w:t>
      </w:r>
      <w:r>
        <w:rPr>
          <w:rStyle w:val="Footnote Reference"/>
        </w:rPr>
        <w:footnoteReference w:id="5"/>
      </w:r>
      <w:r>
        <w:rPr>
          <w:rtl w:val="0"/>
          <w:lang w:val="en-US"/>
        </w:rPr>
        <w:t xml:space="preserve"> The tax did not only increased national revenues, but also helped to form bureaucratic structures at the subnational level. As the Chilean case illustrates, industrial elites were willing to impose a national income tax on themselves in exchange of public goods delivered at the subnational level, and incorporation into the national project. Compliance depended on sustained national-subnational coordination, boosting state centralization.</w:t>
      </w:r>
    </w:p>
    <w:p>
      <w:pPr>
        <w:pStyle w:val="Body Text"/>
        <w:jc w:val="both"/>
      </w:pPr>
      <w:r>
        <w:rPr>
          <w:rtl w:val="0"/>
          <w:lang w:val="en-US"/>
        </w:rPr>
        <w:t>The rest of the paper proceeds as follows. In I explain the argument, paying special attention to how the implementation of the income tax expanded state-capacities. Second, in I illustrate the causal mechanisms at work, presenting some historical context about the Chilean case. In I introduce the proposed measurement and explain how it maps onto state capacities. Then, in , I present a number of econometric tests. In I provide final comments. In (online appendix) I show some convergence diagnostics.</w:t>
      </w:r>
    </w:p>
    <w:p>
      <w:pPr>
        <w:pStyle w:val="Heading"/>
        <w:jc w:val="both"/>
      </w:pPr>
      <w:bookmarkStart w:name="sectoralconflictcooperationandthecaseoft" w:id="0"/>
      <w:bookmarkEnd w:id="0"/>
      <w:r>
        <w:rPr>
          <w:rtl w:val="0"/>
        </w:rPr>
        <w:t>S</w:t>
      </w:r>
      <w:r>
        <w:rPr>
          <w:rtl w:val="0"/>
          <w:lang w:val="en-US"/>
        </w:rPr>
        <w:t>ectoral Conflict, Cooperation, and the Case of the Income Tax</w:t>
      </w:r>
    </w:p>
    <w:p>
      <w:pPr>
        <w:pStyle w:val="First Paragraph"/>
        <w:jc w:val="both"/>
      </w:pPr>
      <w:r>
        <w:rPr>
          <w:rtl w:val="0"/>
          <w:lang w:val="en-US"/>
        </w:rPr>
        <w:t xml:space="preserve">The crux of the argument is that sectoral conflicts triggered state development. Analytically, the paper considers that the sectoral conflict approach offers also a theory of state consolidation. Particularly, elites whose assets are allocated in different sectors of the economy have different preferences over state centralization and direct taxation. Consequently, sectoral economic expansion not only (re)shaped the economic landscape; given that both sectors had their corresponding political arms, the </w:t>
      </w:r>
      <w:r>
        <w:rPr>
          <w:i w:val="1"/>
          <w:iCs w:val="1"/>
          <w:rtl w:val="0"/>
          <w:lang w:val="en-US"/>
        </w:rPr>
        <w:t>political</w:t>
      </w:r>
      <w:r>
        <w:rPr>
          <w:rtl w:val="0"/>
          <w:lang w:val="en-US"/>
        </w:rPr>
        <w:t xml:space="preserve"> conflict over state centralization was rooted in a broader </w:t>
      </w:r>
      <w:r>
        <w:rPr>
          <w:i w:val="1"/>
          <w:iCs w:val="1"/>
          <w:rtl w:val="0"/>
          <w:lang w:val="en-US"/>
        </w:rPr>
        <w:t>economic</w:t>
      </w:r>
      <w:r>
        <w:rPr>
          <w:rtl w:val="0"/>
          <w:lang w:val="en-US"/>
        </w:rPr>
        <w:t xml:space="preserve"> conflict.</w:t>
      </w:r>
      <w:r>
        <w:rPr>
          <w:rStyle w:val="Footnote Reference"/>
        </w:rPr>
        <w:footnoteReference w:id="6"/>
      </w:r>
      <w:r>
        <w:rPr>
          <w:rtl w:val="0"/>
          <w:lang w:val="en-US"/>
        </w:rPr>
        <w:t xml:space="preserve"> This line of argumentation goes in line with others, in that </w:t>
      </w:r>
      <w:r>
        <w:rPr>
          <w:rtl w:val="0"/>
          <w:lang w:val="en-US"/>
        </w:rPr>
        <w:t>“</w:t>
      </w:r>
      <w:r>
        <w:rPr>
          <w:rtl w:val="0"/>
          <w:lang w:val="en-US"/>
        </w:rPr>
        <w:t>state formation will be most likely to the degree that powerful individual actors form two groups on the basis of divergent economic and political interests.</w:t>
      </w:r>
      <w:r>
        <w:rPr>
          <w:rtl w:val="0"/>
          <w:lang w:val="en-US"/>
        </w:rPr>
        <w:t>”</w:t>
      </w:r>
      <w:r>
        <w:rPr>
          <w:rStyle w:val="Footnote Reference"/>
        </w:rPr>
        <w:footnoteReference w:id="7"/>
      </w:r>
    </w:p>
    <w:p>
      <w:pPr>
        <w:pStyle w:val="Body Text"/>
        <w:jc w:val="both"/>
      </w:pPr>
      <w:r>
        <w:rPr>
          <w:rtl w:val="0"/>
          <w:lang w:val="en-US"/>
        </w:rPr>
        <w:t xml:space="preserve">The capacity of enforcing and monitoring building codes depends on both </w:t>
      </w:r>
      <w:r>
        <w:rPr>
          <w:i w:val="1"/>
          <w:iCs w:val="1"/>
          <w:rtl w:val="0"/>
          <w:lang w:val="en-US"/>
        </w:rPr>
        <w:t>national</w:t>
      </w:r>
      <w:r>
        <w:rPr>
          <w:rtl w:val="0"/>
          <w:lang w:val="en-US"/>
        </w:rPr>
        <w:t xml:space="preserve"> and </w:t>
      </w:r>
      <w:r>
        <w:rPr>
          <w:i w:val="1"/>
          <w:iCs w:val="1"/>
          <w:rtl w:val="0"/>
          <w:lang w:val="en-US"/>
        </w:rPr>
        <w:t>subnational</w:t>
      </w:r>
      <w:r>
        <w:rPr>
          <w:rtl w:val="0"/>
          <w:lang w:val="en-US"/>
        </w:rPr>
        <w:t xml:space="preserve"> sources of cooperation, and hence, state incorporation. O</w:t>
      </w:r>
      <w:r>
        <w:rPr>
          <w:rtl w:val="0"/>
          <w:lang w:val="en-US"/>
        </w:rPr>
        <w:t>’</w:t>
      </w:r>
      <w:r>
        <w:rPr>
          <w:rtl w:val="0"/>
          <w:lang w:val="en-US"/>
        </w:rPr>
        <w:t xml:space="preserve">Donnell (1993, p. 1359) famously distinguished different levels of state penetration </w:t>
      </w:r>
      <w:r>
        <w:rPr>
          <w:i w:val="1"/>
          <w:iCs w:val="1"/>
          <w:rtl w:val="0"/>
          <w:lang w:val="en-US"/>
        </w:rPr>
        <w:t>in the same country</w:t>
      </w:r>
      <w:r>
        <w:rPr>
          <w:rtl w:val="0"/>
          <w:lang w:val="en-US"/>
        </w:rPr>
        <w:t xml:space="preserve">. The subnational approach goes in line with Snyder (2001, p. 103), Ziblatt (2008, p. 286) and particularly, Soifer (2008). Following these important contributions, I implement an identification strategy that not only accounts for temporal but also for geographical - i.e. subnational - sources of sectoral contestation and state-capacities. Importantly, this paper then advances </w:t>
      </w:r>
      <w:r>
        <w:rPr>
          <w:rtl w:val="0"/>
          <w:lang w:val="en-US"/>
        </w:rPr>
        <w:t>“</w:t>
      </w:r>
      <w:r>
        <w:rPr>
          <w:rtl w:val="0"/>
          <w:lang w:val="en-US"/>
        </w:rPr>
        <w:t>a small literature on within-country variation in state capacity.</w:t>
      </w:r>
      <w:r>
        <w:rPr>
          <w:rtl w:val="0"/>
          <w:lang w:val="en-US"/>
        </w:rPr>
        <w:t>”</w:t>
      </w:r>
      <w:r>
        <w:rPr>
          <w:rStyle w:val="Footnote Reference"/>
        </w:rPr>
        <w:footnoteReference w:id="8"/>
      </w:r>
      <w:r>
        <w:rPr>
          <w:rtl w:val="0"/>
          <w:lang w:val="en-US"/>
        </w:rPr>
        <w:t xml:space="preserve"> Substantively, the paper claims that higher levels of subnational sectoral contestation translated into more credible threats coming from the provinces. Should these subnational sources of contestation </w:t>
      </w:r>
      <w:r>
        <w:rPr>
          <w:i w:val="1"/>
          <w:iCs w:val="1"/>
          <w:rtl w:val="0"/>
          <w:lang w:val="en-US"/>
        </w:rPr>
        <w:t>not</w:t>
      </w:r>
      <w:r>
        <w:rPr>
          <w:rtl w:val="0"/>
          <w:lang w:val="en-US"/>
        </w:rPr>
        <w:t xml:space="preserve"> be translated into sectoral agreements, the country risked being torn apart, or alternatively, see the emergence of local </w:t>
      </w:r>
      <w:r>
        <w:rPr>
          <w:i w:val="1"/>
          <w:iCs w:val="1"/>
          <w:rtl w:val="0"/>
          <w:lang w:val="en-US"/>
        </w:rPr>
        <w:t>caudillos</w:t>
      </w:r>
      <w:r>
        <w:rPr>
          <w:rtl w:val="0"/>
          <w:lang w:val="en-US"/>
        </w:rPr>
        <w:t xml:space="preserve"> or other regional </w:t>
      </w:r>
      <w:r>
        <w:rPr>
          <w:rtl w:val="0"/>
          <w:lang w:val="en-US"/>
        </w:rPr>
        <w:t>‘</w:t>
      </w:r>
      <w:r>
        <w:rPr>
          <w:rtl w:val="0"/>
          <w:lang w:val="en-US"/>
        </w:rPr>
        <w:t>bosses.</w:t>
      </w:r>
      <w:r>
        <w:rPr>
          <w:rtl w:val="0"/>
          <w:lang w:val="en-US"/>
        </w:rPr>
        <w:t xml:space="preserve">’ </w:t>
      </w:r>
      <w:r>
        <w:rPr>
          <w:rtl w:val="0"/>
          <w:lang w:val="en-US"/>
        </w:rPr>
        <w:t xml:space="preserve">For example, historian Barros (1970, p. 500) explains that before the civil war, </w:t>
      </w:r>
      <w:r>
        <w:rPr>
          <w:i w:val="1"/>
          <w:iCs w:val="1"/>
          <w:rtl w:val="0"/>
          <w:lang w:val="en-US"/>
        </w:rPr>
        <w:t>salitreras</w:t>
      </w:r>
      <w:r>
        <w:rPr>
          <w:rtl w:val="0"/>
          <w:lang w:val="en-US"/>
        </w:rPr>
        <w:t xml:space="preserve"> (nitrate towns) in northern Chile were locally so important that they were considered </w:t>
      </w:r>
      <w:r>
        <w:rPr>
          <w:rtl w:val="0"/>
          <w:lang w:val="en-US"/>
        </w:rPr>
        <w:t>‘</w:t>
      </w:r>
      <w:r>
        <w:rPr>
          <w:rtl w:val="0"/>
          <w:lang w:val="en-US"/>
        </w:rPr>
        <w:t>a state within the state.</w:t>
      </w:r>
      <w:r>
        <w:rPr>
          <w:rtl w:val="0"/>
          <w:lang w:val="en-US"/>
        </w:rPr>
        <w:t>’</w:t>
      </w:r>
      <w:r>
        <w:rPr>
          <w:rStyle w:val="Footnote Reference"/>
        </w:rPr>
        <w:footnoteReference w:id="9"/>
      </w:r>
      <w:r>
        <w:rPr>
          <w:rtl w:val="0"/>
          <w:lang w:val="en-US"/>
        </w:rPr>
        <w:t xml:space="preserve"> Local bosses had to approve on whether public employees could be fired, whether public works could be developed, and on whether politicians could give public speeches. Moreover, they coined their own currency and had their own particular local laws. The paper sketches a theory that explains how these national-subnational tensions fostered institutional investments that promoted state capacities overtime.</w:t>
      </w:r>
    </w:p>
    <w:p>
      <w:pPr>
        <w:pStyle w:val="Body Text"/>
        <w:jc w:val="both"/>
      </w:pPr>
      <w:r>
        <w:rPr>
          <w:rtl w:val="0"/>
          <w:lang w:val="en-US"/>
        </w:rPr>
        <w:t>Elite incorporation was possible contingent on the capacity outsiders had of challenging the institutional order that permitted hegemonic groups to rule without opposition. The landed Latin American elites were an economic hegemonic group protected by norms and institutions originated during colonial times. By extension, the landowning class controlled most of the politics too.</w:t>
      </w:r>
      <w:r>
        <w:rPr>
          <w:rStyle w:val="Footnote Reference"/>
        </w:rPr>
        <w:footnoteReference w:id="10"/>
      </w:r>
      <w:r>
        <w:rPr>
          <w:rtl w:val="0"/>
          <w:lang w:val="en-US"/>
        </w:rPr>
        <w:t xml:space="preserve"> However, when the </w:t>
      </w:r>
      <w:r>
        <w:rPr>
          <w:i w:val="1"/>
          <w:iCs w:val="1"/>
          <w:rtl w:val="0"/>
          <w:lang w:val="en-US"/>
        </w:rPr>
        <w:t>structural transformation</w:t>
      </w:r>
      <w:r>
        <w:rPr>
          <w:rtl w:val="0"/>
          <w:lang w:val="en-US"/>
        </w:rPr>
        <w:t xml:space="preserve"> (that is, the </w:t>
      </w:r>
      <w:r>
        <w:rPr>
          <w:rtl w:val="0"/>
          <w:lang w:val="en-US"/>
        </w:rPr>
        <w:t>“</w:t>
      </w:r>
      <w:r>
        <w:rPr>
          <w:rtl w:val="0"/>
          <w:lang w:val="en-US"/>
        </w:rPr>
        <w:t>secular decline of agriculture and substantial expansion of manufacturing</w:t>
      </w:r>
      <w:r>
        <w:rPr>
          <w:rtl w:val="0"/>
          <w:lang w:val="en-US"/>
        </w:rPr>
        <w:t>”</w:t>
      </w:r>
      <w:r>
        <w:rPr>
          <w:rtl w:val="0"/>
          <w:lang w:val="en-US"/>
        </w:rPr>
        <w:t>)</w:t>
      </w:r>
      <w:r>
        <w:rPr>
          <w:rStyle w:val="Footnote Reference"/>
        </w:rPr>
        <w:footnoteReference w:id="11"/>
      </w:r>
      <w:r>
        <w:rPr>
          <w:rtl w:val="0"/>
          <w:lang w:val="en-US"/>
        </w:rPr>
        <w:t xml:space="preserve"> took place, this process imposed tight constraints on the way politics was run by the incumbent landowning class.</w:t>
      </w:r>
      <w:r>
        <w:rPr>
          <w:rStyle w:val="Footnote Reference"/>
        </w:rPr>
        <w:footnoteReference w:id="12"/>
      </w:r>
      <w:r>
        <w:rPr>
          <w:rtl w:val="0"/>
          <w:lang w:val="en-US"/>
        </w:rPr>
        <w:t xml:space="preserve"> Given the initial advantage of the landed elites, the secular emergence of the industrial sector translated into lower levels of inter-sectoral inequality, generating political, economic and military threats to the landed elites.</w:t>
      </w:r>
      <w:r>
        <w:rPr>
          <w:rStyle w:val="Footnote Reference"/>
        </w:rPr>
        <w:footnoteReference w:id="13"/>
      </w:r>
      <w:r>
        <w:rPr>
          <w:rtl w:val="0"/>
          <w:lang w:val="en-US"/>
        </w:rPr>
        <w:t xml:space="preserve"> The higher the threats, the more likely the inter-sectoral compromises (yellow box in ). One particular compromise is identified - the implementation of the income tax - and especial attention is paid to how this institution expanded state-capacities overtime.</w:t>
      </w:r>
    </w:p>
    <w:p>
      <w:pPr>
        <w:pStyle w:val="Body Text"/>
        <w:jc w:val="both"/>
      </w:pPr>
      <w:r>
        <w:rPr>
          <w:rtl w:val="0"/>
          <w:lang w:val="en-US"/>
        </w:rPr>
        <w:t>Since state centralization affects landowners and industrialists in different ways, both sectors have different preferences towards taxation and state centralization.</w:t>
      </w:r>
      <w:r>
        <w:rPr>
          <w:rStyle w:val="Footnote Reference"/>
        </w:rPr>
        <w:footnoteReference w:id="14"/>
      </w:r>
      <w:r>
        <w:rPr>
          <w:rtl w:val="0"/>
          <w:lang w:val="en-US"/>
        </w:rPr>
        <w:t xml:space="preserve"> On the one hand, land fixity increases the risk premium of the landed elite</w:t>
      </w:r>
      <w:r>
        <w:rPr>
          <w:rtl w:val="0"/>
          <w:lang w:val="en-US"/>
        </w:rPr>
        <w:t>’</w:t>
      </w:r>
      <w:r>
        <w:rPr>
          <w:rtl w:val="0"/>
          <w:lang w:val="en-US"/>
        </w:rPr>
        <w:t>s main asset,</w:t>
      </w:r>
      <w:r>
        <w:rPr>
          <w:rStyle w:val="Footnote Reference"/>
        </w:rPr>
        <w:footnoteReference w:id="15"/>
      </w:r>
      <w:r>
        <w:rPr>
          <w:rtl w:val="0"/>
          <w:lang w:val="en-US"/>
        </w:rPr>
        <w:t xml:space="preserve"> so they systematically resist taxation. In turn, as capital can be reinvested in nontaxable sectors,</w:t>
      </w:r>
      <w:r>
        <w:rPr>
          <w:rStyle w:val="Footnote Reference"/>
        </w:rPr>
        <w:footnoteReference w:id="16"/>
      </w:r>
      <w:r>
        <w:rPr>
          <w:rtl w:val="0"/>
          <w:lang w:val="en-US"/>
        </w:rPr>
        <w:t xml:space="preserve"> industrialists</w:t>
      </w:r>
      <w:r>
        <w:rPr>
          <w:rtl w:val="0"/>
          <w:lang w:val="en-US"/>
        </w:rPr>
        <w:t xml:space="preserve">’ </w:t>
      </w:r>
      <w:r>
        <w:rPr>
          <w:rtl w:val="0"/>
          <w:lang w:val="en-US"/>
        </w:rPr>
        <w:t>preferences toward taxation are more elastic. These cross-sectoral tensions are most likely to resolve in favor of inter-sectoral cooperation - particularly, implementing the income tax law - when income inequality among the elites is low.</w:t>
      </w:r>
      <w:r>
        <w:rPr>
          <w:rStyle w:val="Footnote Reference"/>
        </w:rPr>
        <w:footnoteReference w:id="17"/>
      </w:r>
      <w:r>
        <w:rPr>
          <w:rtl w:val="0"/>
          <w:lang w:val="en-US"/>
        </w:rPr>
        <w:t xml:space="preserve"> In Latin America, the post-colonial institutional and economical orders were designed to give an unfair advantage to the agricultural sector.</w:t>
      </w:r>
      <w:r>
        <w:rPr>
          <w:rStyle w:val="Footnote Reference"/>
        </w:rPr>
        <w:footnoteReference w:id="18"/>
      </w:r>
      <w:r>
        <w:rPr>
          <w:rtl w:val="0"/>
          <w:lang w:val="en-US"/>
        </w:rPr>
        <w:t xml:space="preserve"> However, the emergence of a strong industrial class put heavier pressures for higher levels of state centralization and investment in public goods at the local level. I find elsewhere that the emergence of the industrial sector </w:t>
      </w:r>
      <w:r>
        <w:rPr>
          <w:i w:val="1"/>
          <w:iCs w:val="1"/>
          <w:rtl w:val="0"/>
          <w:lang w:val="en-US"/>
        </w:rPr>
        <w:t>accelerated</w:t>
      </w:r>
      <w:r>
        <w:rPr>
          <w:rtl w:val="0"/>
          <w:lang w:val="en-US"/>
        </w:rPr>
        <w:t xml:space="preserve"> the implementation of the income tax in a number of Latin American states.</w:t>
      </w:r>
      <w:r>
        <w:rPr>
          <w:rStyle w:val="Footnote Reference"/>
        </w:rPr>
        <w:footnoteReference w:id="19"/>
      </w:r>
      <w:r>
        <w:rPr>
          <w:rtl w:val="0"/>
          <w:lang w:val="en-US"/>
        </w:rPr>
        <w:t xml:space="preserve"> In fact, not only sustained industrial expansion depended on the implementation of the income tax. Beramendi, Dincecco, &amp; Rogers (2016, p. 18) explain that as industrialists depended more on infrastructure implemented at the local level such as roads, railroads and bridges, they </w:t>
      </w:r>
      <w:r>
        <w:rPr>
          <w:rtl w:val="0"/>
          <w:lang w:val="en-US"/>
        </w:rPr>
        <w:t>“</w:t>
      </w:r>
      <w:r>
        <w:rPr>
          <w:rtl w:val="0"/>
          <w:lang w:val="en-US"/>
        </w:rPr>
        <w:t>[</w:t>
      </w:r>
      <w:r>
        <w:rPr>
          <w:i w:val="1"/>
          <w:iCs w:val="1"/>
          <w:rtl w:val="0"/>
          <w:lang w:val="en-US"/>
        </w:rPr>
        <w:t>preferred</w:t>
      </w:r>
      <w:r>
        <w:rPr>
          <w:rtl w:val="0"/>
          <w:lang w:val="en-US"/>
        </w:rPr>
        <w:t>] to shoulder a higher tax burden through progressive direct taxation.</w:t>
      </w:r>
      <w:r>
        <w:rPr>
          <w:rtl w:val="0"/>
          <w:lang w:val="en-US"/>
        </w:rPr>
        <w:t xml:space="preserve">” </w:t>
      </w:r>
      <w:r>
        <w:rPr>
          <w:rtl w:val="0"/>
          <w:lang w:val="en-US"/>
        </w:rPr>
        <w:t>But also, lower levels of inter-elite economic inequality implied similar degrees of military capabilities.</w:t>
      </w:r>
      <w:r>
        <w:rPr>
          <w:rStyle w:val="Footnote Reference"/>
        </w:rPr>
        <w:footnoteReference w:id="20"/>
      </w:r>
      <w:r>
        <w:rPr>
          <w:rtl w:val="0"/>
          <w:lang w:val="en-US"/>
        </w:rPr>
        <w:t xml:space="preserve"> Under these circumstances, war was most likely to exhaust all existent assets without producing positive outcomes for either sector,</w:t>
      </w:r>
      <w:r>
        <w:rPr>
          <w:rStyle w:val="Footnote Reference"/>
        </w:rPr>
        <w:footnoteReference w:id="21"/>
      </w:r>
      <w:r>
        <w:rPr>
          <w:rtl w:val="0"/>
          <w:lang w:val="en-US"/>
        </w:rPr>
        <w:t xml:space="preserve"> putting heavier pressures to reach agreements instead of engaging in armed conflicts.</w:t>
      </w:r>
    </w:p>
    <w:p>
      <w:pPr>
        <w:pStyle w:val="Body Text"/>
        <w:jc w:val="both"/>
      </w:pPr>
      <w:r>
        <w:rPr>
          <w:rtl w:val="0"/>
          <w:lang w:val="en-US"/>
        </w:rPr>
        <w:t>The tax was not only important because of the new revenue it collected, however. While Humud (1969, p. 154) explains that the income tax generated considerable resources for the Chilean treasury,</w:t>
      </w:r>
      <w:r>
        <w:rPr>
          <w:rStyle w:val="Footnote Reference"/>
        </w:rPr>
        <w:footnoteReference w:id="22"/>
      </w:r>
      <w:r>
        <w:rPr>
          <w:rtl w:val="0"/>
          <w:lang w:val="en-US"/>
        </w:rPr>
        <w:t xml:space="preserve"> following the fiscal sociology paradigm, the tax was important for state-making as well. Musgrave (1992, p. 99) argues that since taxation (especially on incomes) requires such a high degree of state penetration, public finances offer the key for a theory of state-building. Indirect taxes are easier to levy, and hence this kind of revenue is generally considered </w:t>
      </w:r>
      <w:r>
        <w:rPr>
          <w:rtl w:val="0"/>
          <w:lang w:val="en-US"/>
        </w:rPr>
        <w:t>“</w:t>
      </w:r>
      <w:r>
        <w:rPr>
          <w:rtl w:val="0"/>
          <w:lang w:val="en-US"/>
        </w:rPr>
        <w:t>unearned income</w:t>
      </w:r>
      <w:r>
        <w:rPr>
          <w:rtl w:val="0"/>
          <w:lang w:val="en-US"/>
        </w:rPr>
        <w:t>”</w:t>
      </w:r>
      <w:r>
        <w:rPr>
          <w:rStyle w:val="Footnote Reference"/>
        </w:rPr>
        <w:footnoteReference w:id="23"/>
      </w:r>
      <w:r>
        <w:rPr>
          <w:rtl w:val="0"/>
          <w:lang w:val="en-US"/>
        </w:rPr>
        <w:t xml:space="preserve"> or </w:t>
      </w:r>
      <w:r>
        <w:rPr>
          <w:rtl w:val="0"/>
          <w:lang w:val="en-US"/>
        </w:rPr>
        <w:t>“</w:t>
      </w:r>
      <w:r>
        <w:rPr>
          <w:rtl w:val="0"/>
          <w:lang w:val="en-US"/>
        </w:rPr>
        <w:t>easy-to-collect source of revenues.</w:t>
      </w:r>
      <w:r>
        <w:rPr>
          <w:rtl w:val="0"/>
          <w:lang w:val="en-US"/>
        </w:rPr>
        <w:t>”</w:t>
      </w:r>
      <w:r>
        <w:rPr>
          <w:rStyle w:val="Footnote Reference"/>
        </w:rPr>
        <w:footnoteReference w:id="24"/>
      </w:r>
      <w:r>
        <w:rPr>
          <w:rtl w:val="0"/>
          <w:lang w:val="en-US"/>
        </w:rPr>
        <w:t xml:space="preserve"> Given the relatively lower costs states have to incur to collect them, indirect taxes have a very low impact on state-building.</w:t>
      </w:r>
      <w:r>
        <w:rPr>
          <w:rStyle w:val="Footnote Reference"/>
        </w:rPr>
        <w:footnoteReference w:id="25"/>
      </w:r>
      <w:r>
        <w:rPr>
          <w:rtl w:val="0"/>
          <w:lang w:val="en-US"/>
        </w:rPr>
        <w:t xml:space="preserve"> For example Krasner (1985, p. 46) explains that </w:t>
      </w:r>
      <w:r>
        <w:rPr>
          <w:rtl w:val="0"/>
          <w:lang w:val="en-US"/>
        </w:rPr>
        <w:t>“</w:t>
      </w:r>
      <w:r>
        <w:rPr>
          <w:rtl w:val="0"/>
          <w:lang w:val="en-US"/>
        </w:rPr>
        <w:t>tariffs and export taxes are easier to obtain than direct taxes, which require high levels of bureaucratic skill and voluntary compliance.</w:t>
      </w:r>
      <w:r>
        <w:rPr>
          <w:rtl w:val="0"/>
          <w:lang w:val="en-US"/>
        </w:rPr>
        <w:t xml:space="preserve">” </w:t>
      </w:r>
      <w:r>
        <w:rPr>
          <w:rtl w:val="0"/>
          <w:lang w:val="en-US"/>
        </w:rPr>
        <w:t>In fact, when early Latin American states depended heavily on trade taxes, the state apparatus tended to be less developed.</w:t>
      </w:r>
      <w:r>
        <w:rPr>
          <w:rStyle w:val="Footnote Reference"/>
        </w:rPr>
        <w:footnoteReference w:id="26"/>
      </w:r>
      <w:r>
        <w:rPr>
          <w:rtl w:val="0"/>
          <w:lang w:val="en-US"/>
        </w:rPr>
        <w:t xml:space="preserve"> Since customs administrations have always been concentrated in a few critical locations, especially ports, tariffs and customs duties did not require an elaborate fiscal structure.</w:t>
      </w:r>
      <w:r>
        <w:rPr>
          <w:rStyle w:val="Footnote Reference"/>
        </w:rPr>
        <w:footnoteReference w:id="27"/>
      </w:r>
    </w:p>
    <w:p>
      <w:pPr>
        <w:pStyle w:val="Body Text"/>
        <w:jc w:val="both"/>
      </w:pPr>
      <w:r>
        <w:rPr>
          <w:rtl w:val="0"/>
          <w:lang w:val="en-US"/>
        </w:rPr>
        <w:t xml:space="preserve">The very implementation of the income tax produced a secular accumulation of know-how, particularly, of better technologies able to monitor individual incomes. Unlike </w:t>
      </w:r>
      <w:r>
        <w:rPr>
          <w:rtl w:val="0"/>
          <w:lang w:val="en-US"/>
        </w:rPr>
        <w:t>‘</w:t>
      </w:r>
      <w:r>
        <w:rPr>
          <w:rtl w:val="0"/>
          <w:lang w:val="en-US"/>
        </w:rPr>
        <w:t>regular</w:t>
      </w:r>
      <w:r>
        <w:rPr>
          <w:rtl w:val="0"/>
          <w:lang w:val="en-US"/>
        </w:rPr>
        <w:t xml:space="preserve">’ </w:t>
      </w:r>
      <w:r>
        <w:rPr>
          <w:rtl w:val="0"/>
          <w:lang w:val="en-US"/>
        </w:rPr>
        <w:t>institutions, income taxation infiltrates the state</w:t>
      </w:r>
      <w:r>
        <w:rPr>
          <w:rtl w:val="0"/>
          <w:lang w:val="en-US"/>
        </w:rPr>
        <w:t>’</w:t>
      </w:r>
      <w:r>
        <w:rPr>
          <w:rtl w:val="0"/>
          <w:lang w:val="en-US"/>
        </w:rPr>
        <w:t>s coercive sovereignty unto the individual itself. Not only observing individual economies, but transforming them into public property is what fostered state expansion.</w:t>
      </w:r>
      <w:r>
        <w:rPr>
          <w:rStyle w:val="Footnote Reference"/>
        </w:rPr>
        <w:footnoteReference w:id="28"/>
      </w:r>
      <w:r>
        <w:rPr>
          <w:rtl w:val="0"/>
          <w:lang w:val="en-US"/>
        </w:rPr>
        <w:t xml:space="preserve"> This argument goes in line with Besley et al. (2013) who explain that implementing the income tax law is </w:t>
      </w:r>
      <w:r>
        <w:rPr>
          <w:rtl w:val="0"/>
          <w:lang w:val="en-US"/>
        </w:rPr>
        <w:t>“</w:t>
      </w:r>
      <w:r>
        <w:rPr>
          <w:rtl w:val="0"/>
          <w:lang w:val="en-US"/>
        </w:rPr>
        <w:t>associated with investments in public administrative structures that support tax collection</w:t>
      </w:r>
      <w:r>
        <w:rPr>
          <w:rtl w:val="0"/>
          <w:lang w:val="en-US"/>
        </w:rPr>
        <w:t xml:space="preserve">” </w:t>
      </w:r>
      <w:r>
        <w:rPr>
          <w:rtl w:val="0"/>
          <w:lang w:val="en-US"/>
        </w:rPr>
        <w:t xml:space="preserve">in a number of countries, including Chile. I contend that the knowledge and expertise the state accumulated were transfered to other state institutions via spillovers, augmenting the overall levels of </w:t>
      </w:r>
      <w:r>
        <w:rPr>
          <w:i w:val="1"/>
          <w:iCs w:val="1"/>
          <w:rtl w:val="0"/>
          <w:lang w:val="en-US"/>
        </w:rPr>
        <w:t>stateness</w:t>
      </w:r>
      <w:r>
        <w:rPr>
          <w:rtl w:val="0"/>
          <w:lang w:val="en-US"/>
        </w:rPr>
        <w:t xml:space="preserve">. For instance, it was necessary to send official emissaries to check on accounting books of the refinery in the north, the winery in the central valley and the </w:t>
      </w:r>
      <w:r>
        <w:rPr>
          <w:i w:val="1"/>
          <w:iCs w:val="1"/>
          <w:rtl w:val="0"/>
          <w:lang w:val="en-US"/>
        </w:rPr>
        <w:t>hacienda</w:t>
      </w:r>
      <w:r>
        <w:rPr>
          <w:rtl w:val="0"/>
          <w:lang w:val="en-US"/>
        </w:rPr>
        <w:t xml:space="preserve"> in the south. Eventually, these delegations became more complex, increasing the density of state presence in the territory. For instance, Strayer (2005) explains how official state delegations traveled the territory dispensing judicial decisions, fostering state centralization. Also, Dincecco (2015) explains that states became effective organisms upon centralizing a system of direct taxation and implementing some kind of checks-and-balances system. As I explain in , the Chilean case met these two conditions. Others find that the </w:t>
      </w:r>
      <w:r>
        <w:rPr>
          <w:i w:val="1"/>
          <w:iCs w:val="1"/>
          <w:rtl w:val="0"/>
          <w:lang w:val="en-US"/>
        </w:rPr>
        <w:t>introduction</w:t>
      </w:r>
      <w:r>
        <w:rPr>
          <w:rtl w:val="0"/>
          <w:lang w:val="en-US"/>
        </w:rPr>
        <w:t xml:space="preserve"> of the income tax is associated with state expansion too. For instance, Dincecco &amp; Troiano (2015, p. 3) find </w:t>
      </w:r>
      <w:r>
        <w:rPr>
          <w:rtl w:val="0"/>
          <w:lang w:val="en-US"/>
        </w:rPr>
        <w:t>“</w:t>
      </w:r>
      <w:r>
        <w:rPr>
          <w:rtl w:val="0"/>
          <w:lang w:val="en-US"/>
        </w:rPr>
        <w:t>a positive and significant relationship between the introduction of the income tax and (1) per capita total expenditures, (2) per capita education expenditures, and (3) per capita health expenditures.</w:t>
      </w:r>
      <w:r>
        <w:rPr>
          <w:rtl w:val="0"/>
          <w:lang w:val="en-US"/>
        </w:rPr>
        <w:t xml:space="preserve">” </w:t>
      </w:r>
      <w:r>
        <w:rPr>
          <w:rtl w:val="0"/>
          <w:lang w:val="en-US"/>
        </w:rPr>
        <w:t xml:space="preserve">Analytically, the </w:t>
      </w:r>
      <w:r>
        <w:rPr>
          <w:i w:val="1"/>
          <w:iCs w:val="1"/>
          <w:rtl w:val="0"/>
          <w:lang w:val="en-US"/>
        </w:rPr>
        <w:t>effectiveness</w:t>
      </w:r>
      <w:r>
        <w:rPr>
          <w:rtl w:val="0"/>
          <w:lang w:val="en-US"/>
        </w:rPr>
        <w:t xml:space="preserve"> of income taxation on fiscal </w:t>
      </w:r>
      <w:r>
        <w:rPr>
          <w:i w:val="1"/>
          <w:iCs w:val="1"/>
          <w:rtl w:val="0"/>
          <w:lang w:val="en-US"/>
        </w:rPr>
        <w:t>capacities</w:t>
      </w:r>
      <w:r>
        <w:rPr>
          <w:rtl w:val="0"/>
          <w:lang w:val="en-US"/>
        </w:rPr>
        <w:t xml:space="preserve"> increased due to the nature of the implementation of the income tax. Aghion, Alesina, &amp; Trebbi (2004, p. 566) explain how optimal institutional choices result from political settings where all involved actors </w:t>
      </w:r>
      <w:r>
        <w:rPr>
          <w:rtl w:val="0"/>
          <w:lang w:val="en-US"/>
        </w:rPr>
        <w:t>“</w:t>
      </w:r>
      <w:r>
        <w:rPr>
          <w:rtl w:val="0"/>
          <w:lang w:val="en-US"/>
        </w:rPr>
        <w:t>had a voice in the choice of institutions,</w:t>
      </w:r>
      <w:r>
        <w:rPr>
          <w:rtl w:val="0"/>
          <w:lang w:val="en-US"/>
        </w:rPr>
        <w:t xml:space="preserve">” </w:t>
      </w:r>
      <w:r>
        <w:rPr>
          <w:rtl w:val="0"/>
          <w:lang w:val="en-US"/>
        </w:rPr>
        <w:t>essentially contributing to an equilibrium of quasi-voluntary compliance.</w:t>
      </w:r>
      <w:r>
        <w:rPr>
          <w:rStyle w:val="Footnote Reference"/>
        </w:rPr>
        <w:footnoteReference w:id="29"/>
      </w:r>
      <w:r>
        <w:rPr>
          <w:rtl w:val="0"/>
          <w:lang w:val="en-US"/>
        </w:rPr>
        <w:t xml:space="preserve"> In line with this literature, I find in that </w:t>
      </w:r>
      <w:r>
        <w:rPr>
          <w:i w:val="1"/>
          <w:iCs w:val="1"/>
          <w:rtl w:val="0"/>
          <w:lang w:val="en-US"/>
        </w:rPr>
        <w:t>both</w:t>
      </w:r>
      <w:r>
        <w:rPr>
          <w:rtl w:val="0"/>
          <w:lang w:val="en-US"/>
        </w:rPr>
        <w:t xml:space="preserve"> elites agreed on imposing the tax on themselves.</w:t>
      </w:r>
    </w:p>
    <w:p>
      <w:pPr>
        <w:pStyle w:val="Body Text"/>
        <w:jc w:val="both"/>
      </w:pPr>
      <w:r>
        <w:rPr>
          <w:rtl w:val="0"/>
          <w:lang w:val="en-US"/>
        </w:rPr>
        <w:t xml:space="preserve">Finally, income taxation not only triggered other state capacities. Via a process of assimilation, it also helped constructing the figure of the </w:t>
      </w:r>
      <w:r>
        <w:rPr>
          <w:i w:val="1"/>
          <w:iCs w:val="1"/>
          <w:rtl w:val="0"/>
          <w:lang w:val="en-US"/>
        </w:rPr>
        <w:t>citizen</w:t>
      </w:r>
      <w:r>
        <w:rPr>
          <w:rtl w:val="0"/>
          <w:lang w:val="en-US"/>
        </w:rPr>
        <w:t xml:space="preserve"> centered around the concept of the </w:t>
      </w:r>
      <w:r>
        <w:rPr>
          <w:i w:val="1"/>
          <w:iCs w:val="1"/>
          <w:rtl w:val="0"/>
          <w:lang w:val="en-US"/>
        </w:rPr>
        <w:t>taxpayer</w:t>
      </w:r>
      <w:r>
        <w:rPr>
          <w:rtl w:val="0"/>
          <w:lang w:val="en-US"/>
        </w:rPr>
        <w:t>. Regardless of an individual</w:t>
      </w:r>
      <w:r>
        <w:rPr>
          <w:rtl w:val="0"/>
          <w:lang w:val="en-US"/>
        </w:rPr>
        <w:t>’</w:t>
      </w:r>
      <w:r>
        <w:rPr>
          <w:rtl w:val="0"/>
          <w:lang w:val="en-US"/>
        </w:rPr>
        <w:t xml:space="preserve">s race, religion, culture or any other kind of status, the state classifies its subjects according to their incomes and oblige them to pay, punishing whoever refuses to do so. From a sociological standpoint, this </w:t>
      </w:r>
      <w:r>
        <w:rPr>
          <w:rtl w:val="0"/>
          <w:lang w:val="en-US"/>
        </w:rPr>
        <w:t>“</w:t>
      </w:r>
      <w:r>
        <w:rPr>
          <w:rtl w:val="0"/>
          <w:lang w:val="en-US"/>
        </w:rPr>
        <w:t xml:space="preserve">generality makes taxation a crucial element in the development of the </w:t>
      </w:r>
      <w:r>
        <w:rPr>
          <w:rtl w:val="0"/>
          <w:lang w:val="en-US"/>
        </w:rPr>
        <w:t>‘</w:t>
      </w:r>
      <w:r>
        <w:rPr>
          <w:rtl w:val="0"/>
          <w:lang w:val="en-US"/>
        </w:rPr>
        <w:t>imagined community</w:t>
      </w:r>
      <w:r>
        <w:rPr>
          <w:rtl w:val="0"/>
          <w:lang w:val="en-US"/>
        </w:rPr>
        <w:t>’</w:t>
      </w:r>
      <w:r>
        <w:rPr>
          <w:rStyle w:val="Footnote Reference"/>
        </w:rPr>
        <w:footnoteReference w:id="30"/>
      </w:r>
      <w:r>
        <w:rPr>
          <w:rtl w:val="0"/>
          <w:lang w:val="en-US"/>
        </w:rPr>
        <w:t xml:space="preserve"> of the modern nation-state [...] Taxation enmeshes us in the web of generalized reciprocity that constitutes modern society.</w:t>
      </w:r>
      <w:r>
        <w:rPr>
          <w:rtl w:val="0"/>
          <w:lang w:val="en-US"/>
        </w:rPr>
        <w:t>”</w:t>
      </w:r>
      <w:r>
        <w:rPr>
          <w:rStyle w:val="Footnote Reference"/>
        </w:rPr>
        <w:footnoteReference w:id="31"/>
      </w:r>
    </w:p>
    <w:p>
      <w:pPr>
        <w:pStyle w:val="Heading"/>
        <w:jc w:val="both"/>
      </w:pPr>
      <w:bookmarkStart w:name="historicalbackgroundchilesection" w:id="1"/>
      <w:bookmarkEnd w:id="1"/>
      <w:r>
        <w:rPr>
          <w:rtl w:val="0"/>
        </w:rPr>
        <w:t>H</w:t>
      </w:r>
      <w:r>
        <w:rPr>
          <w:rtl w:val="0"/>
          <w:lang w:val="en-US"/>
        </w:rPr>
        <w:t>istorical Background</w:t>
      </w:r>
    </w:p>
    <w:p>
      <w:pPr>
        <w:pStyle w:val="First Paragraph"/>
        <w:jc w:val="both"/>
      </w:pPr>
      <w:r>
        <w:rPr>
          <w:rtl w:val="0"/>
          <w:lang w:val="en-US"/>
        </w:rPr>
        <w:t xml:space="preserve">Historians still debate whether agriculturalists and industrialists comprised two </w:t>
      </w:r>
      <w:r>
        <w:rPr>
          <w:i w:val="1"/>
          <w:iCs w:val="1"/>
          <w:rtl w:val="0"/>
          <w:lang w:val="en-US"/>
        </w:rPr>
        <w:t>different</w:t>
      </w:r>
      <w:r>
        <w:rPr>
          <w:rtl w:val="0"/>
          <w:lang w:val="en-US"/>
        </w:rPr>
        <w:t xml:space="preserve"> elites. Some claim that this dualism is incorrect.</w:t>
      </w:r>
      <w:r>
        <w:rPr>
          <w:rStyle w:val="Footnote Reference"/>
        </w:rPr>
        <w:footnoteReference w:id="32"/>
      </w:r>
      <w:r>
        <w:rPr>
          <w:rtl w:val="0"/>
          <w:lang w:val="en-US"/>
        </w:rPr>
        <w:t xml:space="preserve"> They argue that since landowners also invested in industry,</w:t>
      </w:r>
      <w:r>
        <w:rPr>
          <w:rStyle w:val="Footnote Reference"/>
        </w:rPr>
        <w:footnoteReference w:id="33"/>
      </w:r>
      <w:r>
        <w:rPr>
          <w:rtl w:val="0"/>
          <w:lang w:val="en-US"/>
        </w:rPr>
        <w:t xml:space="preserve"> there was a blurry class division between the mining, banking and agricultural sectors.</w:t>
      </w:r>
      <w:r>
        <w:rPr>
          <w:rStyle w:val="Footnote Reference"/>
        </w:rPr>
        <w:footnoteReference w:id="34"/>
      </w:r>
      <w:r>
        <w:rPr>
          <w:rtl w:val="0"/>
          <w:lang w:val="en-US"/>
        </w:rPr>
        <w:t xml:space="preserve"> Perhaps the most cited reference regarding this issue is Veliz (1963, pp. 231</w:t>
      </w:r>
      <w:r>
        <w:rPr>
          <w:rtl w:val="0"/>
          <w:lang w:val="en-US"/>
        </w:rPr>
        <w:t>–</w:t>
      </w:r>
      <w:r>
        <w:rPr>
          <w:rtl w:val="0"/>
          <w:lang w:val="en-US"/>
        </w:rPr>
        <w:t xml:space="preserve">247). I contend that there are a series of stylized facts that strongly suggest that there was indeed a structural economic cleavage which led to the consolidation of two separate sectors. First of all, there were certain practices that mask the existence of a sectoral dualism. For example, it was common that industrialists invested in real state. However, in many instances they did so </w:t>
      </w:r>
      <w:r>
        <w:rPr>
          <w:i w:val="1"/>
          <w:iCs w:val="1"/>
          <w:rtl w:val="0"/>
          <w:lang w:val="en-US"/>
        </w:rPr>
        <w:t>just</w:t>
      </w:r>
      <w:r>
        <w:rPr>
          <w:rtl w:val="0"/>
          <w:lang w:val="en-US"/>
        </w:rPr>
        <w:t xml:space="preserve"> to obtain credit. Kirsch (1977, p. 59) explains that </w:t>
      </w:r>
      <w:r>
        <w:rPr>
          <w:rtl w:val="0"/>
          <w:lang w:val="en-US"/>
        </w:rPr>
        <w:t>“</w:t>
      </w:r>
      <w:r>
        <w:rPr>
          <w:rtl w:val="0"/>
          <w:lang w:val="en-US"/>
        </w:rPr>
        <w:t xml:space="preserve">in a </w:t>
      </w:r>
      <w:r>
        <w:rPr>
          <w:i w:val="1"/>
          <w:iCs w:val="1"/>
          <w:rtl w:val="0"/>
          <w:lang w:val="en-US"/>
        </w:rPr>
        <w:t>rural society</w:t>
      </w:r>
      <w:r>
        <w:rPr>
          <w:rtl w:val="0"/>
          <w:lang w:val="en-US"/>
        </w:rPr>
        <w:t xml:space="preserve"> land offered one of the best guarantees for loans [since] loans could not be secured by equipment, machinery, or inventory. Only real estate was acceptable collateral.</w:t>
      </w:r>
      <w:r>
        <w:rPr>
          <w:rtl w:val="0"/>
          <w:lang w:val="en-US"/>
        </w:rPr>
        <w:t>”</w:t>
      </w:r>
      <w:r>
        <w:rPr>
          <w:rStyle w:val="Footnote Reference"/>
        </w:rPr>
        <w:footnoteReference w:id="35"/>
      </w:r>
      <w:r>
        <w:rPr>
          <w:rtl w:val="0"/>
          <w:lang w:val="en-US"/>
        </w:rPr>
        <w:t xml:space="preserve"> In fact, this practice shows how the credit system was oriented to give unfair advantage to the landed elites. Similarly, Zeitlin (1984, p. 174) finds </w:t>
      </w:r>
      <w:r>
        <w:rPr>
          <w:rtl w:val="0"/>
          <w:lang w:val="en-US"/>
        </w:rPr>
        <w:t>‘</w:t>
      </w:r>
      <w:r>
        <w:rPr>
          <w:rtl w:val="0"/>
          <w:lang w:val="en-US"/>
        </w:rPr>
        <w:t xml:space="preserve">the combined ownership of capital and landed property was a distinctive quality of </w:t>
      </w:r>
      <w:r>
        <w:rPr>
          <w:i w:val="1"/>
          <w:iCs w:val="1"/>
          <w:rtl w:val="0"/>
          <w:lang w:val="en-US"/>
        </w:rPr>
        <w:t>certain</w:t>
      </w:r>
      <w:r>
        <w:rPr>
          <w:rtl w:val="0"/>
          <w:lang w:val="en-US"/>
        </w:rPr>
        <w:t xml:space="preserve"> [elites] actors,</w:t>
      </w:r>
      <w:r>
        <w:rPr>
          <w:rtl w:val="0"/>
          <w:lang w:val="en-US"/>
        </w:rPr>
        <w:t>’</w:t>
      </w:r>
      <w:r>
        <w:rPr>
          <w:rStyle w:val="Footnote Reference"/>
        </w:rPr>
        <w:footnoteReference w:id="36"/>
      </w:r>
      <w:r>
        <w:rPr>
          <w:rtl w:val="0"/>
          <w:lang w:val="en-US"/>
        </w:rPr>
        <w:t xml:space="preserve"> not something that was generalizable to </w:t>
      </w:r>
      <w:r>
        <w:rPr>
          <w:i w:val="1"/>
          <w:iCs w:val="1"/>
          <w:rtl w:val="0"/>
          <w:lang w:val="en-US"/>
        </w:rPr>
        <w:t>the</w:t>
      </w:r>
      <w:r>
        <w:rPr>
          <w:rtl w:val="0"/>
          <w:lang w:val="en-US"/>
        </w:rPr>
        <w:t xml:space="preserve"> elites. There were also other instances where miners invested in banking. Yet, Segall (1953) argues that Chilean bankers, after the crisis of the mining sector around the 1870s, had acquired a number of mineral deposits given as collateral years before. Similarly, but for the Argentinean case, Hora (2002, p. 609) explains that </w:t>
      </w:r>
      <w:r>
        <w:rPr>
          <w:rtl w:val="0"/>
          <w:lang w:val="en-US"/>
        </w:rPr>
        <w:t>‘</w:t>
      </w:r>
      <w:r>
        <w:rPr>
          <w:rtl w:val="0"/>
          <w:lang w:val="en-US"/>
        </w:rPr>
        <w:t xml:space="preserve">the image of an entrepreneurial elite with assets </w:t>
      </w:r>
      <w:r>
        <w:rPr>
          <w:i w:val="1"/>
          <w:iCs w:val="1"/>
          <w:rtl w:val="0"/>
          <w:lang w:val="en-US"/>
        </w:rPr>
        <w:t>scattered throughout several spheres of investment</w:t>
      </w:r>
      <w:r>
        <w:rPr>
          <w:rtl w:val="0"/>
          <w:lang w:val="en-US"/>
        </w:rPr>
        <w:t xml:space="preserve"> does not appear entirely correct.</w:t>
      </w:r>
      <w:r>
        <w:rPr>
          <w:rtl w:val="0"/>
          <w:lang w:val="en-US"/>
        </w:rPr>
        <w:t>’</w:t>
      </w:r>
      <w:r>
        <w:rPr>
          <w:rStyle w:val="Footnote Reference"/>
        </w:rPr>
        <w:footnoteReference w:id="37"/>
      </w:r>
      <w:r>
        <w:rPr>
          <w:rtl w:val="0"/>
          <w:lang w:val="en-US"/>
        </w:rPr>
        <w:t xml:space="preserve"> I contend that the nature of the main factors of production of agriculturalists and industrialists (land v. capital), in addition to their preferences over fiscal policy, produced a strong sectoral cleavage. In fact, borrowing from the Lewis model of economic growth, I explain elsewhere that the agricultural sector</w:t>
      </w:r>
      <w:r>
        <w:rPr>
          <w:rtl w:val="0"/>
          <w:lang w:val="en-US"/>
        </w:rPr>
        <w:t>’</w:t>
      </w:r>
      <w:r>
        <w:rPr>
          <w:rtl w:val="0"/>
          <w:lang w:val="en-US"/>
        </w:rPr>
        <w:t>s role in the economy is to supply labor to the industrial sector, limiting agriculture</w:t>
      </w:r>
      <w:r>
        <w:rPr>
          <w:rtl w:val="0"/>
          <w:lang w:val="en-US"/>
        </w:rPr>
        <w:t>’</w:t>
      </w:r>
      <w:r>
        <w:rPr>
          <w:rtl w:val="0"/>
          <w:lang w:val="en-US"/>
        </w:rPr>
        <w:t>s expansion relative to industry</w:t>
      </w:r>
      <w:r>
        <w:rPr>
          <w:rtl w:val="0"/>
          <w:lang w:val="en-US"/>
        </w:rPr>
        <w:t>’</w:t>
      </w:r>
      <w:r>
        <w:rPr>
          <w:rtl w:val="0"/>
          <w:lang w:val="en-US"/>
        </w:rPr>
        <w:t>s growth,</w:t>
      </w:r>
      <w:r>
        <w:rPr>
          <w:rStyle w:val="Footnote Reference"/>
        </w:rPr>
        <w:footnoteReference w:id="38"/>
      </w:r>
      <w:r>
        <w:rPr>
          <w:rtl w:val="0"/>
          <w:lang w:val="en-US"/>
        </w:rPr>
        <w:t xml:space="preserve"> evidencing the lack of incentives of crossed investments.</w:t>
      </w:r>
    </w:p>
    <w:p>
      <w:pPr>
        <w:pStyle w:val="Body Text"/>
        <w:jc w:val="both"/>
      </w:pPr>
      <w:r>
        <w:rPr>
          <w:rtl w:val="0"/>
          <w:lang w:val="en-US"/>
        </w:rPr>
        <w:t>In all Latin American economies during and after the colonial period, agriculture was the most important sector.</w:t>
      </w:r>
      <w:r>
        <w:rPr>
          <w:rStyle w:val="Footnote Reference"/>
        </w:rPr>
        <w:footnoteReference w:id="39"/>
      </w:r>
      <w:r>
        <w:rPr>
          <w:rtl w:val="0"/>
          <w:lang w:val="en-US"/>
        </w:rPr>
        <w:t xml:space="preserve"> Thus, by extension, agricultural political elites were the most powerful group.</w:t>
      </w:r>
      <w:r>
        <w:rPr>
          <w:rStyle w:val="Footnote Reference"/>
        </w:rPr>
        <w:footnoteReference w:id="40"/>
      </w:r>
      <w:r>
        <w:rPr>
          <w:rtl w:val="0"/>
          <w:lang w:val="en-US"/>
        </w:rPr>
        <w:t xml:space="preserve"> Collier &amp; Collier (2002, p. 106) explain that the </w:t>
      </w:r>
      <w:r>
        <w:rPr>
          <w:rtl w:val="0"/>
          <w:lang w:val="en-US"/>
        </w:rPr>
        <w:t>“</w:t>
      </w:r>
      <w:r>
        <w:rPr>
          <w:rtl w:val="0"/>
          <w:lang w:val="en-US"/>
        </w:rPr>
        <w:t>national government was dominated by the central part of the country, with owners of large agricultural holdings playing a predominant role.</w:t>
      </w:r>
      <w:r>
        <w:rPr>
          <w:rtl w:val="0"/>
          <w:lang w:val="en-US"/>
        </w:rPr>
        <w:t>”</w:t>
      </w:r>
      <w:r>
        <w:rPr>
          <w:rStyle w:val="Footnote Reference"/>
        </w:rPr>
        <w:footnoteReference w:id="41"/>
      </w:r>
      <w:r>
        <w:rPr>
          <w:rtl w:val="0"/>
          <w:lang w:val="en-US"/>
        </w:rPr>
        <w:t xml:space="preserve"> There existed an important asymmetry, however. While both the agricultural and industrial sectors were growing at the same pace (see , top panel), the latter were kept from participating in politics under fair conditions.</w:t>
      </w:r>
      <w:r>
        <w:rPr>
          <w:rStyle w:val="Footnote Reference"/>
        </w:rPr>
        <w:footnoteReference w:id="42"/>
      </w:r>
      <w:r>
        <w:rPr>
          <w:rtl w:val="0"/>
          <w:lang w:val="en-US"/>
        </w:rPr>
        <w:t xml:space="preserve"> Initially, this asymmetry led these two </w:t>
      </w:r>
      <w:r>
        <w:rPr>
          <w:rtl w:val="0"/>
          <w:lang w:val="en-US"/>
        </w:rPr>
        <w:t>‘</w:t>
      </w:r>
      <w:r>
        <w:rPr>
          <w:rtl w:val="0"/>
          <w:lang w:val="en-US"/>
        </w:rPr>
        <w:t>antagonistic elites</w:t>
      </w:r>
      <w:r>
        <w:rPr>
          <w:rtl w:val="0"/>
          <w:lang w:val="en-US"/>
        </w:rPr>
        <w:t>’</w:t>
      </w:r>
      <w:r>
        <w:rPr>
          <w:rStyle w:val="Footnote Reference"/>
        </w:rPr>
        <w:footnoteReference w:id="43"/>
      </w:r>
      <w:r>
        <w:rPr>
          <w:rtl w:val="0"/>
          <w:lang w:val="en-US"/>
        </w:rPr>
        <w:t xml:space="preserve"> to two bloody civil wars. Zeitlin (1984, p. 23) argues that the civil wars challenged a </w:t>
      </w:r>
      <w:r>
        <w:rPr>
          <w:rtl w:val="0"/>
          <w:lang w:val="en-US"/>
        </w:rPr>
        <w:t>“</w:t>
      </w:r>
      <w:r>
        <w:rPr>
          <w:rtl w:val="0"/>
          <w:lang w:val="en-US"/>
        </w:rPr>
        <w:t>large landed property [elite against a] productive capital[ist] [elite].</w:t>
      </w:r>
      <w:r>
        <w:rPr>
          <w:rtl w:val="0"/>
          <w:lang w:val="en-US"/>
        </w:rPr>
        <w:t xml:space="preserve">” </w:t>
      </w:r>
      <w:r>
        <w:rPr>
          <w:rtl w:val="0"/>
          <w:lang w:val="en-US"/>
        </w:rPr>
        <w:t xml:space="preserve">Due to low levels of inequality (and similar military capacities) war was not sustainable overtime. For instance, while </w:t>
      </w:r>
      <w:r>
        <w:rPr>
          <w:i w:val="1"/>
          <w:iCs w:val="1"/>
          <w:rtl w:val="0"/>
          <w:lang w:val="en-US"/>
        </w:rPr>
        <w:t>Balmacedistas</w:t>
      </w:r>
      <w:r>
        <w:rPr>
          <w:rtl w:val="0"/>
          <w:lang w:val="en-US"/>
        </w:rPr>
        <w:t xml:space="preserve"> managed to secure the support of the army, </w:t>
      </w:r>
      <w:r>
        <w:rPr>
          <w:i w:val="1"/>
          <w:iCs w:val="1"/>
          <w:rtl w:val="0"/>
          <w:lang w:val="en-US"/>
        </w:rPr>
        <w:t>congresistas</w:t>
      </w:r>
      <w:r>
        <w:rPr>
          <w:rtl w:val="0"/>
          <w:lang w:val="en-US"/>
        </w:rPr>
        <w:t xml:space="preserve"> (the anti-Balmaceda group) gathered support from the navy. Similarly, in the subsequent years of the civil war, there were a number of </w:t>
      </w:r>
      <w:r>
        <w:rPr>
          <w:i w:val="1"/>
          <w:iCs w:val="1"/>
          <w:rtl w:val="0"/>
          <w:lang w:val="en-US"/>
        </w:rPr>
        <w:t>aborted</w:t>
      </w:r>
      <w:r>
        <w:rPr>
          <w:rtl w:val="0"/>
          <w:lang w:val="en-US"/>
        </w:rPr>
        <w:t xml:space="preserve"> coups in 1907, 1912, 1915 and 1919,</w:t>
      </w:r>
      <w:r>
        <w:rPr>
          <w:rStyle w:val="Footnote Reference"/>
        </w:rPr>
        <w:footnoteReference w:id="44"/>
      </w:r>
      <w:r>
        <w:rPr>
          <w:rtl w:val="0"/>
          <w:lang w:val="en-US"/>
        </w:rPr>
        <w:t xml:space="preserve"> suggesting an equilibrium where no elite was the leading elite. In 1924, industrial elites accepted to be income taxed by agriculturalist incumbents in exchange of having more </w:t>
      </w:r>
      <w:r>
        <w:rPr>
          <w:i w:val="1"/>
          <w:iCs w:val="1"/>
          <w:rtl w:val="0"/>
          <w:lang w:val="en-US"/>
        </w:rPr>
        <w:t>state services</w:t>
      </w:r>
      <w:r>
        <w:rPr>
          <w:rtl w:val="0"/>
          <w:lang w:val="en-US"/>
        </w:rPr>
        <w:t xml:space="preserve"> and being included in state politics. As others have explained, the non-agricultural sector </w:t>
      </w:r>
      <w:r>
        <w:rPr>
          <w:rtl w:val="0"/>
          <w:lang w:val="en-US"/>
        </w:rPr>
        <w:t>“</w:t>
      </w:r>
      <w:r>
        <w:rPr>
          <w:rtl w:val="0"/>
          <w:lang w:val="en-US"/>
        </w:rPr>
        <w:t xml:space="preserve">accepted taxation, </w:t>
      </w:r>
      <w:r>
        <w:rPr>
          <w:i w:val="1"/>
          <w:iCs w:val="1"/>
          <w:rtl w:val="0"/>
          <w:lang w:val="en-US"/>
        </w:rPr>
        <w:t>while demanding state services and expecting to influence how tax revenues were spent</w:t>
      </w:r>
      <w:r>
        <w:rPr>
          <w:rtl w:val="0"/>
          <w:lang w:val="en-US"/>
        </w:rPr>
        <w:t xml:space="preserve"> [...] </w:t>
      </w:r>
      <w:r>
        <w:rPr>
          <w:i w:val="1"/>
          <w:iCs w:val="1"/>
          <w:rtl w:val="0"/>
          <w:lang w:val="en-US"/>
        </w:rPr>
        <w:t>Consultation and cooperation were relatively institutionalised between the two sides</w:t>
      </w:r>
      <w:r>
        <w:rPr>
          <w:rtl w:val="0"/>
          <w:lang w:val="en-US"/>
        </w:rPr>
        <w:t>.</w:t>
      </w:r>
      <w:r>
        <w:rPr>
          <w:rtl w:val="0"/>
          <w:lang w:val="en-US"/>
        </w:rPr>
        <w:t>”</w:t>
      </w:r>
      <w:r>
        <w:rPr>
          <w:rStyle w:val="Footnote Reference"/>
        </w:rPr>
        <w:footnoteReference w:id="45"/>
      </w:r>
      <w:r>
        <w:rPr>
          <w:rtl w:val="0"/>
          <w:lang w:val="en-US"/>
        </w:rPr>
        <w:t xml:space="preserve"> As explained above, income taxation not only increased the treasuries</w:t>
      </w:r>
      <w:r>
        <w:rPr>
          <w:rtl w:val="0"/>
          <w:lang w:val="en-US"/>
        </w:rPr>
        <w:t xml:space="preserve">’ </w:t>
      </w:r>
      <w:r>
        <w:rPr>
          <w:rtl w:val="0"/>
          <w:lang w:val="en-US"/>
        </w:rPr>
        <w:t xml:space="preserve">budget. Importantly, these sectoral compromises increased the complexity of the state, expanding its dominion beyond Santiago. Also, it allowed previously-excluded (industrial) elites to influence on public spendings. </w:t>
      </w:r>
      <w:r>
        <w:rPr>
          <w:i w:val="1"/>
          <w:iCs w:val="1"/>
          <w:rtl w:val="0"/>
          <w:lang w:val="en-US"/>
        </w:rPr>
        <w:t>Did sectoral contestation increase state capacities? Did implementing the income tax increase state capacities overtime?</w:t>
      </w:r>
    </w:p>
    <w:p>
      <w:pPr>
        <w:pStyle w:val="Heading"/>
        <w:jc w:val="both"/>
      </w:pPr>
      <w:bookmarkStart w:name="fromearthquakedeathtollstostatecapacitie" w:id="2"/>
      <w:bookmarkEnd w:id="2"/>
      <w:r>
        <w:rPr>
          <w:rtl w:val="0"/>
        </w:rPr>
        <w:t>F</w:t>
      </w:r>
      <w:r>
        <w:rPr>
          <w:rtl w:val="0"/>
          <w:lang w:val="en-US"/>
        </w:rPr>
        <w:t>rom Earthquake Death Tolls to State Capacities</w:t>
      </w:r>
    </w:p>
    <w:p>
      <w:pPr>
        <w:pStyle w:val="First Paragraph"/>
        <w:jc w:val="both"/>
      </w:pPr>
      <w:r>
        <w:rPr>
          <w:rtl w:val="0"/>
          <w:lang w:val="en-US"/>
        </w:rPr>
        <w:t>More than being blessed, the literature is in fact cursed with an over abundance of poor indicators of state capacities.</w:t>
      </w:r>
      <w:r>
        <w:rPr>
          <w:rStyle w:val="Footnote Reference"/>
        </w:rPr>
        <w:footnoteReference w:id="46"/>
      </w:r>
      <w:r>
        <w:rPr>
          <w:rtl w:val="0"/>
          <w:lang w:val="en-US"/>
        </w:rPr>
        <w:t xml:space="preserve"> Soifer (2012, p. 589) explains that there exists an </w:t>
      </w:r>
      <w:r>
        <w:rPr>
          <w:rtl w:val="0"/>
          <w:lang w:val="en-US"/>
        </w:rPr>
        <w:t>“</w:t>
      </w:r>
      <w:r>
        <w:rPr>
          <w:rtl w:val="0"/>
          <w:lang w:val="en-US"/>
        </w:rPr>
        <w:t>industry of indices measuring state weakness, state failure, and state fragility [which] has cropped up in recent years.</w:t>
      </w:r>
      <w:r>
        <w:rPr>
          <w:rtl w:val="0"/>
          <w:lang w:val="en-US"/>
        </w:rPr>
        <w:t xml:space="preserve">” </w:t>
      </w:r>
      <w:r>
        <w:rPr>
          <w:rtl w:val="0"/>
          <w:lang w:val="en-US"/>
        </w:rPr>
        <w:t xml:space="preserve">Yet, as Fukuyama (2013, p. 347) argues, its abundance </w:t>
      </w:r>
      <w:r>
        <w:rPr>
          <w:rtl w:val="0"/>
          <w:lang w:val="en-US"/>
        </w:rPr>
        <w:t>“</w:t>
      </w:r>
      <w:r>
        <w:rPr>
          <w:rtl w:val="0"/>
          <w:lang w:val="en-US"/>
        </w:rPr>
        <w:t>points to the poor state of empirical measures of the quality of states.</w:t>
      </w:r>
      <w:r>
        <w:rPr>
          <w:rtl w:val="0"/>
          <w:lang w:val="en-US"/>
        </w:rPr>
        <w:t xml:space="preserve">” </w:t>
      </w:r>
      <w:r>
        <w:rPr>
          <w:rtl w:val="0"/>
          <w:lang w:val="en-US"/>
        </w:rPr>
        <w:t xml:space="preserve">The literature points out to two mayor concerns. First, </w:t>
      </w:r>
      <w:r>
        <w:rPr>
          <w:rtl w:val="0"/>
          <w:lang w:val="en-US"/>
        </w:rPr>
        <w:t>‘</w:t>
      </w:r>
      <w:r>
        <w:rPr>
          <w:rtl w:val="0"/>
          <w:lang w:val="en-US"/>
        </w:rPr>
        <w:t>most fragility indices barely satisfy scientific standards.</w:t>
      </w:r>
      <w:r>
        <w:rPr>
          <w:rtl w:val="0"/>
          <w:lang w:val="en-US"/>
        </w:rPr>
        <w:t>’</w:t>
      </w:r>
      <w:r>
        <w:rPr>
          <w:rStyle w:val="Footnote Reference"/>
        </w:rPr>
        <w:footnoteReference w:id="47"/>
      </w:r>
      <w:r>
        <w:rPr>
          <w:rtl w:val="0"/>
          <w:lang w:val="en-US"/>
        </w:rPr>
        <w:t xml:space="preserve"> And second, most indices are conflated with analytical and conceptual problems.</w:t>
      </w:r>
      <w:r>
        <w:rPr>
          <w:rStyle w:val="Footnote Reference"/>
        </w:rPr>
        <w:footnoteReference w:id="48"/>
      </w:r>
      <w:r>
        <w:rPr>
          <w:rtl w:val="0"/>
          <w:lang w:val="en-US"/>
        </w:rPr>
        <w:t xml:space="preserve"> One notable example is protection of the rule of law which is commonly used as proxy for state capacities.</w:t>
      </w:r>
      <w:r>
        <w:rPr>
          <w:rStyle w:val="Footnote Reference"/>
        </w:rPr>
        <w:footnoteReference w:id="49"/>
      </w:r>
      <w:r>
        <w:rPr>
          <w:rtl w:val="0"/>
          <w:lang w:val="en-US"/>
        </w:rPr>
        <w:t xml:space="preserve"> As Kurtz &amp; Schrank (2007, p. 543) explain, this strategy is severely confounded </w:t>
      </w:r>
      <w:r>
        <w:rPr>
          <w:rtl w:val="0"/>
          <w:lang w:val="en-US"/>
        </w:rPr>
        <w:t>“</w:t>
      </w:r>
      <w:r>
        <w:rPr>
          <w:rtl w:val="0"/>
          <w:lang w:val="en-US"/>
        </w:rPr>
        <w:t>with policy preferences over the structure of private property rights.</w:t>
      </w:r>
      <w:r>
        <w:rPr>
          <w:rtl w:val="0"/>
          <w:lang w:val="en-US"/>
        </w:rPr>
        <w:t xml:space="preserve">” </w:t>
      </w:r>
      <w:r>
        <w:rPr>
          <w:rtl w:val="0"/>
          <w:lang w:val="en-US"/>
        </w:rPr>
        <w:t xml:space="preserve">On the one hand, this is problematic since the sources of these data are usually elite interviews. To </w:t>
      </w:r>
      <w:r>
        <w:rPr>
          <w:rtl w:val="0"/>
          <w:lang w:val="en-US"/>
        </w:rPr>
        <w:t>“</w:t>
      </w:r>
      <w:r>
        <w:rPr>
          <w:rtl w:val="0"/>
          <w:lang w:val="en-US"/>
        </w:rPr>
        <w:t xml:space="preserve">the extent that public bureaucracies </w:t>
      </w:r>
      <w:r>
        <w:rPr>
          <w:i w:val="1"/>
          <w:iCs w:val="1"/>
          <w:rtl w:val="0"/>
          <w:lang w:val="en-US"/>
        </w:rPr>
        <w:t>are</w:t>
      </w:r>
      <w:r>
        <w:rPr>
          <w:rtl w:val="0"/>
          <w:lang w:val="en-US"/>
        </w:rPr>
        <w:t xml:space="preserve"> effective in imposing taxes or regulatory demands [...] they are likely to be judged </w:t>
      </w:r>
      <w:r>
        <w:rPr>
          <w:rtl w:val="0"/>
          <w:lang w:val="en-US"/>
        </w:rPr>
        <w:t>‘</w:t>
      </w:r>
      <w:r>
        <w:rPr>
          <w:rtl w:val="0"/>
          <w:lang w:val="en-US"/>
        </w:rPr>
        <w:t>burdensome</w:t>
      </w:r>
      <w:r>
        <w:rPr>
          <w:rtl w:val="0"/>
          <w:lang w:val="en-US"/>
        </w:rPr>
        <w:t xml:space="preserve">’ </w:t>
      </w:r>
      <w:r>
        <w:rPr>
          <w:rtl w:val="0"/>
          <w:lang w:val="en-US"/>
        </w:rPr>
        <w:t xml:space="preserve">and </w:t>
      </w:r>
      <w:r>
        <w:rPr>
          <w:rtl w:val="0"/>
          <w:lang w:val="en-US"/>
        </w:rPr>
        <w:t>‘</w:t>
      </w:r>
      <w:r>
        <w:rPr>
          <w:rtl w:val="0"/>
          <w:lang w:val="en-US"/>
        </w:rPr>
        <w:t>growth-inhibiting</w:t>
      </w:r>
      <w:r>
        <w:rPr>
          <w:rtl w:val="0"/>
          <w:lang w:val="en-US"/>
        </w:rPr>
        <w:t xml:space="preserve">’ </w:t>
      </w:r>
      <w:r>
        <w:rPr>
          <w:rtl w:val="0"/>
          <w:lang w:val="en-US"/>
        </w:rPr>
        <w:t>by many businesspersons,</w:t>
      </w:r>
      <w:r>
        <w:rPr>
          <w:rtl w:val="0"/>
          <w:lang w:val="en-US"/>
        </w:rPr>
        <w:t>”</w:t>
      </w:r>
      <w:r>
        <w:rPr>
          <w:rStyle w:val="Footnote Reference"/>
        </w:rPr>
        <w:footnoteReference w:id="50"/>
      </w:r>
      <w:r>
        <w:rPr>
          <w:rtl w:val="0"/>
          <w:lang w:val="en-US"/>
        </w:rPr>
        <w:t xml:space="preserve"> introducing in this way systematic measurement error.</w:t>
      </w:r>
      <w:r>
        <w:rPr>
          <w:rStyle w:val="Footnote Reference"/>
        </w:rPr>
        <w:footnoteReference w:id="51"/>
      </w:r>
      <w:r>
        <w:rPr>
          <w:rtl w:val="0"/>
          <w:lang w:val="en-US"/>
        </w:rPr>
        <w:t xml:space="preserve"> Likewise, expert surveys suffer from the same problem.</w:t>
      </w:r>
      <w:r>
        <w:rPr>
          <w:rStyle w:val="Footnote Reference"/>
        </w:rPr>
        <w:footnoteReference w:id="52"/>
      </w:r>
      <w:r>
        <w:rPr>
          <w:rtl w:val="0"/>
          <w:lang w:val="en-US"/>
        </w:rPr>
        <w:t xml:space="preserve"> On the other hand, the problem is conceptual. As Soifer (2008, p. 247) puts it, there is a widely spread </w:t>
      </w:r>
      <w:r>
        <w:rPr>
          <w:rtl w:val="0"/>
          <w:lang w:val="en-US"/>
        </w:rPr>
        <w:t>“</w:t>
      </w:r>
      <w:r>
        <w:rPr>
          <w:rtl w:val="0"/>
          <w:lang w:val="en-US"/>
        </w:rPr>
        <w:t>problem of misalignment between dimension and indicator.</w:t>
      </w:r>
      <w:r>
        <w:rPr>
          <w:rtl w:val="0"/>
          <w:lang w:val="en-US"/>
        </w:rPr>
        <w:t xml:space="preserve">” </w:t>
      </w:r>
      <w:r>
        <w:rPr>
          <w:rtl w:val="0"/>
          <w:lang w:val="en-US"/>
        </w:rPr>
        <w:t xml:space="preserve">Kurtz &amp; Schrank (2012, p. 619) recommend to </w:t>
      </w:r>
      <w:r>
        <w:rPr>
          <w:rtl w:val="0"/>
          <w:lang w:val="en-US"/>
        </w:rPr>
        <w:t>“</w:t>
      </w:r>
      <w:r>
        <w:rPr>
          <w:rtl w:val="0"/>
          <w:lang w:val="en-US"/>
        </w:rPr>
        <w:t>explicitly avoid an emphasis on outputs that are at the center of political or policy debates, such as property rights.</w:t>
      </w:r>
      <w:r>
        <w:rPr>
          <w:rtl w:val="0"/>
          <w:lang w:val="en-US"/>
        </w:rPr>
        <w:t xml:space="preserve">” </w:t>
      </w:r>
      <w:r>
        <w:rPr>
          <w:rtl w:val="0"/>
          <w:lang w:val="en-US"/>
        </w:rPr>
        <w:t xml:space="preserve">For example, the U.S.S.R. did have a strong state, however it did </w:t>
      </w:r>
      <w:r>
        <w:rPr>
          <w:i w:val="1"/>
          <w:iCs w:val="1"/>
          <w:rtl w:val="0"/>
          <w:lang w:val="en-US"/>
        </w:rPr>
        <w:t>not</w:t>
      </w:r>
      <w:r>
        <w:rPr>
          <w:rtl w:val="0"/>
          <w:lang w:val="en-US"/>
        </w:rPr>
        <w:t xml:space="preserve"> protect property rights. Another example has to do with the indicators provided by the World Bank. These series are </w:t>
      </w:r>
      <w:r>
        <w:rPr>
          <w:rtl w:val="0"/>
          <w:lang w:val="en-US"/>
        </w:rPr>
        <w:t>“</w:t>
      </w:r>
      <w:r>
        <w:rPr>
          <w:rtl w:val="0"/>
          <w:lang w:val="en-US"/>
        </w:rPr>
        <w:t>[c]learly, the most comprehensive source for cross-national measures of governance.</w:t>
      </w:r>
      <w:r>
        <w:rPr>
          <w:rtl w:val="0"/>
          <w:lang w:val="en-US"/>
        </w:rPr>
        <w:t>”</w:t>
      </w:r>
      <w:r>
        <w:rPr>
          <w:rStyle w:val="Footnote Reference"/>
        </w:rPr>
        <w:footnoteReference w:id="53"/>
      </w:r>
      <w:r>
        <w:rPr>
          <w:rtl w:val="0"/>
          <w:lang w:val="en-US"/>
        </w:rPr>
        <w:t xml:space="preserve"> They consider absence of violence, among others. However, </w:t>
      </w:r>
      <w:r>
        <w:rPr>
          <w:rtl w:val="0"/>
          <w:lang w:val="en-US"/>
        </w:rPr>
        <w:t>“</w:t>
      </w:r>
      <w:r>
        <w:rPr>
          <w:rtl w:val="0"/>
          <w:lang w:val="en-US"/>
        </w:rPr>
        <w:t>there isn</w:t>
      </w:r>
      <w:r>
        <w:rPr>
          <w:rtl w:val="0"/>
          <w:lang w:val="en-US"/>
        </w:rPr>
        <w:t>’</w:t>
      </w:r>
      <w:r>
        <w:rPr>
          <w:rtl w:val="0"/>
          <w:lang w:val="en-US"/>
        </w:rPr>
        <w:t>t much byway of street crime or military coup attempts in North Korea,</w:t>
      </w:r>
      <w:r>
        <w:rPr>
          <w:rtl w:val="0"/>
          <w:lang w:val="en-US"/>
        </w:rPr>
        <w:t>”</w:t>
      </w:r>
      <w:r>
        <w:rPr>
          <w:rStyle w:val="Footnote Reference"/>
        </w:rPr>
        <w:footnoteReference w:id="54"/>
      </w:r>
      <w:r>
        <w:rPr>
          <w:rtl w:val="0"/>
          <w:lang w:val="en-US"/>
        </w:rPr>
        <w:t xml:space="preserve"> a state that can barely provide basic services to its population. Focusing on tax rates is not a solution either.</w:t>
      </w:r>
      <w:r>
        <w:rPr>
          <w:rStyle w:val="Footnote Reference"/>
        </w:rPr>
        <w:footnoteReference w:id="55"/>
      </w:r>
      <w:r>
        <w:rPr>
          <w:rtl w:val="0"/>
          <w:lang w:val="en-US"/>
        </w:rPr>
        <w:t xml:space="preserve"> For example, in late imperial China, </w:t>
      </w:r>
      <w:r>
        <w:rPr>
          <w:rtl w:val="0"/>
          <w:lang w:val="en-US"/>
        </w:rPr>
        <w:t>“</w:t>
      </w:r>
      <w:r>
        <w:rPr>
          <w:rtl w:val="0"/>
          <w:lang w:val="en-US"/>
        </w:rPr>
        <w:t>high taxes on peasants [...] were the result of rulers</w:t>
      </w:r>
      <w:r>
        <w:rPr>
          <w:rtl w:val="0"/>
          <w:lang w:val="en-US"/>
        </w:rPr>
        <w:t xml:space="preserve">’ </w:t>
      </w:r>
      <w:r>
        <w:rPr>
          <w:rtl w:val="0"/>
          <w:lang w:val="en-US"/>
        </w:rPr>
        <w:t>lack of power. Chinese rulers consistently attempted to limit official</w:t>
      </w:r>
      <w:r>
        <w:rPr>
          <w:rtl w:val="0"/>
          <w:lang w:val="en-US"/>
        </w:rPr>
        <w:t>’</w:t>
      </w:r>
      <w:r>
        <w:rPr>
          <w:rtl w:val="0"/>
          <w:lang w:val="en-US"/>
        </w:rPr>
        <w:t>s excessive extractions from the masses, but were unable to do so.</w:t>
      </w:r>
      <w:r>
        <w:rPr>
          <w:rtl w:val="0"/>
          <w:lang w:val="en-US"/>
        </w:rPr>
        <w:t>”</w:t>
      </w:r>
      <w:r>
        <w:rPr>
          <w:rStyle w:val="Footnote Reference"/>
        </w:rPr>
        <w:footnoteReference w:id="56"/>
      </w:r>
    </w:p>
    <w:p>
      <w:pPr>
        <w:pStyle w:val="Body Text"/>
        <w:jc w:val="both"/>
      </w:pPr>
      <w:r>
        <w:rPr>
          <w:rtl w:val="0"/>
          <w:lang w:val="en-US"/>
        </w:rPr>
        <w:t xml:space="preserve">This paper identifies a third limitation. Beyond conceptual and analytical problems, most available measurements are unable to capture temporal sources of variation of state capacities. Since most explanations of state-making have a strong historical component, the lack of an indicator able to </w:t>
      </w:r>
      <w:r>
        <w:rPr>
          <w:rtl w:val="0"/>
          <w:lang w:val="en-US"/>
        </w:rPr>
        <w:t>‘</w:t>
      </w:r>
      <w:r>
        <w:rPr>
          <w:rtl w:val="0"/>
          <w:lang w:val="en-US"/>
        </w:rPr>
        <w:t>travel in time</w:t>
      </w:r>
      <w:r>
        <w:rPr>
          <w:rtl w:val="0"/>
          <w:lang w:val="en-US"/>
        </w:rPr>
        <w:t xml:space="preserve">’ </w:t>
      </w:r>
      <w:r>
        <w:rPr>
          <w:rtl w:val="0"/>
          <w:lang w:val="en-US"/>
        </w:rPr>
        <w:t xml:space="preserve">represents a huge deficit in the literature. Just to name a few examples, Soifer (2012, p. 585) </w:t>
      </w:r>
      <w:r>
        <w:rPr>
          <w:rtl w:val="0"/>
          <w:lang w:val="en-US"/>
        </w:rPr>
        <w:t>“</w:t>
      </w:r>
      <w:r>
        <w:rPr>
          <w:rtl w:val="0"/>
          <w:lang w:val="en-US"/>
        </w:rPr>
        <w:t>builds a new measure of state capacity for [...] contemporary Latin America [combining] multiple dimensions (extraction, security, and the administration of basic services).</w:t>
      </w:r>
      <w:r>
        <w:rPr>
          <w:rtl w:val="0"/>
          <w:lang w:val="en-US"/>
        </w:rPr>
        <w:t xml:space="preserve">” </w:t>
      </w:r>
      <w:r>
        <w:rPr>
          <w:rtl w:val="0"/>
          <w:lang w:val="en-US"/>
        </w:rPr>
        <w:t>Kurtz &amp; Schrank (2012, pp. 618</w:t>
      </w:r>
      <w:r>
        <w:rPr>
          <w:rtl w:val="0"/>
          <w:lang w:val="en-US"/>
        </w:rPr>
        <w:t>–</w:t>
      </w:r>
      <w:r>
        <w:rPr>
          <w:rtl w:val="0"/>
          <w:lang w:val="en-US"/>
        </w:rPr>
        <w:t>619) propose an experimental design based on list-experiments to study (in an unbiased way) bureaucrat</w:t>
      </w:r>
      <w:r>
        <w:rPr>
          <w:rtl w:val="0"/>
          <w:lang w:val="en-US"/>
        </w:rPr>
        <w:t>’</w:t>
      </w:r>
      <w:r>
        <w:rPr>
          <w:rtl w:val="0"/>
          <w:lang w:val="en-US"/>
        </w:rPr>
        <w:t>s opinions, while Soifer &amp; Luna (2016) employ a survey-based design to measure subnational state capacities. While these measurements overcome the conceptual and analytical problems mentioned above, they do not help us studying state capacities in a historical setup. Economic historians and other students of political development offer other alternatives. Some examples are levels of investments in public goods like infrastructure, roads,</w:t>
      </w:r>
      <w:r>
        <w:rPr>
          <w:rStyle w:val="Footnote Reference"/>
        </w:rPr>
        <w:footnoteReference w:id="57"/>
      </w:r>
      <w:r>
        <w:rPr>
          <w:rtl w:val="0"/>
          <w:lang w:val="en-US"/>
        </w:rPr>
        <w:t xml:space="preserve"> electrification (measured as light intensity per pixel),</w:t>
      </w:r>
      <w:r>
        <w:rPr>
          <w:rStyle w:val="Footnote Reference"/>
        </w:rPr>
        <w:footnoteReference w:id="58"/>
      </w:r>
      <w:r>
        <w:rPr>
          <w:rtl w:val="0"/>
          <w:lang w:val="en-US"/>
        </w:rPr>
        <w:t xml:space="preserve"> and railroads.</w:t>
      </w:r>
      <w:r>
        <w:rPr>
          <w:rStyle w:val="Footnote Reference"/>
        </w:rPr>
        <w:footnoteReference w:id="59"/>
      </w:r>
      <w:r>
        <w:rPr>
          <w:rtl w:val="0"/>
          <w:lang w:val="en-US"/>
        </w:rPr>
        <w:t xml:space="preserve"> However, many of these measurement are debatable. For instance, Soifer (2012, p. 593) explains that </w:t>
      </w:r>
      <w:r>
        <w:rPr>
          <w:rtl w:val="0"/>
          <w:lang w:val="en-US"/>
        </w:rPr>
        <w:t>“</w:t>
      </w:r>
      <w:r>
        <w:rPr>
          <w:rtl w:val="0"/>
          <w:lang w:val="en-US"/>
        </w:rPr>
        <w:t>railroads were often constructed by private actors.</w:t>
      </w:r>
      <w:r>
        <w:rPr>
          <w:rtl w:val="0"/>
          <w:lang w:val="en-US"/>
        </w:rPr>
        <w:t>”</w:t>
      </w:r>
      <w:r>
        <w:rPr>
          <w:rStyle w:val="Footnote Reference"/>
        </w:rPr>
        <w:footnoteReference w:id="60"/>
      </w:r>
      <w:r>
        <w:rPr>
          <w:rtl w:val="0"/>
          <w:lang w:val="en-US"/>
        </w:rPr>
        <w:t xml:space="preserve"> The same problem applies to other types of infrastructures. There are others more appropriated strategies such as the opening of postal offices,</w:t>
      </w:r>
      <w:r>
        <w:rPr>
          <w:rStyle w:val="Footnote Reference"/>
        </w:rPr>
        <w:footnoteReference w:id="61"/>
      </w:r>
      <w:r>
        <w:rPr>
          <w:rtl w:val="0"/>
          <w:lang w:val="en-US"/>
        </w:rPr>
        <w:t xml:space="preserve"> the administration of national censuses</w:t>
      </w:r>
      <w:r>
        <w:rPr>
          <w:rStyle w:val="Footnote Reference"/>
        </w:rPr>
        <w:footnoteReference w:id="62"/>
      </w:r>
      <w:r>
        <w:rPr>
          <w:rtl w:val="0"/>
          <w:lang w:val="en-US"/>
        </w:rPr>
        <w:t xml:space="preserve"> and vaccination.</w:t>
      </w:r>
      <w:r>
        <w:rPr>
          <w:rStyle w:val="Footnote Reference"/>
        </w:rPr>
        <w:footnoteReference w:id="63"/>
      </w:r>
      <w:r>
        <w:rPr>
          <w:rtl w:val="0"/>
          <w:lang w:val="en-US"/>
        </w:rPr>
        <w:t xml:space="preserve"> While these measurements do capture historical variations of state capacities, some other problems arise. Censuses for example provide a </w:t>
      </w:r>
      <w:r>
        <w:rPr>
          <w:i w:val="1"/>
          <w:iCs w:val="1"/>
          <w:rtl w:val="0"/>
          <w:lang w:val="en-US"/>
        </w:rPr>
        <w:t>non-continuous temporal measurement</w:t>
      </w:r>
      <w:r>
        <w:rPr>
          <w:rtl w:val="0"/>
          <w:lang w:val="en-US"/>
        </w:rPr>
        <w:t xml:space="preserve"> of state capacities. For instance, censuses are applied in Chile every ten years. Having just a few snapshots of state-capacity should compromise any statistical analysis. In turn, vaccines are usually targeted to primary and high school students. In practice, vaccines are administered by the schools themselves, both public and private. Private schools might be more efficient in doing do, inflating the </w:t>
      </w:r>
      <w:r>
        <w:rPr>
          <w:i w:val="1"/>
          <w:iCs w:val="1"/>
          <w:rtl w:val="0"/>
          <w:lang w:val="en-US"/>
        </w:rPr>
        <w:t>average</w:t>
      </w:r>
      <w:r>
        <w:rPr>
          <w:rtl w:val="0"/>
          <w:lang w:val="en-US"/>
        </w:rPr>
        <w:t xml:space="preserve"> level of state-capacity.</w:t>
      </w:r>
    </w:p>
    <w:p>
      <w:pPr>
        <w:pStyle w:val="Body Text"/>
        <w:jc w:val="both"/>
      </w:pPr>
      <w:r>
        <w:rPr>
          <w:rtl w:val="0"/>
          <w:lang w:val="en-US"/>
        </w:rPr>
        <w:t xml:space="preserve">To solve some of these limitations, the paper proposes considering earthquake death tolls as an alternative to measure state capacities overtime. Unlike censuses - </w:t>
      </w:r>
      <w:r>
        <w:rPr>
          <w:i w:val="1"/>
          <w:iCs w:val="1"/>
          <w:rtl w:val="0"/>
          <w:lang w:val="en-US"/>
        </w:rPr>
        <w:t>unfortunately</w:t>
      </w:r>
      <w:r>
        <w:rPr>
          <w:rtl w:val="0"/>
          <w:lang w:val="en-US"/>
        </w:rPr>
        <w:t xml:space="preserve"> - earthquakes happen very often. While </w:t>
      </w:r>
      <w:r>
        <w:rPr>
          <w:rtl w:val="0"/>
          <w:lang w:val="en-US"/>
        </w:rPr>
        <w:t>“</w:t>
      </w:r>
      <w:r>
        <w:rPr>
          <w:rtl w:val="0"/>
          <w:lang w:val="en-US"/>
        </w:rPr>
        <w:t>[e]arthquakes alone claim thousands of lives a year,</w:t>
      </w:r>
      <w:r>
        <w:rPr>
          <w:rtl w:val="0"/>
          <w:lang w:val="en-US"/>
        </w:rPr>
        <w:t>”</w:t>
      </w:r>
      <w:r>
        <w:rPr>
          <w:rStyle w:val="Footnote Reference"/>
        </w:rPr>
        <w:footnoteReference w:id="64"/>
      </w:r>
      <w:r>
        <w:rPr>
          <w:rtl w:val="0"/>
          <w:lang w:val="en-US"/>
        </w:rPr>
        <w:t xml:space="preserve"> they are not well studied in the discipline.</w:t>
      </w:r>
      <w:r>
        <w:rPr>
          <w:rStyle w:val="Footnote Reference"/>
        </w:rPr>
        <w:footnoteReference w:id="65"/>
      </w:r>
      <w:r>
        <w:rPr>
          <w:rtl w:val="0"/>
          <w:lang w:val="en-US"/>
        </w:rPr>
        <w:t xml:space="preserve"> Building on Mann (1984, p. 113), the proposed measurement intends to capture the state</w:t>
      </w:r>
      <w:r>
        <w:rPr>
          <w:rtl w:val="0"/>
          <w:lang w:val="en-US"/>
        </w:rPr>
        <w:t>’</w:t>
      </w:r>
      <w:r>
        <w:rPr>
          <w:rtl w:val="0"/>
          <w:lang w:val="en-US"/>
        </w:rPr>
        <w:t xml:space="preserve">s </w:t>
      </w:r>
      <w:r>
        <w:rPr>
          <w:rtl w:val="0"/>
          <w:lang w:val="en-US"/>
        </w:rPr>
        <w:t>‘</w:t>
      </w:r>
      <w:r>
        <w:rPr>
          <w:rtl w:val="0"/>
          <w:lang w:val="en-US"/>
        </w:rPr>
        <w:t>infrastructural</w:t>
      </w:r>
      <w:r>
        <w:rPr>
          <w:rtl w:val="0"/>
          <w:lang w:val="en-US"/>
        </w:rPr>
        <w:t xml:space="preserve">’ </w:t>
      </w:r>
      <w:r>
        <w:rPr>
          <w:rtl w:val="0"/>
          <w:lang w:val="en-US"/>
        </w:rPr>
        <w:t>power.</w:t>
      </w:r>
      <w:r>
        <w:rPr>
          <w:rStyle w:val="Footnote Reference"/>
        </w:rPr>
        <w:footnoteReference w:id="66"/>
      </w:r>
      <w:r>
        <w:rPr>
          <w:rtl w:val="0"/>
          <w:lang w:val="en-US"/>
        </w:rPr>
        <w:t xml:space="preserve"> “</w:t>
      </w:r>
      <w:r>
        <w:rPr>
          <w:rtl w:val="0"/>
          <w:lang w:val="en-US"/>
        </w:rPr>
        <w:t>Natural hazards can be seen as a function of a specific natural process and human [...] activity.</w:t>
      </w:r>
      <w:r>
        <w:rPr>
          <w:rtl w:val="0"/>
          <w:lang w:val="en-US"/>
        </w:rPr>
        <w:t>”</w:t>
      </w:r>
      <w:r>
        <w:rPr>
          <w:rStyle w:val="Footnote Reference"/>
        </w:rPr>
        <w:footnoteReference w:id="67"/>
      </w:r>
      <w:r>
        <w:rPr>
          <w:rtl w:val="0"/>
          <w:lang w:val="en-US"/>
        </w:rPr>
        <w:t xml:space="preserve"> Given that earthquakes happen at random and are exogenous to the affected locality,</w:t>
      </w:r>
      <w:r>
        <w:rPr>
          <w:rStyle w:val="Footnote Reference"/>
        </w:rPr>
        <w:footnoteReference w:id="68"/>
      </w:r>
      <w:r>
        <w:rPr>
          <w:rtl w:val="0"/>
          <w:lang w:val="en-US"/>
        </w:rPr>
        <w:t xml:space="preserve"> the only part that is left unexplained is the systematic human component, which is what the proposed measurement captures. Earthquakes are orthogonal to levels of state capacity and economic development.</w:t>
      </w:r>
      <w:r>
        <w:rPr>
          <w:rStyle w:val="Footnote Reference"/>
        </w:rPr>
        <w:footnoteReference w:id="69"/>
      </w:r>
      <w:r>
        <w:rPr>
          <w:rtl w:val="0"/>
          <w:lang w:val="en-US"/>
        </w:rPr>
        <w:t>. Thus, keeping earthquake magnitudes constant at their means, (population-weighted) death counts should be attributed to the (</w:t>
      </w:r>
      <w:r>
        <w:rPr>
          <w:i w:val="1"/>
          <w:iCs w:val="1"/>
          <w:rtl w:val="0"/>
          <w:lang w:val="en-US"/>
        </w:rPr>
        <w:t>in</w:t>
      </w:r>
      <w:r>
        <w:rPr>
          <w:rtl w:val="0"/>
          <w:lang w:val="en-US"/>
        </w:rPr>
        <w:t>)capacity of the states to invest in preparedness and earthquake-mitigation institutions.</w:t>
      </w:r>
      <w:r>
        <w:rPr>
          <w:rStyle w:val="Footnote Reference"/>
        </w:rPr>
        <w:footnoteReference w:id="70"/>
      </w:r>
      <w:r>
        <w:rPr>
          <w:rtl w:val="0"/>
          <w:lang w:val="en-US"/>
        </w:rPr>
        <w:t xml:space="preserve"> I focus on earthquakes and not on other natural disasters such as </w:t>
      </w:r>
      <w:r>
        <w:rPr>
          <w:rtl w:val="0"/>
          <w:lang w:val="en-US"/>
        </w:rPr>
        <w:t>‘</w:t>
      </w:r>
      <w:r>
        <w:rPr>
          <w:rtl w:val="0"/>
          <w:lang w:val="en-US"/>
        </w:rPr>
        <w:t>extreme temperature events, floods, landslides, and windstorms</w:t>
      </w:r>
      <w:r>
        <w:rPr>
          <w:rtl w:val="0"/>
          <w:lang w:val="en-US"/>
        </w:rPr>
        <w:t>’</w:t>
      </w:r>
      <w:r>
        <w:rPr>
          <w:rStyle w:val="Footnote Reference"/>
        </w:rPr>
        <w:footnoteReference w:id="71"/>
      </w:r>
      <w:r>
        <w:rPr>
          <w:rtl w:val="0"/>
          <w:lang w:val="en-US"/>
        </w:rPr>
        <w:t xml:space="preserve"> because earthquakes cannot be foreseen, and such, they put to a test the capacity of the states of having their preventive institutions </w:t>
      </w:r>
      <w:r>
        <w:rPr>
          <w:i w:val="1"/>
          <w:iCs w:val="1"/>
          <w:rtl w:val="0"/>
          <w:lang w:val="en-US"/>
        </w:rPr>
        <w:t>already</w:t>
      </w:r>
      <w:r>
        <w:rPr>
          <w:rtl w:val="0"/>
          <w:lang w:val="en-US"/>
        </w:rPr>
        <w:t xml:space="preserve"> in place and in good shape.</w:t>
      </w:r>
      <w:r>
        <w:rPr>
          <w:rStyle w:val="Footnote Reference"/>
        </w:rPr>
        <w:footnoteReference w:id="72"/>
      </w:r>
      <w:r>
        <w:rPr>
          <w:rtl w:val="0"/>
          <w:lang w:val="en-US"/>
        </w:rPr>
        <w:t xml:space="preserve"> State capacities consist of sustained </w:t>
      </w:r>
      <w:r>
        <w:rPr>
          <w:i w:val="1"/>
          <w:iCs w:val="1"/>
          <w:rtl w:val="0"/>
          <w:lang w:val="en-US"/>
        </w:rPr>
        <w:t>proactive</w:t>
      </w:r>
      <w:r>
        <w:rPr>
          <w:rtl w:val="0"/>
          <w:lang w:val="en-US"/>
        </w:rPr>
        <w:t xml:space="preserve"> efforts of enforcing institutions in the territory, and hence short-term </w:t>
      </w:r>
      <w:r>
        <w:rPr>
          <w:i w:val="1"/>
          <w:iCs w:val="1"/>
          <w:rtl w:val="0"/>
          <w:lang w:val="en-US"/>
        </w:rPr>
        <w:t>reactive</w:t>
      </w:r>
      <w:r>
        <w:rPr>
          <w:rtl w:val="0"/>
          <w:lang w:val="en-US"/>
        </w:rPr>
        <w:t xml:space="preserve"> actions should </w:t>
      </w:r>
      <w:r>
        <w:rPr>
          <w:i w:val="1"/>
          <w:iCs w:val="1"/>
          <w:rtl w:val="0"/>
          <w:lang w:val="en-US"/>
        </w:rPr>
        <w:t>not</w:t>
      </w:r>
      <w:r>
        <w:rPr>
          <w:rtl w:val="0"/>
          <w:lang w:val="en-US"/>
        </w:rPr>
        <w:t xml:space="preserve"> be considered state-</w:t>
      </w:r>
      <w:r>
        <w:rPr>
          <w:i w:val="1"/>
          <w:iCs w:val="1"/>
          <w:rtl w:val="0"/>
          <w:lang w:val="en-US"/>
        </w:rPr>
        <w:t>making</w:t>
      </w:r>
      <w:r>
        <w:rPr>
          <w:rtl w:val="0"/>
          <w:lang w:val="en-US"/>
        </w:rPr>
        <w:t>.</w:t>
      </w:r>
    </w:p>
    <w:p>
      <w:pPr>
        <w:pStyle w:val="Body Text"/>
        <w:jc w:val="both"/>
      </w:pPr>
      <w:r>
        <w:rPr>
          <w:rtl w:val="0"/>
          <w:lang w:val="en-US"/>
        </w:rPr>
        <w:t xml:space="preserve">Under reasonable assumptions, the capacity states have of deploying inspectors to enforce quake-sensitive zoning and building codes should be a reflection of the overall levels of state capacity. Since </w:t>
      </w:r>
      <w:r>
        <w:rPr>
          <w:rtl w:val="0"/>
          <w:lang w:val="en-US"/>
        </w:rPr>
        <w:t>“</w:t>
      </w:r>
      <w:r>
        <w:rPr>
          <w:rtl w:val="0"/>
          <w:lang w:val="en-US"/>
        </w:rPr>
        <w:t>[e]arthquake-resistant construction depends on responsible governance,</w:t>
      </w:r>
      <w:r>
        <w:rPr>
          <w:rtl w:val="0"/>
          <w:lang w:val="en-US"/>
        </w:rPr>
        <w:t>”</w:t>
      </w:r>
      <w:r>
        <w:rPr>
          <w:rStyle w:val="Footnote Reference"/>
        </w:rPr>
        <w:footnoteReference w:id="73"/>
      </w:r>
      <w:r>
        <w:rPr>
          <w:rtl w:val="0"/>
          <w:lang w:val="en-US"/>
        </w:rPr>
        <w:t xml:space="preserve"> state capacities act as a scope condition, particularly, undermining (or facilitating) the implementation of these norms. For example, Bilham (2013, p. 169) explains that </w:t>
      </w:r>
      <w:r>
        <w:rPr>
          <w:rtl w:val="0"/>
          <w:lang w:val="en-US"/>
        </w:rPr>
        <w:t>“</w:t>
      </w:r>
      <w:r>
        <w:rPr>
          <w:rtl w:val="0"/>
          <w:lang w:val="en-US"/>
        </w:rPr>
        <w:t xml:space="preserve">although engineering codes may </w:t>
      </w:r>
      <w:r>
        <w:rPr>
          <w:i w:val="1"/>
          <w:iCs w:val="1"/>
          <w:rtl w:val="0"/>
          <w:lang w:val="en-US"/>
        </w:rPr>
        <w:t>exist</w:t>
      </w:r>
      <w:r>
        <w:rPr>
          <w:rtl w:val="0"/>
          <w:lang w:val="en-US"/>
        </w:rPr>
        <w:t xml:space="preserve"> [,] mechanisms to </w:t>
      </w:r>
      <w:r>
        <w:rPr>
          <w:i w:val="1"/>
          <w:iCs w:val="1"/>
          <w:rtl w:val="0"/>
          <w:lang w:val="en-US"/>
        </w:rPr>
        <w:t>implement</w:t>
      </w:r>
      <w:r>
        <w:rPr>
          <w:rtl w:val="0"/>
          <w:lang w:val="en-US"/>
        </w:rPr>
        <w:t xml:space="preserve"> these codes are largely unavailable</w:t>
      </w:r>
      <w:r>
        <w:rPr>
          <w:rtl w:val="0"/>
          <w:lang w:val="en-US"/>
        </w:rPr>
        <w:t>”</w:t>
      </w:r>
      <w:r>
        <w:rPr>
          <w:rStyle w:val="Footnote Reference"/>
        </w:rPr>
        <w:footnoteReference w:id="74"/>
      </w:r>
      <w:r>
        <w:rPr>
          <w:rtl w:val="0"/>
          <w:lang w:val="en-US"/>
        </w:rPr>
        <w:t xml:space="preserve"> in low-capacity states. For example, Anbarci et al. (2005, p. 1910) explain that </w:t>
      </w:r>
      <w:r>
        <w:rPr>
          <w:rtl w:val="0"/>
          <w:lang w:val="en-US"/>
        </w:rPr>
        <w:t>“</w:t>
      </w:r>
      <w:r>
        <w:rPr>
          <w:rtl w:val="0"/>
          <w:lang w:val="en-US"/>
        </w:rPr>
        <w:t>while Iran has building codes [...] comparable to those existing in the United States, they tend to be enforced only in the country</w:t>
      </w:r>
      <w:r>
        <w:rPr>
          <w:rtl w:val="0"/>
          <w:lang w:val="en-US"/>
        </w:rPr>
        <w:t>’</w:t>
      </w:r>
      <w:r>
        <w:rPr>
          <w:rtl w:val="0"/>
          <w:lang w:val="en-US"/>
        </w:rPr>
        <w:t>s larger cities,</w:t>
      </w:r>
      <w:r>
        <w:rPr>
          <w:rtl w:val="0"/>
          <w:lang w:val="en-US"/>
        </w:rPr>
        <w:t xml:space="preserve">” </w:t>
      </w:r>
      <w:r>
        <w:rPr>
          <w:rtl w:val="0"/>
          <w:lang w:val="en-US"/>
        </w:rPr>
        <w:t>failing to monitor the countryside, which was where most casualties occurred in the 6.4 earthquake in Changureh in 2002.</w:t>
      </w:r>
      <w:r>
        <w:rPr>
          <w:rStyle w:val="Footnote Reference"/>
        </w:rPr>
        <w:footnoteReference w:id="75"/>
      </w:r>
      <w:r>
        <w:rPr>
          <w:rtl w:val="0"/>
          <w:lang w:val="en-US"/>
        </w:rPr>
        <w:t xml:space="preserve"> Importantly, the proposed measurement bridges this gap by incorporating and modeling the capacity of enforcing these codes at the subnational level.</w:t>
      </w:r>
    </w:p>
    <w:p>
      <w:pPr>
        <w:pStyle w:val="Body Text"/>
        <w:jc w:val="both"/>
      </w:pPr>
      <w:r>
        <w:rPr>
          <w:rtl w:val="0"/>
          <w:lang w:val="en-US"/>
        </w:rPr>
        <w:t xml:space="preserve">Only high-capacity states overcome their own limitations, not only implementing but also enforcing quake-sensitive regulations. The Chilean government started its efforts to ameliorate the impact of earthquakes after the great quake of 1928 in Talca. A first effort happened in 1929 when </w:t>
      </w:r>
      <w:r>
        <w:rPr>
          <w:rStyle w:val="Hyperlink.0"/>
        </w:rPr>
        <w:fldChar w:fldCharType="begin" w:fldLock="0"/>
      </w:r>
      <w:r>
        <w:rPr>
          <w:rStyle w:val="Hyperlink.0"/>
        </w:rPr>
        <w:instrText xml:space="preserve"> HYPERLINK "http://www.leychile.cl/Navegar?idNorma=149306"</w:instrText>
      </w:r>
      <w:r>
        <w:rPr>
          <w:rStyle w:val="Hyperlink.0"/>
        </w:rPr>
        <w:fldChar w:fldCharType="separate" w:fldLock="0"/>
      </w:r>
      <w:r>
        <w:rPr>
          <w:rStyle w:val="Hyperlink.0"/>
          <w:rtl w:val="0"/>
          <w:lang w:val="en-US"/>
        </w:rPr>
        <w:t>Ley</w:t>
      </w:r>
      <w:r>
        <w:rPr>
          <w:rStyle w:val="Link"/>
          <w:rtl w:val="0"/>
          <w:lang w:val="en-US"/>
        </w:rPr>
        <w:t xml:space="preserve"> number 4563</w:t>
      </w:r>
      <w:r>
        <w:rPr/>
        <w:fldChar w:fldCharType="end" w:fldLock="0"/>
      </w:r>
      <w:r>
        <w:rPr>
          <w:rtl w:val="0"/>
          <w:lang w:val="en-US"/>
        </w:rPr>
        <w:t xml:space="preserve"> was implemented. The law was among the first attempts to prohibit </w:t>
      </w:r>
      <w:r>
        <w:rPr>
          <w:rtl w:val="0"/>
          <w:lang w:val="en-US"/>
        </w:rPr>
        <w:t>“</w:t>
      </w:r>
      <w:r>
        <w:rPr>
          <w:rtl w:val="0"/>
          <w:lang w:val="en-US"/>
        </w:rPr>
        <w:t>construction, reconstruction or any other repairing or transformations [...] without a permit from the authorities.</w:t>
      </w:r>
      <w:r>
        <w:rPr>
          <w:rtl w:val="0"/>
          <w:lang w:val="en-US"/>
        </w:rPr>
        <w:t xml:space="preserve">” </w:t>
      </w:r>
      <w:r>
        <w:rPr>
          <w:rtl w:val="0"/>
          <w:lang w:val="en-US"/>
        </w:rPr>
        <w:t xml:space="preserve">Importantly, the law required that all blueprints had to be signed by an expert before the construction started. By 1930, </w:t>
      </w:r>
      <w:r>
        <w:rPr>
          <w:rStyle w:val="Hyperlink.0"/>
        </w:rPr>
        <w:fldChar w:fldCharType="begin" w:fldLock="0"/>
      </w:r>
      <w:r>
        <w:rPr>
          <w:rStyle w:val="Hyperlink.0"/>
        </w:rPr>
        <w:instrText xml:space="preserve"> HYPERLINK "https://www.leychile.cl/Navegar?idNorma=1038437&amp;idParte=0&amp;idVersion="</w:instrText>
      </w:r>
      <w:r>
        <w:rPr>
          <w:rStyle w:val="Hyperlink.0"/>
        </w:rPr>
        <w:fldChar w:fldCharType="separate" w:fldLock="0"/>
      </w:r>
      <w:r>
        <w:rPr>
          <w:rStyle w:val="Hyperlink.0"/>
          <w:rtl w:val="0"/>
          <w:lang w:val="en-US"/>
        </w:rPr>
        <w:t>Decreto</w:t>
      </w:r>
      <w:r>
        <w:rPr>
          <w:rStyle w:val="Link"/>
          <w:rtl w:val="0"/>
          <w:lang w:val="en-US"/>
        </w:rPr>
        <w:t xml:space="preserve"> number 4882</w:t>
      </w:r>
      <w:r>
        <w:rPr/>
        <w:fldChar w:fldCharType="end" w:fldLock="0"/>
      </w:r>
      <w:r>
        <w:rPr>
          <w:rtl w:val="0"/>
          <w:lang w:val="en-US"/>
        </w:rPr>
        <w:t xml:space="preserve"> was adopted, but this time the rule made a number of technical prescriptions,</w:t>
      </w:r>
      <w:r>
        <w:rPr>
          <w:rStyle w:val="Footnote Reference"/>
        </w:rPr>
        <w:footnoteReference w:id="76"/>
      </w:r>
      <w:r>
        <w:rPr>
          <w:rtl w:val="0"/>
          <w:lang w:val="en-US"/>
        </w:rPr>
        <w:t xml:space="preserve"> determining what kinds of construction materials ought to be used, among other requirements. Critically, while the central government had retained the control of the supervision of the code since the promulgation of the </w:t>
      </w:r>
      <w:r>
        <w:rPr>
          <w:i w:val="1"/>
          <w:iCs w:val="1"/>
          <w:rtl w:val="0"/>
          <w:lang w:val="en-US"/>
        </w:rPr>
        <w:t>ley</w:t>
      </w:r>
      <w:r>
        <w:rPr>
          <w:rtl w:val="0"/>
          <w:lang w:val="en-US"/>
        </w:rPr>
        <w:t xml:space="preserve">, the </w:t>
      </w:r>
      <w:r>
        <w:rPr>
          <w:i w:val="1"/>
          <w:iCs w:val="1"/>
          <w:rtl w:val="0"/>
          <w:lang w:val="en-US"/>
        </w:rPr>
        <w:t>decreto</w:t>
      </w:r>
      <w:r>
        <w:rPr>
          <w:rtl w:val="0"/>
          <w:lang w:val="en-US"/>
        </w:rPr>
        <w:t xml:space="preserve"> explicitly created the figure of the </w:t>
      </w:r>
      <w:r>
        <w:rPr>
          <w:i w:val="1"/>
          <w:iCs w:val="1"/>
          <w:rtl w:val="0"/>
          <w:lang w:val="en-US"/>
        </w:rPr>
        <w:t>inspector</w:t>
      </w:r>
      <w:r>
        <w:rPr>
          <w:rtl w:val="0"/>
          <w:lang w:val="en-US"/>
        </w:rPr>
        <w:t xml:space="preserve"> to supervise, enforce and monitor these measures at the local level. Furthermore, </w:t>
      </w:r>
      <w:r>
        <w:rPr>
          <w:i w:val="1"/>
          <w:iCs w:val="1"/>
          <w:rtl w:val="0"/>
          <w:lang w:val="en-US"/>
        </w:rPr>
        <w:t>art</w:t>
      </w:r>
      <w:r>
        <w:rPr>
          <w:i w:val="1"/>
          <w:iCs w:val="1"/>
          <w:rtl w:val="0"/>
          <w:lang w:val="en-US"/>
        </w:rPr>
        <w:t>í</w:t>
      </w:r>
      <w:r>
        <w:rPr>
          <w:i w:val="1"/>
          <w:iCs w:val="1"/>
          <w:rtl w:val="0"/>
          <w:lang w:val="en-US"/>
        </w:rPr>
        <w:t>culo</w:t>
      </w:r>
      <w:r>
        <w:rPr>
          <w:rtl w:val="0"/>
          <w:lang w:val="en-US"/>
        </w:rPr>
        <w:t xml:space="preserve"> 414 of the Chilean </w:t>
      </w:r>
      <w:r>
        <w:rPr>
          <w:i w:val="1"/>
          <w:iCs w:val="1"/>
          <w:rtl w:val="0"/>
          <w:lang w:val="en-US"/>
        </w:rPr>
        <w:t>Decreto</w:t>
      </w:r>
      <w:r>
        <w:rPr>
          <w:rtl w:val="0"/>
          <w:lang w:val="en-US"/>
        </w:rPr>
        <w:t xml:space="preserve"> 4882 granted </w:t>
      </w:r>
      <w:r>
        <w:rPr>
          <w:i w:val="1"/>
          <w:iCs w:val="1"/>
          <w:rtl w:val="0"/>
          <w:lang w:val="en-US"/>
        </w:rPr>
        <w:t>inspectores</w:t>
      </w:r>
      <w:r>
        <w:rPr>
          <w:rtl w:val="0"/>
          <w:lang w:val="en-US"/>
        </w:rPr>
        <w:t xml:space="preserve"> ‘</w:t>
      </w:r>
      <w:r>
        <w:rPr>
          <w:rtl w:val="0"/>
          <w:lang w:val="en-US"/>
        </w:rPr>
        <w:t>free access to the building</w:t>
      </w:r>
      <w:r>
        <w:rPr>
          <w:rtl w:val="0"/>
          <w:lang w:val="en-US"/>
        </w:rPr>
        <w:t xml:space="preserve">’ </w:t>
      </w:r>
      <w:r>
        <w:rPr>
          <w:rtl w:val="0"/>
          <w:lang w:val="en-US"/>
        </w:rPr>
        <w:t>at any time during the construction process. The proposed measurement picks up whether these good intentions written in paper actually scored lower death tolls.</w:t>
      </w:r>
    </w:p>
    <w:p>
      <w:pPr>
        <w:pStyle w:val="Body Text"/>
        <w:jc w:val="both"/>
      </w:pPr>
      <w:r>
        <w:rPr>
          <w:rtl w:val="0"/>
          <w:lang w:val="en-US"/>
        </w:rPr>
        <w:t>Earthquake damage poses a major threat to commerce, official and residential buildings, potentially triggering higher levels of looting and social unrest. Consequently, enforcing quake-sensitive building codes also embodies the most basic form of social contract that exists between the state and its subjects. Any kind of political leader should be interested in preventing looting and social unrest. Leaders not only care about their survival (</w:t>
      </w:r>
      <w:r>
        <w:rPr>
          <w:i w:val="1"/>
          <w:iCs w:val="1"/>
          <w:rtl w:val="0"/>
          <w:lang w:val="en-US"/>
        </w:rPr>
        <w:t>electoral or not</w:t>
      </w:r>
      <w:r>
        <w:rPr>
          <w:rtl w:val="0"/>
          <w:lang w:val="en-US"/>
        </w:rPr>
        <w:t xml:space="preserve">) but also about the legitimacy of </w:t>
      </w:r>
      <w:r>
        <w:rPr>
          <w:rtl w:val="0"/>
          <w:lang w:val="en-US"/>
        </w:rPr>
        <w:t>‘</w:t>
      </w:r>
      <w:r>
        <w:rPr>
          <w:rtl w:val="0"/>
          <w:lang w:val="en-US"/>
        </w:rPr>
        <w:t>the state.</w:t>
      </w:r>
      <w:r>
        <w:rPr>
          <w:rtl w:val="0"/>
          <w:lang w:val="en-US"/>
        </w:rPr>
        <w:t xml:space="preserve">’ </w:t>
      </w:r>
      <w:r>
        <w:rPr>
          <w:rtl w:val="0"/>
          <w:lang w:val="en-US"/>
        </w:rPr>
        <w:t>In the event of heavy social unrest, not only the essential social Hobbesian-like contract is broken but also the expectations for social peace are questioned.</w:t>
      </w:r>
      <w:r>
        <w:rPr>
          <w:rStyle w:val="Footnote Reference"/>
        </w:rPr>
        <w:footnoteReference w:id="77"/>
      </w:r>
      <w:r>
        <w:rPr>
          <w:rtl w:val="0"/>
          <w:lang w:val="en-US"/>
        </w:rPr>
        <w:t xml:space="preserve"> The physical presence of the state literally </w:t>
      </w:r>
      <w:r>
        <w:rPr>
          <w:i w:val="1"/>
          <w:iCs w:val="1"/>
          <w:rtl w:val="0"/>
          <w:lang w:val="en-US"/>
        </w:rPr>
        <w:t>crumbles</w:t>
      </w:r>
      <w:r>
        <w:rPr>
          <w:rtl w:val="0"/>
          <w:lang w:val="en-US"/>
        </w:rPr>
        <w:t xml:space="preserve"> when institutions of social coercion and discipline such as state schools, prisons and police stations, collapse. For example, when the 7.0 earthquake hit Hati in 2010, the </w:t>
      </w:r>
      <w:r>
        <w:rPr>
          <w:i w:val="1"/>
          <w:iCs w:val="1"/>
          <w:rtl w:val="0"/>
          <w:lang w:val="en-US"/>
        </w:rPr>
        <w:t>Prison Civile de Port-au-Prince</w:t>
      </w:r>
      <w:r>
        <w:rPr>
          <w:rtl w:val="0"/>
          <w:lang w:val="en-US"/>
        </w:rPr>
        <w:t xml:space="preserve"> had a population of 4,500 inmates. During the quake, five inmates died. As a prison guard describes it, </w:t>
      </w:r>
      <w:r>
        <w:rPr>
          <w:i w:val="1"/>
          <w:iCs w:val="1"/>
          <w:rtl w:val="0"/>
          <w:lang w:val="en-US"/>
        </w:rPr>
        <w:t>everyone escaped. Everyone. Except the dead.</w:t>
      </w:r>
      <w:r>
        <w:rPr>
          <w:rtl w:val="0"/>
          <w:lang w:val="en-US"/>
        </w:rPr>
        <w:t xml:space="preserve"> This natural disaster exacerbated the already existent chaos, freeing </w:t>
      </w:r>
      <w:r>
        <w:rPr>
          <w:rtl w:val="0"/>
          <w:lang w:val="en-US"/>
        </w:rPr>
        <w:t>“</w:t>
      </w:r>
      <w:r>
        <w:rPr>
          <w:rtl w:val="0"/>
          <w:lang w:val="en-US"/>
        </w:rPr>
        <w:t>gang bosses, kidnappers, gunmen,</w:t>
      </w:r>
      <w:r>
        <w:rPr>
          <w:rtl w:val="0"/>
          <w:lang w:val="en-US"/>
        </w:rPr>
        <w:t xml:space="preserve">” </w:t>
      </w:r>
      <w:r>
        <w:rPr>
          <w:rtl w:val="0"/>
          <w:lang w:val="en-US"/>
        </w:rPr>
        <w:t>among others,</w:t>
      </w:r>
      <w:r>
        <w:rPr>
          <w:rStyle w:val="Footnote Reference"/>
        </w:rPr>
        <w:footnoteReference w:id="78"/>
      </w:r>
      <w:r>
        <w:rPr>
          <w:rtl w:val="0"/>
          <w:lang w:val="en-US"/>
        </w:rPr>
        <w:t xml:space="preserve"> reducing the legitimacy of the state to zero.</w:t>
      </w:r>
    </w:p>
    <w:p>
      <w:pPr>
        <w:pStyle w:val="Body Text"/>
        <w:jc w:val="both"/>
      </w:pPr>
      <w:r>
        <w:rPr>
          <w:rtl w:val="0"/>
          <w:lang w:val="en-US"/>
        </w:rPr>
        <w:t xml:space="preserve">The proposed measurement has a number of advantages. Unlike non-experimental survey-based or purely policy-based measures, earthquake death tolls are an </w:t>
      </w:r>
      <w:r>
        <w:rPr>
          <w:i w:val="1"/>
          <w:iCs w:val="1"/>
          <w:rtl w:val="0"/>
          <w:lang w:val="en-US"/>
        </w:rPr>
        <w:t>objective</w:t>
      </w:r>
      <w:r>
        <w:rPr>
          <w:rtl w:val="0"/>
          <w:lang w:val="en-US"/>
        </w:rPr>
        <w:t xml:space="preserve"> measurement of earthquake preparedness,</w:t>
      </w:r>
      <w:r>
        <w:rPr>
          <w:rStyle w:val="Footnote Reference"/>
        </w:rPr>
        <w:footnoteReference w:id="79"/>
      </w:r>
      <w:r>
        <w:rPr>
          <w:rtl w:val="0"/>
          <w:lang w:val="en-US"/>
        </w:rPr>
        <w:t xml:space="preserve"> an activity that </w:t>
      </w:r>
      <w:r>
        <w:rPr>
          <w:i w:val="1"/>
          <w:iCs w:val="1"/>
          <w:rtl w:val="0"/>
          <w:lang w:val="en-US"/>
        </w:rPr>
        <w:t>any</w:t>
      </w:r>
      <w:r>
        <w:rPr>
          <w:rtl w:val="0"/>
          <w:lang w:val="en-US"/>
        </w:rPr>
        <w:t xml:space="preserve"> state </w:t>
      </w:r>
      <w:r>
        <w:rPr>
          <w:i w:val="1"/>
          <w:iCs w:val="1"/>
          <w:rtl w:val="0"/>
          <w:lang w:val="en-US"/>
        </w:rPr>
        <w:t>must</w:t>
      </w:r>
      <w:r>
        <w:rPr>
          <w:rtl w:val="0"/>
          <w:lang w:val="en-US"/>
        </w:rPr>
        <w:t xml:space="preserve"> perform.</w:t>
      </w:r>
      <w:r>
        <w:rPr>
          <w:rStyle w:val="Footnote Reference"/>
        </w:rPr>
        <w:footnoteReference w:id="80"/>
      </w:r>
      <w:r>
        <w:rPr>
          <w:rtl w:val="0"/>
          <w:lang w:val="en-US"/>
        </w:rPr>
        <w:t xml:space="preserve"> Importantly, Soifer (2008, pp. 235</w:t>
      </w:r>
      <w:r>
        <w:rPr>
          <w:rtl w:val="0"/>
          <w:lang w:val="en-US"/>
        </w:rPr>
        <w:t>–</w:t>
      </w:r>
      <w:r>
        <w:rPr>
          <w:rtl w:val="0"/>
          <w:lang w:val="en-US"/>
        </w:rPr>
        <w:t xml:space="preserve">236) divides the state infrastructural power in three layers, </w:t>
      </w:r>
      <w:r>
        <w:rPr>
          <w:rtl w:val="0"/>
          <w:lang w:val="en-US"/>
        </w:rPr>
        <w:t>‘</w:t>
      </w:r>
      <w:r>
        <w:rPr>
          <w:rtl w:val="0"/>
          <w:lang w:val="en-US"/>
        </w:rPr>
        <w:t>national capabilities,</w:t>
      </w:r>
      <w:r>
        <w:rPr>
          <w:rtl w:val="0"/>
          <w:lang w:val="en-US"/>
        </w:rPr>
        <w:t>’</w:t>
      </w:r>
      <w:r>
        <w:rPr>
          <w:rStyle w:val="Footnote Reference"/>
        </w:rPr>
        <w:footnoteReference w:id="81"/>
      </w:r>
      <w:r>
        <w:rPr>
          <w:rtl w:val="0"/>
          <w:lang w:val="en-US"/>
        </w:rPr>
        <w:t xml:space="preserve"> the </w:t>
      </w:r>
      <w:r>
        <w:rPr>
          <w:rtl w:val="0"/>
          <w:lang w:val="en-US"/>
        </w:rPr>
        <w:t>‘</w:t>
      </w:r>
      <w:r>
        <w:rPr>
          <w:rtl w:val="0"/>
          <w:lang w:val="en-US"/>
        </w:rPr>
        <w:t>weight of the state</w:t>
      </w:r>
      <w:r>
        <w:rPr>
          <w:rtl w:val="0"/>
          <w:lang w:val="en-US"/>
        </w:rPr>
        <w:t>’</w:t>
      </w:r>
      <w:r>
        <w:rPr>
          <w:rStyle w:val="Footnote Reference"/>
        </w:rPr>
        <w:footnoteReference w:id="82"/>
      </w:r>
      <w:r>
        <w:rPr>
          <w:rtl w:val="0"/>
          <w:lang w:val="en-US"/>
        </w:rPr>
        <w:t xml:space="preserve"> and a </w:t>
      </w:r>
      <w:r>
        <w:rPr>
          <w:rtl w:val="0"/>
          <w:lang w:val="en-US"/>
        </w:rPr>
        <w:t>‘</w:t>
      </w:r>
      <w:r>
        <w:rPr>
          <w:rtl w:val="0"/>
          <w:lang w:val="en-US"/>
        </w:rPr>
        <w:t>subnational</w:t>
      </w:r>
      <w:r>
        <w:rPr>
          <w:rtl w:val="0"/>
          <w:lang w:val="en-US"/>
        </w:rPr>
        <w:t xml:space="preserve">’ </w:t>
      </w:r>
      <w:r>
        <w:rPr>
          <w:rtl w:val="0"/>
          <w:lang w:val="en-US"/>
        </w:rPr>
        <w:t xml:space="preserve">component which tracks </w:t>
      </w:r>
      <w:r>
        <w:rPr>
          <w:rtl w:val="0"/>
          <w:lang w:val="en-US"/>
        </w:rPr>
        <w:t>“</w:t>
      </w:r>
      <w:r>
        <w:rPr>
          <w:rtl w:val="0"/>
          <w:lang w:val="en-US"/>
        </w:rPr>
        <w:t>the ability of the state to exercise control within its territory.</w:t>
      </w:r>
      <w:r>
        <w:rPr>
          <w:rtl w:val="0"/>
          <w:lang w:val="en-US"/>
        </w:rPr>
        <w:t xml:space="preserve">” </w:t>
      </w:r>
      <w:r>
        <w:rPr>
          <w:rtl w:val="0"/>
          <w:lang w:val="en-US"/>
        </w:rPr>
        <w:t>The proposed measurement strategy maps well in all three components.</w:t>
      </w:r>
    </w:p>
    <w:p>
      <w:pPr>
        <w:pStyle w:val="Body Text"/>
        <w:jc w:val="both"/>
      </w:pPr>
      <w:r>
        <w:rPr>
          <w:rtl w:val="0"/>
          <w:lang w:val="en-US"/>
        </w:rPr>
        <w:t xml:space="preserve">The measurement has a number of drawbacks, however. Obviously, the country needs to have earthquakes, possibly limiting the number of potential cases. However, most </w:t>
      </w:r>
      <w:r>
        <w:rPr>
          <w:rtl w:val="0"/>
          <w:lang w:val="en-US"/>
        </w:rPr>
        <w:t>“</w:t>
      </w:r>
      <w:r>
        <w:rPr>
          <w:rtl w:val="0"/>
          <w:lang w:val="en-US"/>
        </w:rPr>
        <w:t>earthquakes occur at the various borders of the Pacific plate, the Western border of the Latin American plate, and the boundaries between the African, the Arabic and the Indian plates and the Eurasian plate,</w:t>
      </w:r>
      <w:r>
        <w:rPr>
          <w:rtl w:val="0"/>
          <w:lang w:val="en-US"/>
        </w:rPr>
        <w:t xml:space="preserve">” </w:t>
      </w:r>
      <w:r>
        <w:rPr>
          <w:rtl w:val="0"/>
          <w:lang w:val="en-US"/>
        </w:rPr>
        <w:t>allowing potential cross-country comparisons within most of the developing world.</w:t>
      </w:r>
      <w:r>
        <w:rPr>
          <w:rStyle w:val="Footnote Reference"/>
        </w:rPr>
        <w:footnoteReference w:id="83"/>
      </w:r>
      <w:r>
        <w:rPr>
          <w:rtl w:val="0"/>
          <w:lang w:val="en-US"/>
        </w:rPr>
        <w:t xml:space="preserve"> Moreover, there are countries, like India or the United States, where earthquakes happen in certain regions only. Presumably, mitigation policies in these places would need to be targeted to specific areas, possibly undermining the assumption that the these kinds of policies should penetrate the </w:t>
      </w:r>
      <w:r>
        <w:rPr>
          <w:rtl w:val="0"/>
          <w:lang w:val="en-US"/>
        </w:rPr>
        <w:t>‘</w:t>
      </w:r>
      <w:r>
        <w:rPr>
          <w:rtl w:val="0"/>
          <w:lang w:val="en-US"/>
        </w:rPr>
        <w:t>entire</w:t>
      </w:r>
      <w:r>
        <w:rPr>
          <w:rtl w:val="0"/>
          <w:lang w:val="en-US"/>
        </w:rPr>
        <w:t xml:space="preserve">’ </w:t>
      </w:r>
      <w:r>
        <w:rPr>
          <w:rtl w:val="0"/>
          <w:lang w:val="en-US"/>
        </w:rPr>
        <w:t>territory.</w:t>
      </w:r>
      <w:r>
        <w:rPr>
          <w:rStyle w:val="Footnote Reference"/>
        </w:rPr>
        <w:footnoteReference w:id="84"/>
      </w:r>
      <w:r>
        <w:rPr>
          <w:rtl w:val="0"/>
          <w:lang w:val="en-US"/>
        </w:rPr>
        <w:t xml:space="preserve"> Another potential concern is that the ability of counting the death-toll might be a function of state capacities itself.</w:t>
      </w:r>
      <w:r>
        <w:rPr>
          <w:rStyle w:val="Footnote Reference"/>
        </w:rPr>
        <w:footnoteReference w:id="85"/>
      </w:r>
      <w:r>
        <w:rPr>
          <w:rtl w:val="0"/>
          <w:lang w:val="en-US"/>
        </w:rPr>
        <w:t xml:space="preserve"> However, in most cases, civic organizations, the Catholic Church, and particularly, the press (national and local) have been the main entities who (willingly or not) have carried out the task of enumerating the deaths. Another potential issue is the measurement of the magnitudes. Before the instrumental period, magnitudes were obtained in an estimative way. And while there are methods to approximate historically-felt magnitudes to instrumental-like intensities,</w:t>
      </w:r>
      <w:r>
        <w:rPr>
          <w:rStyle w:val="Footnote Reference"/>
        </w:rPr>
        <w:footnoteReference w:id="86"/>
      </w:r>
      <w:r>
        <w:rPr>
          <w:rtl w:val="0"/>
          <w:lang w:val="en-US"/>
        </w:rPr>
        <w:t xml:space="preserve"> this strategy unfortunately adds more than one layer of complexity. All in all, this measurement offers a rough approximation of levels of state capacities overtime.</w:t>
      </w:r>
    </w:p>
    <w:p>
      <w:pPr>
        <w:pStyle w:val="Heading"/>
        <w:jc w:val="both"/>
      </w:pPr>
      <w:bookmarkStart w:name="multilevelanalysesmodels" w:id="3"/>
      <w:bookmarkEnd w:id="3"/>
      <w:r>
        <w:rPr>
          <w:rtl w:val="0"/>
        </w:rPr>
        <w:t>M</w:t>
      </w:r>
      <w:r>
        <w:rPr>
          <w:rtl w:val="0"/>
        </w:rPr>
        <w:t>ultilevel Analyses</w:t>
      </w:r>
    </w:p>
    <w:p>
      <w:pPr>
        <w:pStyle w:val="First Paragraph"/>
        <w:jc w:val="both"/>
      </w:pPr>
      <w:r>
        <w:rPr>
          <w:rtl w:val="0"/>
          <w:lang w:val="en-US"/>
        </w:rPr>
        <w:t xml:space="preserve">I constructed a hand-collected novel dataset using the </w:t>
      </w:r>
      <w:r>
        <w:rPr>
          <w:i w:val="1"/>
          <w:iCs w:val="1"/>
          <w:rtl w:val="0"/>
          <w:lang w:val="en-US"/>
        </w:rPr>
        <w:t>Significant Earthquake Database</w:t>
      </w:r>
      <w:r>
        <w:rPr>
          <w:rtl w:val="0"/>
          <w:lang w:val="en-US"/>
        </w:rPr>
        <w:t xml:space="preserve"> compiled by the National Centers for Environmental Information (NOAA) as a starting point.</w:t>
      </w:r>
      <w:r>
        <w:rPr>
          <w:rStyle w:val="Footnote Reference"/>
        </w:rPr>
        <w:footnoteReference w:id="87"/>
      </w:r>
      <w:r>
        <w:rPr>
          <w:rtl w:val="0"/>
          <w:lang w:val="en-US"/>
        </w:rPr>
        <w:t xml:space="preserve"> The dataset </w:t>
      </w:r>
      <w:r>
        <w:rPr>
          <w:rtl w:val="0"/>
          <w:lang w:val="en-US"/>
        </w:rPr>
        <w:t>‘</w:t>
      </w:r>
      <w:r>
        <w:rPr>
          <w:rtl w:val="0"/>
          <w:lang w:val="en-US"/>
        </w:rPr>
        <w:t>contains information on destructive earthquakes from 2150 B.C. to the present,</w:t>
      </w:r>
      <w:r>
        <w:rPr>
          <w:rtl w:val="0"/>
          <w:lang w:val="en-US"/>
        </w:rPr>
        <w:t xml:space="preserve">’ </w:t>
      </w:r>
      <w:r>
        <w:rPr>
          <w:rtl w:val="0"/>
          <w:lang w:val="en-US"/>
        </w:rPr>
        <w:t>and records the number of deaths,</w:t>
      </w:r>
      <w:r>
        <w:rPr>
          <w:rStyle w:val="Footnote Reference"/>
        </w:rPr>
        <w:footnoteReference w:id="88"/>
      </w:r>
      <w:r>
        <w:rPr>
          <w:rtl w:val="0"/>
          <w:lang w:val="en-US"/>
        </w:rPr>
        <w:t xml:space="preserve"> the magnitude, date, the latitude and longitude of every quake, among other variables. Using archival census data from 1907 to 2012,</w:t>
      </w:r>
      <w:r>
        <w:rPr>
          <w:rStyle w:val="Footnote Reference"/>
        </w:rPr>
        <w:footnoteReference w:id="89"/>
      </w:r>
      <w:r>
        <w:rPr>
          <w:rtl w:val="0"/>
          <w:lang w:val="en-US"/>
        </w:rPr>
        <w:t xml:space="preserve"> I complemented the NOAA dataset with local population at the municipal level where the quake hit. I use local population to weight the death toll.</w:t>
      </w:r>
      <w:r>
        <w:rPr>
          <w:rStyle w:val="Footnote Reference"/>
        </w:rPr>
        <w:footnoteReference w:id="90"/>
      </w:r>
      <w:r>
        <w:rPr>
          <w:rtl w:val="0"/>
          <w:lang w:val="en-US"/>
        </w:rPr>
        <w:t xml:space="preserve"> Using archival census data as well, I considered the main economic activity of the affected municipality,</w:t>
      </w:r>
      <w:r>
        <w:rPr>
          <w:rStyle w:val="Footnote Reference"/>
        </w:rPr>
        <w:footnoteReference w:id="91"/>
      </w:r>
      <w:r>
        <w:rPr>
          <w:rtl w:val="0"/>
          <w:lang w:val="en-US"/>
        </w:rPr>
        <w:t xml:space="preserve"> and also whether the municipality was urban or rural.</w:t>
      </w:r>
      <w:r>
        <w:rPr>
          <w:rStyle w:val="Footnote Reference"/>
        </w:rPr>
        <w:footnoteReference w:id="92"/>
      </w:r>
      <w:r>
        <w:rPr>
          <w:rtl w:val="0"/>
          <w:lang w:val="en-US"/>
        </w:rPr>
        <w:t xml:space="preserve"> The death tolls and magnitudes proportionated by the NOAA dataset were contrasted case by case with historical press archival information.</w:t>
      </w:r>
      <w:r>
        <w:rPr>
          <w:rStyle w:val="Footnote Reference"/>
        </w:rPr>
        <w:footnoteReference w:id="93"/>
      </w:r>
      <w:r>
        <w:rPr>
          <w:rtl w:val="0"/>
          <w:lang w:val="en-US"/>
        </w:rPr>
        <w:t xml:space="preserve"> Magnitudes in particular were also compared with the </w:t>
      </w:r>
      <w:r>
        <w:rPr>
          <w:rStyle w:val="Link"/>
        </w:rPr>
        <w:fldChar w:fldCharType="begin" w:fldLock="0"/>
      </w:r>
      <w:r>
        <w:rPr>
          <w:rStyle w:val="Link"/>
        </w:rPr>
        <w:instrText xml:space="preserve"> HYPERLINK "http://www.isc.ac.uk/iscbulletin/search/bulletin/"</w:instrText>
      </w:r>
      <w:r>
        <w:rPr>
          <w:rStyle w:val="Link"/>
        </w:rPr>
        <w:fldChar w:fldCharType="separate" w:fldLock="0"/>
      </w:r>
      <w:r>
        <w:rPr>
          <w:rStyle w:val="Link"/>
          <w:rtl w:val="0"/>
          <w:lang w:val="en-US"/>
        </w:rPr>
        <w:t>International Seismological Centre</w:t>
      </w:r>
      <w:r>
        <w:rPr/>
        <w:fldChar w:fldCharType="end" w:fldLock="0"/>
      </w:r>
      <w:r>
        <w:rPr>
          <w:rtl w:val="0"/>
          <w:lang w:val="en-US"/>
        </w:rPr>
        <w:t xml:space="preserve">. All these are subnational-level variables. Next, I included national-level indicators that aim to proxy levels of sectoral conflict. Following Bahamonde (2017a, 2017b) I measured the degree in which the industrial elites challenged incumbent landowners by calculating the proportion of agricultural growth relative to industrial growth as presented in the </w:t>
      </w:r>
      <w:r>
        <w:rPr>
          <w:rStyle w:val="Link"/>
        </w:rPr>
        <w:fldChar w:fldCharType="begin" w:fldLock="0"/>
      </w:r>
      <w:r>
        <w:rPr>
          <w:rStyle w:val="Link"/>
        </w:rPr>
        <w:instrText xml:space="preserve"> HYPERLINK "http://moxlad-staging.herokuapp.com/home/en?"</w:instrText>
      </w:r>
      <w:r>
        <w:rPr>
          <w:rStyle w:val="Link"/>
        </w:rPr>
        <w:fldChar w:fldCharType="separate" w:fldLock="0"/>
      </w:r>
      <w:r>
        <w:rPr>
          <w:rStyle w:val="Link"/>
          <w:rtl w:val="0"/>
          <w:lang w:val="en-US"/>
        </w:rPr>
        <w:t>MOxLAD</w:t>
      </w:r>
      <w:r>
        <w:rPr/>
        <w:fldChar w:fldCharType="end" w:fldLock="0"/>
      </w:r>
      <w:r>
        <w:rPr>
          <w:rtl w:val="0"/>
          <w:lang w:val="en-US"/>
        </w:rPr>
        <w:t xml:space="preserve"> data (see , bottom panel).</w:t>
      </w:r>
      <w:r>
        <w:rPr>
          <w:rStyle w:val="Footnote Reference"/>
        </w:rPr>
        <w:footnoteReference w:id="94"/>
      </w:r>
      <w:r>
        <w:rPr>
          <w:rtl w:val="0"/>
          <w:lang w:val="en-US"/>
        </w:rPr>
        <w:t xml:space="preserve"> According to Astorga, Berges, &amp; Fitzgerald (2005, p. 790), these data provide extended comparable sectoral value-added series in constant purchasing power parity prices. Even when pre-1900 earthquakes are recorded in both the NOAA data and my own dataset (), the economic data provided by MOxLAD limits the scope of this paper from </w:t>
      </w:r>
      <m:oMath>
        <m:r>
          <m:t>1903</m:t>
        </m:r>
      </m:oMath>
      <w:r>
        <w:rPr>
          <w:rtl w:val="0"/>
          <w:lang w:val="en-US"/>
        </w:rPr>
        <w:t xml:space="preserve"> to </w:t>
      </w:r>
      <m:oMath>
        <m:r>
          <m:t>2007</m:t>
        </m:r>
      </m:oMath>
      <w:r>
        <w:rPr>
          <w:rtl w:val="0"/>
          <w:lang w:val="en-US"/>
        </w:rPr>
        <w:t xml:space="preserve"> ().</w:t>
      </w:r>
    </w:p>
    <w:p>
      <w:pPr>
        <w:pStyle w:val="Body Text"/>
        <w:jc w:val="both"/>
      </w:pPr>
    </w:p>
    <w:p>
      <w:pPr>
        <w:pStyle w:val="Body Text"/>
        <w:jc w:val="both"/>
      </w:pPr>
      <w:r>
        <w:rPr>
          <w:rtl w:val="0"/>
          <w:lang w:val="en-US"/>
        </w:rPr>
        <w:t xml:space="preserve">FIGURE X </w:t>
      </w:r>
      <w:r>
        <w:rPr>
          <w:rtl w:val="0"/>
          <w:lang w:val="en-US"/>
        </w:rPr>
        <w:t>plots the earthquakes, the years and the magnitudes, while plots the geographical distribution and magnitudes of the quakes.</w:t>
      </w:r>
      <w:r>
        <w:rPr>
          <w:rStyle w:val="Footnote Reference"/>
        </w:rPr>
        <w:footnoteReference w:id="95"/>
      </w:r>
      <w:r>
        <w:rPr>
          <w:rtl w:val="0"/>
          <w:lang w:val="en-US"/>
        </w:rPr>
        <w:t xml:space="preserve"> Both figures suggest that Chile is a good case to study infrastructural state-capacities using the proposed earthquake framework since it has considerable variance regarding quake magnitudes and locations. The northern part of Chile has historically been an industrial region, while the southern part of Chile has traditionally been an agricultural region. Relatedly, both regions vary according to their climate. Also, distance from Santiago, which is located near latitude 33</w:t>
      </w:r>
      <m:oMath>
        <m:sSup>
          <m:e/>
          <m:sup>
            <m:r>
              <m:t>∘</m:t>
            </m:r>
          </m:sup>
        </m:sSup>
      </m:oMath>
      <w:r>
        <w:rPr>
          <w:rtl w:val="0"/>
          <w:lang w:val="en-US"/>
        </w:rPr>
        <w:t>, might impose some degree of difficulty for the central government to reach out the farthest northern/southern parts of the territory.</w:t>
      </w:r>
      <w:r>
        <w:rPr>
          <w:rStyle w:val="Footnote Reference"/>
        </w:rPr>
        <w:footnoteReference w:id="96"/>
      </w:r>
      <w:r>
        <w:rPr>
          <w:rtl w:val="0"/>
          <w:lang w:val="en-US"/>
        </w:rPr>
        <w:t xml:space="preserve"> There is also variance considering longitude. Closeness to the Andean mountains (around longitude 70</w:t>
      </w:r>
      <m:oMath>
        <m:sSup>
          <m:e/>
          <m:sup>
            <m:r>
              <m:t>∘</m:t>
            </m:r>
          </m:sup>
        </m:sSup>
      </m:oMath>
      <w:r>
        <w:rPr>
          <w:rtl w:val="0"/>
          <w:lang w:val="en-US"/>
        </w:rPr>
        <w:t>) determines the ruggedness of the terrain, presumably making it harder for the state to penetrate these areas.</w:t>
      </w:r>
      <w:r>
        <w:rPr>
          <w:rStyle w:val="Footnote Reference"/>
        </w:rPr>
        <w:footnoteReference w:id="97"/>
      </w:r>
      <w:r>
        <w:rPr>
          <w:rtl w:val="0"/>
          <w:lang w:val="en-US"/>
        </w:rPr>
        <w:t xml:space="preserve"> All considered, earthquakes have affected the territory from coast to mountain,</w:t>
      </w:r>
      <w:r>
        <w:rPr>
          <w:rStyle w:val="Footnote Reference"/>
        </w:rPr>
        <w:footnoteReference w:id="98"/>
      </w:r>
      <w:r>
        <w:rPr>
          <w:rtl w:val="0"/>
          <w:lang w:val="en-US"/>
        </w:rPr>
        <w:t xml:space="preserve"> solving potential concerns about geographical sectoral self-selection.</w:t>
      </w:r>
    </w:p>
    <w:p>
      <w:pPr>
        <w:pStyle w:val="Body Text"/>
        <w:jc w:val="both"/>
      </w:pPr>
      <w:r>
        <w:rPr>
          <w:rtl w:val="0"/>
          <w:lang w:val="en-US"/>
        </w:rPr>
        <w:t>The unit of analysis is the earthquake.</w:t>
      </w:r>
      <w:r>
        <w:rPr>
          <w:rStyle w:val="Footnote Reference"/>
        </w:rPr>
        <w:footnoteReference w:id="99"/>
      </w:r>
      <w:r>
        <w:rPr>
          <w:rtl w:val="0"/>
          <w:lang w:val="en-US"/>
        </w:rPr>
        <w:t xml:space="preserve"> As an event, each earthquake has associated to it a death toll, a subnational location (latitude and longitude), a magnitude, the main economic activity of the locality where the quake hit, a local population, and an urban/rural setting. All these factors are subnational. At the national level, I consider sectoral outputs (as a proportion), population and year. Specifically, using a Bayesian Poisson regression,</w:t>
      </w:r>
      <w:r>
        <w:rPr>
          <w:rStyle w:val="Footnote Reference"/>
        </w:rPr>
        <w:footnoteReference w:id="100"/>
      </w:r>
      <w:r>
        <w:rPr>
          <w:rtl w:val="0"/>
          <w:lang w:val="en-US"/>
        </w:rPr>
        <w:t xml:space="preserve"> I test the effect of both national and subnational sources of sectoral contestation on death-tolls overtime. In a second model, I test the effect of implementing the income tax law on death-tolls overtime. In the first model the main variable of interest is the national proportion of agriculture output relative to national industrial output with different slopes for agricultural, industrial or mixed localities. In the second model, the main quantity of interest is a binary variable which denotes whether the income tax is implemented or not. Both models consider year fixed-effects to account for time-varying confounding factors and for unmeasured sources of variation.</w:t>
      </w:r>
      <w:r>
        <w:rPr>
          <w:rStyle w:val="Footnote Reference"/>
        </w:rPr>
        <w:footnoteReference w:id="101"/>
      </w:r>
      <w:r>
        <w:rPr>
          <w:rtl w:val="0"/>
          <w:lang w:val="en-US"/>
        </w:rPr>
        <w:t xml:space="preserve"> For instance, fiscal development is also a function of country-specific prior state-capacities. Additionally, technological changes (advances in construction, for example) should diminish death-tolls.</w:t>
      </w:r>
      <w:r>
        <w:rPr>
          <w:rStyle w:val="Footnote Reference"/>
        </w:rPr>
        <w:footnoteReference w:id="102"/>
      </w:r>
      <w:r>
        <w:rPr>
          <w:rtl w:val="0"/>
          <w:lang w:val="en-US"/>
        </w:rPr>
        <w:t xml:space="preserve"> Fixed-effects should be able to account for these and other unmeasured yearly factors such as the evolution of the political system, demographic, climate and cultural changes as well as economic shocks. I also included latitude to control for the proximity to the Andean mountains, aiming to control for a built-in tectonic earthquake predisposition. Longitude seeks to control for climate and other unmeasured conditions that make agricultural development more difficult. In turn, both measurements serve as good proxies of terrain ruggedness and the difficulties the state faces in reaching these areas.</w:t>
      </w:r>
      <w:r>
        <w:rPr>
          <w:rStyle w:val="Footnote Reference"/>
        </w:rPr>
        <w:footnoteReference w:id="103"/>
      </w:r>
      <w:r>
        <w:rPr>
          <w:rtl w:val="0"/>
          <w:lang w:val="en-US"/>
        </w:rPr>
        <w:t xml:space="preserve"> Finally, some areas should be wealthier than others. Increased wealth should allow private investment in earthquake proofing.</w:t>
      </w:r>
      <w:r>
        <w:rPr>
          <w:rStyle w:val="Footnote Reference"/>
        </w:rPr>
        <w:footnoteReference w:id="104"/>
      </w:r>
      <w:r>
        <w:rPr>
          <w:rtl w:val="0"/>
          <w:lang w:val="en-US"/>
        </w:rPr>
        <w:t xml:space="preserve"> While data on subnational levels of income inequality is lacking, I model the effect of earthquake magnitudes on earthquake death-tolls by the type of </w:t>
      </w:r>
      <w:r>
        <w:rPr>
          <w:i w:val="1"/>
          <w:iCs w:val="1"/>
          <w:rtl w:val="0"/>
          <w:lang w:val="en-US"/>
        </w:rPr>
        <w:t>comuna</w:t>
      </w:r>
      <w:r>
        <w:rPr>
          <w:rtl w:val="0"/>
          <w:lang w:val="en-US"/>
        </w:rPr>
        <w:t xml:space="preserve"> - industrial or agricultural - aiming to proxy subnational levels of income inequality.</w:t>
      </w:r>
      <w:r>
        <w:rPr>
          <w:rStyle w:val="Footnote Reference"/>
        </w:rPr>
        <w:footnoteReference w:id="105"/>
      </w:r>
      <w:r>
        <w:rPr>
          <w:rtl w:val="0"/>
          <w:lang w:val="en-US"/>
        </w:rPr>
        <w:t xml:space="preserve"> More formally, I fit the next equation,</w:t>
      </w:r>
    </w:p>
    <w:p>
      <w:pPr>
        <w:pStyle w:val="Body Text"/>
        <w:jc w:val="both"/>
      </w:pPr>
    </w:p>
    <w:p>
      <w:pPr>
        <w:pStyle w:val="Body Text"/>
        <w:jc w:val="both"/>
      </w:pPr>
      <w:r>
        <w:rPr>
          <w:rtl w:val="0"/>
          <w:lang w:val="en-US"/>
        </w:rPr>
        <w:t xml:space="preserve">the </w:t>
      </w:r>
      <m:oMath>
        <m:r>
          <m:t>i</m:t>
        </m:r>
      </m:oMath>
      <w:r>
        <w:rPr>
          <w:rtl w:val="0"/>
          <w:lang w:val="en-US"/>
        </w:rPr>
        <w:t xml:space="preserve"> subscript denotes the unit of analysis (i.e. earthquake),</w:t>
      </w:r>
      <w:r>
        <w:rPr>
          <w:rStyle w:val="Footnote Reference"/>
        </w:rPr>
        <w:footnoteReference w:id="106"/>
      </w:r>
      <w:r>
        <w:rPr>
          <w:rtl w:val="0"/>
          <w:lang w:val="en-US"/>
        </w:rPr>
        <w:t xml:space="preserve"> the </w:t>
      </w:r>
      <m:oMath>
        <m:r>
          <m:t>j</m:t>
        </m:r>
      </m:oMath>
      <w:r>
        <w:rPr>
          <w:rtl w:val="0"/>
          <w:lang w:val="en-US"/>
        </w:rPr>
        <w:t xml:space="preserve"> index expresses the type of subnational economic composition of the affected municipality - agricultural, industrial, mixed - and the </w:t>
      </w:r>
      <m:oMath>
        <m:r>
          <m:t>t</m:t>
        </m:r>
      </m:oMath>
      <w:r>
        <w:rPr>
          <w:rtl w:val="0"/>
          <w:lang w:val="en-US"/>
        </w:rPr>
        <w:t xml:space="preserve"> subscripts denotes the year when earthquake </w:t>
      </w:r>
      <m:oMath>
        <m:r>
          <m:t>i</m:t>
        </m:r>
      </m:oMath>
      <w:r>
        <w:rPr>
          <w:rtl w:val="0"/>
          <w:lang w:val="en-US"/>
        </w:rPr>
        <w:t xml:space="preserve"> happened. Since earthquakes can happen more than once per year, </w:t>
      </w:r>
      <m:oMath>
        <m:r>
          <m:t>I&gt;T</m:t>
        </m:r>
      </m:oMath>
      <w:r>
        <w:rPr>
          <w:rtl w:val="0"/>
          <w:lang w:val="en-US"/>
        </w:rPr>
        <w:t>.</w:t>
      </w:r>
      <w:r>
        <w:rPr>
          <w:rStyle w:val="Footnote Reference"/>
        </w:rPr>
        <w:footnoteReference w:id="107"/>
      </w:r>
      <w:r>
        <w:rPr>
          <w:rtl w:val="0"/>
          <w:lang w:val="en-US"/>
        </w:rPr>
        <w:t xml:space="preserve"> Finally, </w:t>
      </w:r>
      <m:oMath>
        <m:r>
          <m:t>μ</m:t>
        </m:r>
      </m:oMath>
      <w:r>
        <w:rPr>
          <w:rtl w:val="0"/>
          <w:lang w:val="en-US"/>
        </w:rPr>
        <w:t xml:space="preserve"> is the intercept.</w:t>
      </w:r>
    </w:p>
    <w:p>
      <w:pPr>
        <w:pStyle w:val="Body Text"/>
        <w:jc w:val="both"/>
      </w:pPr>
      <w:r>
        <w:rPr>
          <w:rtl w:val="0"/>
          <w:lang w:val="en-US"/>
        </w:rPr>
        <w:t>I implement a multilevel setup to model the effect of national-subnational sources of sectoral contestation on state capacities overtime.</w:t>
      </w:r>
    </w:p>
    <w:p>
      <w:pPr>
        <w:pStyle w:val="Body Text"/>
        <w:jc w:val="both"/>
      </w:pPr>
      <w:r>
        <w:rPr>
          <w:rtl w:val="0"/>
          <w:lang w:val="en-US"/>
        </w:rPr>
        <w:t xml:space="preserve">Substantively, sectoral contestation is high in circumstances where the leading sector at the national level is </w:t>
      </w:r>
      <w:r>
        <w:rPr>
          <w:i w:val="1"/>
          <w:iCs w:val="1"/>
          <w:rtl w:val="0"/>
          <w:lang w:val="en-US"/>
        </w:rPr>
        <w:t>not</w:t>
      </w:r>
      <w:r>
        <w:rPr>
          <w:rtl w:val="0"/>
          <w:lang w:val="en-US"/>
        </w:rPr>
        <w:t xml:space="preserve"> the same that leads the subnational level, suggesting an overall situation of sectoral indeterminacy. For instance, sectoral contestation is low when the agricultural sector leads both the national and subnational level.</w:t>
      </w:r>
    </w:p>
    <w:p>
      <w:pPr>
        <w:pStyle w:val="Body Text"/>
        <w:jc w:val="both"/>
      </w:pPr>
      <w:r>
        <w:rPr>
          <w:rtl w:val="0"/>
          <w:lang w:val="en-US"/>
        </w:rPr>
        <w:t>Econometrically, the multilevel component of allows the slope of the national proportion of agriculture relative to industry (</w:t>
      </w:r>
      <m:oMath>
        <m:sSub>
          <m:e>
            <m:r>
              <m:t>β</m:t>
            </m:r>
          </m:e>
          <m:sub>
            <m:sSub>
              <m:e>
                <m:r>
                  <m:t>1</m:t>
                </m:r>
              </m:e>
              <m:sub>
                <m:r>
                  <m:t>j</m:t>
                </m:r>
              </m:sub>
            </m:sSub>
          </m:sub>
        </m:sSub>
      </m:oMath>
      <w:r>
        <w:rPr>
          <w:rtl w:val="0"/>
          <w:lang w:val="en-US"/>
        </w:rPr>
        <w:t xml:space="preserve">) to vary by the </w:t>
      </w:r>
      <m:oMath>
        <m:r>
          <m:t>j</m:t>
        </m:r>
      </m:oMath>
      <w:r>
        <w:rPr>
          <w:rtl w:val="0"/>
          <w:lang w:val="en-US"/>
        </w:rPr>
        <w:t>th dominant subnational economic sector. Due to space constrains, I exclude mixed subnational units from my theoretical analyses. Additionally, to rule out the possibility that sectors self-select into less earthquake-prone geographical locations, I modeled the effect of magnitudes considering different slopes too (</w:t>
      </w:r>
      <m:oMath>
        <m:sSub>
          <m:e>
            <m:r>
              <m:t>β</m:t>
            </m:r>
          </m:e>
          <m:sub>
            <m:sSub>
              <m:e>
                <m:r>
                  <m:t>2</m:t>
                </m:r>
              </m:e>
              <m:sub>
                <m:r>
                  <m:t>j</m:t>
                </m:r>
              </m:sub>
            </m:sSub>
          </m:sub>
        </m:sSub>
      </m:oMath>
      <w:r>
        <w:rPr>
          <w:rtl w:val="0"/>
          <w:lang w:val="en-US"/>
        </w:rPr>
        <w:t>).</w:t>
      </w:r>
      <w:r>
        <w:rPr>
          <w:rStyle w:val="Footnote Reference"/>
        </w:rPr>
        <w:footnoteReference w:id="108"/>
      </w:r>
      <w:r>
        <w:rPr>
          <w:rtl w:val="0"/>
          <w:lang w:val="en-US"/>
        </w:rPr>
        <w:t xml:space="preserve"> The results strongly suggest that there is not a self-selection mechanism in the data generating process.</w:t>
      </w:r>
      <w:r>
        <w:rPr>
          <w:rStyle w:val="Footnote Reference"/>
        </w:rPr>
        <w:footnoteReference w:id="109"/>
      </w:r>
      <w:r>
        <w:rPr>
          <w:rtl w:val="0"/>
          <w:lang w:val="en-US"/>
        </w:rPr>
        <w:t xml:space="preserve"> Finally, the estimated parameters </w:t>
      </w:r>
      <m:oMath>
        <m:sSub>
          <m:e>
            <m:r>
              <m:t>β</m:t>
            </m:r>
          </m:e>
          <m:sub>
            <m:r>
              <m:t>k</m:t>
            </m:r>
          </m:sub>
        </m:sSub>
      </m:oMath>
      <w:r>
        <w:rPr>
          <w:rtl w:val="0"/>
          <w:lang w:val="en-US"/>
        </w:rPr>
        <w:t xml:space="preserve"> have noninformative normally distributed priors,</w:t>
      </w:r>
      <w:r>
        <w:rPr>
          <w:rStyle w:val="Footnote Reference"/>
        </w:rPr>
        <w:footnoteReference w:id="110"/>
      </w:r>
      <w:r>
        <w:rPr>
          <w:rtl w:val="0"/>
          <w:lang w:val="en-US"/>
        </w:rPr>
        <w:t xml:space="preserve"> while precisions </w:t>
      </w:r>
      <m:oMath>
        <m:sSub>
          <m:e>
            <m:r>
              <m:t>τ</m:t>
            </m:r>
          </m:e>
          <m:sub>
            <m:r>
              <m:t>p</m:t>
            </m:r>
          </m:sub>
        </m:sSub>
      </m:oMath>
      <w:r>
        <w:rPr>
          <w:rtl w:val="0"/>
          <w:lang w:val="en-US"/>
        </w:rPr>
        <w:t xml:space="preserve"> of </w:t>
      </w:r>
      <m:oMath>
        <m:sSub>
          <m:e>
            <m:r>
              <m:t>β</m:t>
            </m:r>
          </m:e>
          <m:sub>
            <m:sSub>
              <m:e>
                <m:r>
                  <m:t>1</m:t>
                </m:r>
              </m:e>
              <m:sub>
                <m:r>
                  <m:t>j</m:t>
                </m:r>
              </m:sub>
            </m:sSub>
          </m:sub>
        </m:sSub>
      </m:oMath>
      <w:r>
        <w:rPr>
          <w:rtl w:val="0"/>
          <w:lang w:val="en-US"/>
        </w:rPr>
        <w:t xml:space="preserve">, </w:t>
      </w:r>
      <m:oMath>
        <m:sSub>
          <m:e>
            <m:r>
              <m:t>β</m:t>
            </m:r>
          </m:e>
          <m:sub>
            <m:sSub>
              <m:e>
                <m:r>
                  <m:t>2</m:t>
                </m:r>
              </m:e>
              <m:sub>
                <m:r>
                  <m:t>j</m:t>
                </m:r>
              </m:sub>
            </m:sSub>
          </m:sub>
        </m:sSub>
      </m:oMath>
      <w:r>
        <w:rPr>
          <w:rtl w:val="0"/>
          <w:lang w:val="en-US"/>
        </w:rPr>
        <w:t xml:space="preserve"> and </w:t>
      </w:r>
      <m:oMath>
        <m:sSub>
          <m:e>
            <m:r>
              <m:t>β</m:t>
            </m:r>
          </m:e>
          <m:sub>
            <m:sSub>
              <m:e>
                <m:r>
                  <m:t>7</m:t>
                </m:r>
              </m:e>
              <m:sub>
                <m:r>
                  <m:t>t</m:t>
                </m:r>
              </m:sub>
            </m:sSub>
          </m:sub>
        </m:sSub>
      </m:oMath>
      <w:r>
        <w:rPr>
          <w:rtl w:val="0"/>
          <w:lang w:val="en-US"/>
        </w:rPr>
        <w:t xml:space="preserve"> have noninformative Gamma priors.</w:t>
      </w:r>
    </w:p>
    <w:p>
      <w:pPr>
        <w:pStyle w:val="Body Text"/>
        <w:jc w:val="both"/>
      </w:pPr>
      <w:r>
        <w:rPr>
          <w:rtl w:val="0"/>
          <w:lang w:val="en-US"/>
        </w:rPr>
        <w:t>More formally, I considered the following:</w:t>
      </w:r>
    </w:p>
    <w:p>
      <w:pPr>
        <w:pStyle w:val="Body Text"/>
        <w:jc w:val="both"/>
      </w:pPr>
    </w:p>
    <w:p>
      <w:pPr>
        <w:pStyle w:val="Heading 4"/>
        <w:jc w:val="both"/>
      </w:pPr>
      <w:bookmarkStart w:name="dohigherlevelsofsectoralcontestationtran" w:id="4"/>
      <w:bookmarkEnd w:id="4"/>
      <w:r>
        <w:rPr>
          <w:rtl w:val="0"/>
          <w:lang w:val="en-US"/>
        </w:rPr>
        <w:t>D</w:t>
      </w:r>
      <w:r>
        <w:rPr>
          <w:rtl w:val="0"/>
          <w:lang w:val="en-US"/>
        </w:rPr>
        <w:t>o higher levels of sectoral contestation translate into state development?</w:t>
      </w:r>
    </w:p>
    <w:p>
      <w:pPr>
        <w:pStyle w:val="First Paragraph"/>
        <w:jc w:val="both"/>
      </w:pPr>
      <w:r>
        <w:rPr>
          <w:rtl w:val="0"/>
          <w:lang w:val="en-US"/>
        </w:rPr>
        <w:t xml:space="preserve">shows the posterior predictive distributions of the multi-level Bayesian Poisson regression, particularly, the predicted death counts conditional on observed covariates. The main quantity of interest is </w:t>
      </w:r>
      <m:oMath>
        <m:sSub>
          <m:e>
            <m:r>
              <m:t>β</m:t>
            </m:r>
          </m:e>
          <m:sub>
            <m:sSub>
              <m:e>
                <m:r>
                  <m:t>1</m:t>
                </m:r>
              </m:e>
              <m:sub>
                <m:r>
                  <m:t>j</m:t>
                </m:r>
              </m:sub>
            </m:sSub>
          </m:sub>
        </m:sSub>
      </m:oMath>
      <w:r>
        <w:rPr>
          <w:rtl w:val="0"/>
          <w:lang w:val="en-US"/>
        </w:rPr>
        <w:t xml:space="preserve">. The results strongly suggest that the average earthquake causes </w:t>
      </w:r>
      <m:oMath>
        <m:r>
          <m:t>13</m:t>
        </m:r>
      </m:oMath>
      <w:r>
        <w:rPr>
          <w:rtl w:val="0"/>
          <w:lang w:val="en-US"/>
        </w:rPr>
        <w:t xml:space="preserve"> </w:t>
      </w:r>
      <w:r>
        <w:rPr>
          <w:i w:val="1"/>
          <w:iCs w:val="1"/>
          <w:rtl w:val="0"/>
          <w:lang w:val="en-US"/>
        </w:rPr>
        <w:t>more</w:t>
      </w:r>
      <w:r>
        <w:rPr>
          <w:rtl w:val="0"/>
          <w:lang w:val="en-US"/>
        </w:rPr>
        <w:t xml:space="preserve"> deaths when the average subnational locality is agricultural under circumstances where the main national economic sector is </w:t>
      </w:r>
      <w:r>
        <w:rPr>
          <w:i w:val="1"/>
          <w:iCs w:val="1"/>
          <w:rtl w:val="0"/>
          <w:lang w:val="en-US"/>
        </w:rPr>
        <w:t>also</w:t>
      </w:r>
      <w:r>
        <w:rPr>
          <w:rtl w:val="0"/>
          <w:lang w:val="en-US"/>
        </w:rPr>
        <w:t xml:space="preserve"> agricultural. I contend that agricultural economic hegemony left the political order uncontested, reinforcing the advantaged position landowners had since colonial times. However, the same average earthquake causes </w:t>
      </w:r>
      <m:oMath>
        <m:r>
          <m:t>16</m:t>
        </m:r>
      </m:oMath>
      <w:r>
        <w:rPr>
          <w:rtl w:val="0"/>
          <w:lang w:val="en-US"/>
        </w:rPr>
        <w:t xml:space="preserve"> </w:t>
      </w:r>
      <w:r>
        <w:rPr>
          <w:i w:val="1"/>
          <w:iCs w:val="1"/>
          <w:rtl w:val="0"/>
          <w:lang w:val="en-US"/>
        </w:rPr>
        <w:t>less</w:t>
      </w:r>
      <w:r>
        <w:rPr>
          <w:rtl w:val="0"/>
          <w:lang w:val="en-US"/>
        </w:rPr>
        <w:t xml:space="preserve"> casualties when the average subnational locality is industrial under circumstances where the main national economic sector is agricultural. In these contexts of inter-sectoral challenge, industrial political elites at the subnational level had more leverage to push for the implementation of the income tax, fostering state development in the long-run. To ease interpretation of these results, shows that as the proportion of the agricultural sector increases, the death toll decreases by a </w:t>
      </w:r>
      <m:oMath>
        <m:r>
          <m:t>4</m:t>
        </m:r>
      </m:oMath>
      <w:r>
        <w:rPr>
          <w:rtl w:val="0"/>
          <w:lang w:val="en-US"/>
        </w:rPr>
        <w:t>-</w:t>
      </w:r>
      <m:oMath>
        <m:r>
          <m:t>19</m:t>
        </m:r>
      </m:oMath>
      <w:r>
        <w:rPr>
          <w:rtl w:val="0"/>
          <w:lang w:val="en-US"/>
        </w:rPr>
        <w:t xml:space="preserve"> range when the average affected locality is industrial, but it increases by a </w:t>
      </w:r>
      <m:oMath>
        <m:r>
          <m:t>3</m:t>
        </m:r>
      </m:oMath>
      <w:r>
        <w:rPr>
          <w:rtl w:val="0"/>
          <w:lang w:val="en-US"/>
        </w:rPr>
        <w:t>-</w:t>
      </w:r>
      <m:oMath>
        <m:r>
          <m:t>15</m:t>
        </m:r>
      </m:oMath>
      <w:r>
        <w:rPr>
          <w:rtl w:val="0"/>
          <w:lang w:val="en-US"/>
        </w:rPr>
        <w:t xml:space="preserve"> range when the average affected locality is </w:t>
      </w:r>
      <w:r>
        <w:rPr>
          <w:i w:val="1"/>
          <w:iCs w:val="1"/>
          <w:rtl w:val="0"/>
          <w:lang w:val="en-US"/>
        </w:rPr>
        <w:t>also</w:t>
      </w:r>
      <w:r>
        <w:rPr>
          <w:rtl w:val="0"/>
          <w:lang w:val="en-US"/>
        </w:rPr>
        <w:t xml:space="preserve"> agricultural.</w:t>
      </w:r>
    </w:p>
    <w:p>
      <w:pPr>
        <w:pStyle w:val="Body Text"/>
        <w:jc w:val="both"/>
      </w:pPr>
      <w:r>
        <w:rPr>
          <w:rtl w:val="0"/>
          <w:lang w:val="en-US"/>
        </w:rPr>
        <w:t xml:space="preserve">In sum, the overall results strongly suggest that the Chilean state was better able to enforce building codes when the main national economic sector did not rule the average subnational locality. I attribute these increments in subnational state-capacities to the incorporation of industrial elites into the same national project. Historical evidence suggests that the implementation of the income tax contributed towards the incorporation of industrial elites. Importantly for state-making, the tax reflected the preferences of both elites, fostering the implementation of stronger local bureaucracies and better monitoring technologies. Following the fiscal sociology paradigm, there were complementarities between income taxation and expanding/improving other state capacities. In sum, these results find empirical support for the </w:t>
      </w:r>
      <w:r>
        <w:rPr>
          <w:i w:val="1"/>
          <w:iCs w:val="1"/>
          <w:rtl w:val="0"/>
          <w:lang w:val="en-US"/>
        </w:rPr>
        <w:t>average</w:t>
      </w:r>
      <w:r>
        <w:rPr>
          <w:rtl w:val="0"/>
          <w:lang w:val="en-US"/>
        </w:rPr>
        <w:t xml:space="preserve"> positive relationship between higher levels of sectoral contestation and higher levels of state-capacities. However, they do not tell us how these sectoral dynamics impacted state-capacities </w:t>
      </w:r>
      <w:r>
        <w:rPr>
          <w:i w:val="1"/>
          <w:iCs w:val="1"/>
          <w:rtl w:val="0"/>
          <w:lang w:val="en-US"/>
        </w:rPr>
        <w:t>overtime</w:t>
      </w:r>
      <w:r>
        <w:rPr>
          <w:rtl w:val="0"/>
          <w:lang w:val="en-US"/>
        </w:rPr>
        <w:t>, which is what I do next.</w:t>
      </w:r>
    </w:p>
    <w:p>
      <w:pPr>
        <w:pStyle w:val="Heading 4"/>
        <w:jc w:val="both"/>
      </w:pPr>
      <w:bookmarkStart w:name="didtaxationimprovestatecapacitiesovertim" w:id="5"/>
      <w:bookmarkEnd w:id="5"/>
      <w:r>
        <w:rPr>
          <w:rtl w:val="0"/>
          <w:lang w:val="en-US"/>
        </w:rPr>
        <w:t>D</w:t>
      </w:r>
      <w:r>
        <w:rPr>
          <w:rtl w:val="0"/>
          <w:lang w:val="en-US"/>
        </w:rPr>
        <w:t>id taxation improve state capacities overtime?</w:t>
      </w:r>
    </w:p>
    <w:p>
      <w:pPr>
        <w:pStyle w:val="First Paragraph"/>
        <w:jc w:val="both"/>
      </w:pPr>
      <w:r>
        <w:rPr>
          <w:rtl w:val="0"/>
          <w:lang w:val="en-US"/>
        </w:rPr>
        <w:t xml:space="preserve">Following the same setup, I fit a simpler one-dimensional Poisson model. The only complexity kept were the year fixed-effects. The main difference is the inclusion of an indicator variable that denotes whether by year </w:t>
      </w:r>
      <m:oMath>
        <m:r>
          <m:t>t</m:t>
        </m:r>
      </m:oMath>
      <w:r>
        <w:rPr>
          <w:rtl w:val="0"/>
          <w:lang w:val="en-US"/>
        </w:rPr>
        <w:t xml:space="preserve"> the income tax is implemented, and whose estimated parameter (</w:t>
      </w:r>
      <m:oMath>
        <m:sSub>
          <m:e>
            <m:r>
              <m:t>β</m:t>
            </m:r>
          </m:e>
          <m:sub>
            <m:r>
              <m:t>1</m:t>
            </m:r>
          </m:sub>
        </m:sSub>
      </m:oMath>
      <w:r>
        <w:rPr>
          <w:rtl w:val="0"/>
          <w:lang w:val="en-US"/>
        </w:rPr>
        <w:t>) is the main quantity of interest.</w:t>
      </w:r>
    </w:p>
    <w:p>
      <w:pPr>
        <w:pStyle w:val="Body Text"/>
        <w:jc w:val="both"/>
      </w:pPr>
      <w:r>
        <w:rPr>
          <w:rtl w:val="0"/>
          <w:lang w:val="en-US"/>
        </w:rPr>
        <w:t>More formally, I fitted the next equation:</w:t>
      </w:r>
    </w:p>
    <w:p>
      <w:pPr>
        <w:pStyle w:val="Body Text"/>
        <w:jc w:val="both"/>
      </w:pPr>
    </w:p>
    <w:p>
      <w:pPr>
        <w:pStyle w:val="Body Text"/>
        <w:jc w:val="both"/>
      </w:pPr>
      <w:r>
        <w:rPr>
          <w:rtl w:val="0"/>
          <w:lang w:val="en-US"/>
        </w:rPr>
        <w:t xml:space="preserve">also shows posterior predictive distributions. The results show that implementing the income tax </w:t>
      </w:r>
      <w:r>
        <w:rPr>
          <w:i w:val="1"/>
          <w:iCs w:val="1"/>
          <w:rtl w:val="0"/>
          <w:lang w:val="en-US"/>
        </w:rPr>
        <w:t>decreases</w:t>
      </w:r>
      <w:r>
        <w:rPr>
          <w:rtl w:val="0"/>
          <w:lang w:val="en-US"/>
        </w:rPr>
        <w:t xml:space="preserve"> the death-toll by an estimated average of </w:t>
      </w:r>
      <m:oMath>
        <m:r>
          <m:t>3</m:t>
        </m:r>
      </m:oMath>
      <w:r>
        <w:rPr>
          <w:rtl w:val="0"/>
          <w:lang w:val="en-US"/>
        </w:rPr>
        <w:t xml:space="preserve">. shows the overtime effect, and how death-tolls (state capacities) </w:t>
      </w:r>
      <w:r>
        <w:rPr>
          <w:i w:val="1"/>
          <w:iCs w:val="1"/>
          <w:rtl w:val="0"/>
          <w:lang w:val="en-US"/>
        </w:rPr>
        <w:t>decrease</w:t>
      </w:r>
      <w:r>
        <w:rPr>
          <w:rtl w:val="0"/>
          <w:lang w:val="en-US"/>
        </w:rPr>
        <w:t xml:space="preserve"> (increase) overtime. Before the income tax law was implemented, death-tolls were relatively stable, averaging 28 casualties approximately per earthquake. However, once the income tax law was implemented, the death-toll decreased from 28 to 22, approximately.</w:t>
      </w:r>
    </w:p>
    <w:p>
      <w:pPr>
        <w:pStyle w:val="Body Text"/>
        <w:jc w:val="both"/>
      </w:pPr>
      <w:r>
        <w:rPr>
          <w:rtl w:val="0"/>
          <w:lang w:val="en-US"/>
        </w:rPr>
        <w:t>The fiscal sociology has longly claimed that the capacity of taxing individuals</w:t>
      </w:r>
      <w:r>
        <w:rPr>
          <w:rtl w:val="0"/>
          <w:lang w:val="en-US"/>
        </w:rPr>
        <w:t xml:space="preserve">’ </w:t>
      </w:r>
      <w:r>
        <w:rPr>
          <w:rtl w:val="0"/>
          <w:lang w:val="en-US"/>
        </w:rPr>
        <w:t xml:space="preserve">incomes transfers to other state institutions, improving overall state-capacities. Here I find support for this claim. Historical evidence suggests that the treasury did increase the Chilean fiscal coffers after the implementation of the income tax law, suggesting a denser (and better) state presence at the local level. My analyses suggest that the act of </w:t>
      </w:r>
      <w:r>
        <w:rPr>
          <w:i w:val="1"/>
          <w:iCs w:val="1"/>
          <w:rtl w:val="0"/>
          <w:lang w:val="en-US"/>
        </w:rPr>
        <w:t>sending</w:t>
      </w:r>
      <w:r>
        <w:rPr>
          <w:rtl w:val="0"/>
          <w:lang w:val="en-US"/>
        </w:rPr>
        <w:t xml:space="preserve"> bureaucrats to collect the income tax had positive externalities on other state activities. Here I identify one such activity, the enforcement of national quake-sensitive norms. The data analyses show (statistically) that, </w:t>
      </w:r>
      <w:r>
        <w:rPr>
          <w:i w:val="1"/>
          <w:iCs w:val="1"/>
          <w:rtl w:val="0"/>
          <w:lang w:val="en-US"/>
        </w:rPr>
        <w:t>ceteris paribus</w:t>
      </w:r>
      <w:r>
        <w:rPr>
          <w:rtl w:val="0"/>
          <w:lang w:val="en-US"/>
        </w:rPr>
        <w:t>, state capacities increase overtime after the implementation of the income tax law.</w:t>
      </w:r>
    </w:p>
    <w:p>
      <w:pPr>
        <w:pStyle w:val="Heading"/>
        <w:jc w:val="both"/>
      </w:pPr>
      <w:bookmarkStart w:name="finalcommentsdiscussion" w:id="6"/>
      <w:bookmarkEnd w:id="6"/>
      <w:r>
        <w:rPr>
          <w:rtl w:val="0"/>
        </w:rPr>
        <w:t>F</w:t>
      </w:r>
      <w:r>
        <w:rPr>
          <w:rtl w:val="0"/>
          <w:lang w:val="en-US"/>
        </w:rPr>
        <w:t>inal Comments</w:t>
      </w:r>
    </w:p>
    <w:p>
      <w:pPr>
        <w:pStyle w:val="First Paragraph"/>
        <w:jc w:val="both"/>
      </w:pPr>
      <w:r>
        <w:rPr>
          <w:rtl w:val="0"/>
          <w:lang w:val="en-US"/>
        </w:rPr>
        <w:t>The crux of the argument was that higher levels of sectoral contestation increased state-capacities overtime. Specifically, I explained how the emergence of industrial elites lowered levels of inter-sectoral inequality, pushing agricultural and industrial elites to reach out agreements that materialized in investments in state-making institutions (income tax law), fostering higher levels of state-capacities overtime. My empirical analyses show the following. First, death-tolls decrease (state capacities increase) when levels of national/subnational sectoral contestation increase. Second, death-tolls decrease (state capacities increase) after the income tax law is implemented. This last finding finds support in favor of the idea that income taxation produces positive effects via spillovers on overall state capacities (fiscal sociology paradigm).</w:t>
      </w:r>
    </w:p>
    <w:p>
      <w:pPr>
        <w:pStyle w:val="Body Text"/>
        <w:jc w:val="both"/>
      </w:pPr>
      <w:r>
        <w:rPr>
          <w:rtl w:val="0"/>
          <w:lang w:val="en-US"/>
        </w:rPr>
        <w:t>The causal mechanism focuses on how higher levels of sectoral contestation translated into more credible threats, advancing sectoral alliances at the national level. I identified one such compromise, the implementation of the income tax, and how this crucial institution for state-making included the preferences of both elites. Importantly, I explain how the industrial sector before these big compromises was excluded from participating in politics, and how industrial expansion required the implementation of the income tax law (to pay for local public goods). Analytically, these conditions were met once the emergence of the industrial elites posed credible-enough threats to the landowning incumbent elites. The paper also introduced a novel framework that leveraged the exogeneity of earthquake. Under reasonable assumptions, this approach is well-suited to capture how the Chilean state has been able to enforce a number of regulations that sought to norm the construction and infrastructure sectors</w:t>
      </w:r>
      <w:r>
        <w:rPr>
          <w:rtl w:val="0"/>
          <w:lang w:val="en-US"/>
        </w:rPr>
        <w:t>.</w:t>
      </w:r>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rPr>
        <w:footnoteRef/>
      </w:r>
      <w:r>
        <w:rPr>
          <w:rFonts w:cs="Arial Unicode MS" w:eastAsia="Arial Unicode MS"/>
          <w:rtl w:val="0"/>
        </w:rPr>
        <w:t xml:space="preserve"> Mahoney (2010).</w:t>
      </w:r>
    </w:p>
  </w:footnote>
  <w:footnote w:id="2">
    <w:p>
      <w:pPr>
        <w:pStyle w:val="Footnote Text"/>
      </w:pPr>
      <w:r>
        <w:rPr>
          <w:rStyle w:val="Footnote Reference"/>
        </w:rPr>
        <w:footnoteRef/>
      </w:r>
      <w:r>
        <w:rPr>
          <w:rFonts w:cs="Arial Unicode MS" w:eastAsia="Arial Unicode MS"/>
          <w:rtl w:val="0"/>
        </w:rPr>
        <w:t xml:space="preserve"> See Kurtz (2013) and Soifer (2015).</w:t>
      </w:r>
    </w:p>
  </w:footnote>
  <w:footnote w:id="3">
    <w:p>
      <w:pPr>
        <w:pStyle w:val="Footnote Text"/>
      </w:pPr>
      <w:r>
        <w:rPr>
          <w:rStyle w:val="Footnote Reference"/>
        </w:rPr>
        <w:footnoteRef/>
      </w:r>
      <w:r>
        <w:rPr>
          <w:rFonts w:cs="Arial Unicode MS" w:eastAsia="Arial Unicode MS"/>
          <w:rtl w:val="0"/>
        </w:rPr>
        <w:t xml:space="preserve"> Bahamonde (2017a).</w:t>
      </w:r>
    </w:p>
  </w:footnote>
  <w:footnote w:id="4">
    <w:p>
      <w:pPr>
        <w:pStyle w:val="Footnote Text"/>
      </w:pPr>
      <w:r>
        <w:rPr>
          <w:rStyle w:val="Footnote Reference"/>
        </w:rPr>
        <w:footnoteRef/>
      </w:r>
      <w:r>
        <w:rPr>
          <w:rFonts w:cs="Arial Unicode MS" w:eastAsia="Arial Unicode MS"/>
          <w:rtl w:val="0"/>
        </w:rPr>
        <w:t xml:space="preserve"> See for an example Besley &amp; Persson (2010, p. 1).</w:t>
      </w:r>
    </w:p>
  </w:footnote>
  <w:footnote w:id="5">
    <w:p>
      <w:pPr>
        <w:pStyle w:val="Footnote Text"/>
      </w:pPr>
      <w:r>
        <w:rPr>
          <w:rStyle w:val="Footnote Reference"/>
        </w:rPr>
        <w:footnoteRef/>
      </w:r>
      <w:r>
        <w:rPr>
          <w:rFonts w:cs="Arial Unicode MS" w:eastAsia="Arial Unicode MS"/>
          <w:rtl w:val="0"/>
        </w:rPr>
        <w:t xml:space="preserve"> Besley, Ilzetzki, &amp; Persson (2013, p. 208) also consider implementing the income tax a strong sign of fiscal capacities, including Chile.</w:t>
      </w:r>
    </w:p>
  </w:footnote>
  <w:footnote w:id="6">
    <w:p>
      <w:pPr>
        <w:pStyle w:val="Footnote Text"/>
      </w:pPr>
      <w:r>
        <w:rPr>
          <w:rStyle w:val="Footnote Reference"/>
        </w:rPr>
        <w:footnoteRef/>
      </w:r>
      <w:r>
        <w:rPr>
          <w:rFonts w:cs="Arial Unicode MS" w:eastAsia="Arial Unicode MS"/>
          <w:rtl w:val="0"/>
        </w:rPr>
        <w:t xml:space="preserve"> See Ansell &amp; Samuels (2014).</w:t>
      </w:r>
    </w:p>
  </w:footnote>
  <w:footnote w:id="7">
    <w:p>
      <w:pPr>
        <w:pStyle w:val="Footnote Text"/>
      </w:pPr>
      <w:r>
        <w:rPr>
          <w:rStyle w:val="Footnote Reference"/>
        </w:rPr>
        <w:footnoteRef/>
      </w:r>
      <w:r>
        <w:rPr>
          <w:rFonts w:cs="Arial Unicode MS" w:eastAsia="Arial Unicode MS"/>
          <w:rtl w:val="0"/>
        </w:rPr>
        <w:t xml:space="preserve"> Hechter &amp; Brustein (1980, p. 1085). Unlike Besley et al. (2013, p. 206), I find that conflict (</w:t>
      </w:r>
      <w:r>
        <w:rPr>
          <w:rFonts w:cs="Arial Unicode MS" w:eastAsia="Arial Unicode MS" w:hint="default"/>
          <w:rtl w:val="0"/>
        </w:rPr>
        <w:t>‘</w:t>
      </w:r>
      <w:r>
        <w:rPr>
          <w:rFonts w:cs="Arial Unicode MS" w:eastAsia="Arial Unicode MS"/>
          <w:rtl w:val="0"/>
        </w:rPr>
        <w:t>political frictions</w:t>
      </w:r>
      <w:r>
        <w:rPr>
          <w:rFonts w:cs="Arial Unicode MS" w:eastAsia="Arial Unicode MS" w:hint="default"/>
          <w:rtl w:val="0"/>
        </w:rPr>
        <w:t>’</w:t>
      </w:r>
      <w:r>
        <w:rPr>
          <w:rFonts w:cs="Arial Unicode MS" w:eastAsia="Arial Unicode MS"/>
          <w:rtl w:val="0"/>
        </w:rPr>
        <w:t xml:space="preserve">) is not </w:t>
      </w:r>
      <w:r>
        <w:rPr>
          <w:rFonts w:cs="Arial Unicode MS" w:eastAsia="Arial Unicode MS" w:hint="default"/>
          <w:rtl w:val="0"/>
        </w:rPr>
        <w:t>‘</w:t>
      </w:r>
      <w:r>
        <w:rPr>
          <w:rFonts w:cs="Arial Unicode MS" w:eastAsia="Arial Unicode MS"/>
          <w:rtl w:val="0"/>
        </w:rPr>
        <w:t>exogenous,</w:t>
      </w:r>
      <w:r>
        <w:rPr>
          <w:rFonts w:cs="Arial Unicode MS" w:eastAsia="Arial Unicode MS" w:hint="default"/>
          <w:rtl w:val="0"/>
        </w:rPr>
        <w:t xml:space="preserve">’ </w:t>
      </w:r>
      <w:r>
        <w:rPr>
          <w:rFonts w:cs="Arial Unicode MS" w:eastAsia="Arial Unicode MS"/>
          <w:rtl w:val="0"/>
        </w:rPr>
        <w:t>but rather endogenous to the implementation of the tax itself.</w:t>
      </w:r>
    </w:p>
  </w:footnote>
  <w:footnote w:id="8">
    <w:p>
      <w:pPr>
        <w:pStyle w:val="Footnote Text"/>
      </w:pPr>
      <w:r>
        <w:rPr>
          <w:rStyle w:val="Footnote Reference"/>
        </w:rPr>
        <w:footnoteRef/>
      </w:r>
      <w:r>
        <w:rPr>
          <w:rFonts w:cs="Arial Unicode MS" w:eastAsia="Arial Unicode MS"/>
          <w:rtl w:val="0"/>
        </w:rPr>
        <w:t xml:space="preserve"> Acemoglu, Garc</w:t>
      </w:r>
      <w:r>
        <w:rPr>
          <w:rFonts w:cs="Arial Unicode MS" w:eastAsia="Arial Unicode MS" w:hint="default"/>
          <w:rtl w:val="0"/>
        </w:rPr>
        <w:t>í</w:t>
      </w:r>
      <w:r>
        <w:rPr>
          <w:rFonts w:cs="Arial Unicode MS" w:eastAsia="Arial Unicode MS"/>
          <w:rtl w:val="0"/>
        </w:rPr>
        <w:t>a-Jimeno, &amp; Robinson (2015, p. 2368). See for an exception Foa &amp; Nemirovskaya (2016).</w:t>
      </w:r>
    </w:p>
  </w:footnote>
  <w:footnote w:id="9">
    <w:p>
      <w:pPr>
        <w:pStyle w:val="Footnote Text"/>
      </w:pPr>
      <w:r>
        <w:rPr>
          <w:rStyle w:val="Footnote Reference"/>
        </w:rPr>
        <w:footnoteRef/>
      </w:r>
      <w:r>
        <w:rPr>
          <w:rFonts w:cs="Arial Unicode MS" w:eastAsia="Arial Unicode MS"/>
          <w:rtl w:val="0"/>
        </w:rPr>
        <w:t xml:space="preserve"> My translation.</w:t>
      </w:r>
    </w:p>
  </w:footnote>
  <w:footnote w:id="10">
    <w:p>
      <w:pPr>
        <w:pStyle w:val="Footnote Text"/>
      </w:pPr>
      <w:r>
        <w:rPr>
          <w:rStyle w:val="Footnote Reference"/>
        </w:rPr>
        <w:footnoteRef/>
      </w:r>
      <w:r>
        <w:rPr>
          <w:rFonts w:cs="Arial Unicode MS" w:eastAsia="Arial Unicode MS"/>
          <w:rtl w:val="0"/>
        </w:rPr>
        <w:t xml:space="preserve"> See for the Chilean case Zeitlin (1984, p. 13), Bauer (2008, p. 45), Baland &amp; Robinson (2008, p. 1748) and Best (1976, p. 56), Rippy (1971), Marichal (1989).</w:t>
      </w:r>
    </w:p>
  </w:footnote>
  <w:footnote w:id="11">
    <w:p>
      <w:pPr>
        <w:pStyle w:val="Footnote Text"/>
      </w:pPr>
      <w:r>
        <w:rPr>
          <w:rStyle w:val="Footnote Reference"/>
        </w:rPr>
        <w:footnoteRef/>
      </w:r>
      <w:r>
        <w:rPr>
          <w:rFonts w:cs="Arial Unicode MS" w:eastAsia="Arial Unicode MS"/>
          <w:rtl w:val="0"/>
        </w:rPr>
        <w:t xml:space="preserve"> Johnston &amp; Mellor (1961, p. 567).</w:t>
      </w:r>
    </w:p>
  </w:footnote>
  <w:footnote w:id="12">
    <w:p>
      <w:pPr>
        <w:pStyle w:val="Footnote Text"/>
      </w:pPr>
      <w:r>
        <w:rPr>
          <w:rStyle w:val="Footnote Reference"/>
        </w:rPr>
        <w:footnoteRef/>
      </w:r>
      <w:r>
        <w:rPr>
          <w:rFonts w:cs="Arial Unicode MS" w:eastAsia="Arial Unicode MS"/>
          <w:rtl w:val="0"/>
        </w:rPr>
        <w:t xml:space="preserve"> Bahamonde (2017a).</w:t>
      </w:r>
    </w:p>
  </w:footnote>
  <w:footnote w:id="13">
    <w:p>
      <w:pPr>
        <w:pStyle w:val="Footnote Text"/>
      </w:pPr>
      <w:r>
        <w:rPr>
          <w:rStyle w:val="Footnote Reference"/>
        </w:rPr>
        <w:footnoteRef/>
      </w:r>
      <w:r>
        <w:rPr>
          <w:rFonts w:cs="Arial Unicode MS" w:eastAsia="Arial Unicode MS"/>
          <w:rtl w:val="0"/>
        </w:rPr>
        <w:t xml:space="preserve"> Boix (2015). For example, elites could use a faction of the existing army or hire private militias.</w:t>
      </w:r>
    </w:p>
  </w:footnote>
  <w:footnote w:id="14">
    <w:p>
      <w:pPr>
        <w:pStyle w:val="Footnote Text"/>
      </w:pPr>
      <w:r>
        <w:rPr>
          <w:rStyle w:val="Footnote Reference"/>
        </w:rPr>
        <w:footnoteRef/>
      </w:r>
      <w:r>
        <w:rPr>
          <w:rFonts w:cs="Arial Unicode MS" w:eastAsia="Arial Unicode MS"/>
          <w:rtl w:val="0"/>
        </w:rPr>
        <w:t xml:space="preserve"> See Acemoglu &amp; Robinson (2009, p. 289) and Best (1976, p. 50).</w:t>
      </w:r>
    </w:p>
  </w:footnote>
  <w:footnote w:id="15">
    <w:p>
      <w:pPr>
        <w:pStyle w:val="Footnote Text"/>
      </w:pPr>
      <w:r>
        <w:rPr>
          <w:rStyle w:val="Footnote Reference"/>
        </w:rPr>
        <w:footnoteRef/>
      </w:r>
      <w:r>
        <w:rPr>
          <w:rFonts w:cs="Arial Unicode MS" w:eastAsia="Arial Unicode MS"/>
          <w:rtl w:val="0"/>
        </w:rPr>
        <w:t xml:space="preserve"> Robinson (2006, p. 512).</w:t>
      </w:r>
    </w:p>
  </w:footnote>
  <w:footnote w:id="16">
    <w:p>
      <w:pPr>
        <w:pStyle w:val="Footnote Text"/>
      </w:pPr>
      <w:r>
        <w:rPr>
          <w:rStyle w:val="Footnote Reference"/>
        </w:rPr>
        <w:footnoteRef/>
      </w:r>
      <w:r>
        <w:rPr>
          <w:rFonts w:cs="Arial Unicode MS" w:eastAsia="Arial Unicode MS"/>
          <w:rtl w:val="0"/>
        </w:rPr>
        <w:t xml:space="preserve"> Hirschman (1970). See Ronald Rogowski in Drake &amp; McCubbins (1998 ch. 4). However, see Bates &amp; Lien (1985, p. 15).</w:t>
      </w:r>
    </w:p>
  </w:footnote>
  <w:footnote w:id="17">
    <w:p>
      <w:pPr>
        <w:pStyle w:val="Footnote Text"/>
      </w:pPr>
      <w:r>
        <w:rPr>
          <w:rStyle w:val="Footnote Reference"/>
        </w:rPr>
        <w:footnoteRef/>
      </w:r>
      <w:r>
        <w:rPr>
          <w:rFonts w:cs="Arial Unicode MS" w:eastAsia="Arial Unicode MS"/>
          <w:rtl w:val="0"/>
        </w:rPr>
        <w:t xml:space="preserve"> Tani (1966, p. 157) explains that the absence of </w:t>
      </w:r>
      <w:r>
        <w:rPr>
          <w:rFonts w:cs="Arial Unicode MS" w:eastAsia="Arial Unicode MS" w:hint="default"/>
          <w:rtl w:val="0"/>
        </w:rPr>
        <w:t>“</w:t>
      </w:r>
      <w:r>
        <w:rPr>
          <w:rFonts w:cs="Arial Unicode MS" w:eastAsia="Arial Unicode MS"/>
          <w:rtl w:val="0"/>
        </w:rPr>
        <w:t>wealth groups</w:t>
      </w:r>
      <w:r>
        <w:rPr>
          <w:rFonts w:cs="Arial Unicode MS" w:eastAsia="Arial Unicode MS" w:hint="default"/>
          <w:rtl w:val="0"/>
        </w:rPr>
        <w:t xml:space="preserve">” </w:t>
      </w:r>
      <w:r>
        <w:rPr>
          <w:rFonts w:cs="Arial Unicode MS" w:eastAsia="Arial Unicode MS"/>
          <w:rtl w:val="0"/>
        </w:rPr>
        <w:t>makes passing an income tax law easier.</w:t>
      </w:r>
    </w:p>
  </w:footnote>
  <w:footnote w:id="18">
    <w:p>
      <w:pPr>
        <w:pStyle w:val="Footnote Text"/>
      </w:pPr>
      <w:r>
        <w:rPr>
          <w:rStyle w:val="Footnote Reference"/>
        </w:rPr>
        <w:footnoteRef/>
      </w:r>
      <w:r>
        <w:rPr>
          <w:rFonts w:cs="Arial Unicode MS" w:eastAsia="Arial Unicode MS"/>
          <w:rtl w:val="0"/>
        </w:rPr>
        <w:t xml:space="preserve"> Bahamonde (2017b).</w:t>
      </w:r>
    </w:p>
  </w:footnote>
  <w:footnote w:id="19">
    <w:p>
      <w:pPr>
        <w:pStyle w:val="Footnote Text"/>
      </w:pPr>
      <w:r>
        <w:rPr>
          <w:rStyle w:val="Footnote Reference"/>
        </w:rPr>
        <w:footnoteRef/>
      </w:r>
      <w:r>
        <w:rPr>
          <w:rFonts w:cs="Arial Unicode MS" w:eastAsia="Arial Unicode MS"/>
          <w:rtl w:val="0"/>
        </w:rPr>
        <w:t xml:space="preserve"> Bahamonde (2017a).</w:t>
      </w:r>
    </w:p>
  </w:footnote>
  <w:footnote w:id="20">
    <w:p>
      <w:pPr>
        <w:pStyle w:val="Footnote Text"/>
      </w:pPr>
      <w:r>
        <w:rPr>
          <w:rStyle w:val="Footnote Reference"/>
        </w:rPr>
        <w:footnoteRef/>
      </w:r>
      <w:r>
        <w:rPr>
          <w:rFonts w:cs="Arial Unicode MS" w:eastAsia="Arial Unicode MS"/>
          <w:rtl w:val="0"/>
        </w:rPr>
        <w:t xml:space="preserve"> Boix (2015).</w:t>
      </w:r>
    </w:p>
  </w:footnote>
  <w:footnote w:id="21">
    <w:p>
      <w:pPr>
        <w:pStyle w:val="Footnote Text"/>
      </w:pPr>
      <w:r>
        <w:rPr>
          <w:rStyle w:val="Footnote Reference"/>
        </w:rPr>
        <w:footnoteRef/>
      </w:r>
      <w:r>
        <w:rPr>
          <w:rFonts w:cs="Arial Unicode MS" w:eastAsia="Arial Unicode MS"/>
          <w:rtl w:val="0"/>
        </w:rPr>
        <w:t xml:space="preserve"> Richard Salvucci in Uribe-Uran (2001, p. 48).</w:t>
      </w:r>
    </w:p>
  </w:footnote>
  <w:footnote w:id="22">
    <w:p>
      <w:pPr>
        <w:pStyle w:val="Footnote Text"/>
      </w:pPr>
      <w:r>
        <w:rPr>
          <w:rStyle w:val="Footnote Reference"/>
        </w:rPr>
        <w:footnoteRef/>
      </w:r>
      <w:r>
        <w:rPr>
          <w:rFonts w:cs="Arial Unicode MS" w:eastAsia="Arial Unicode MS"/>
          <w:rtl w:val="0"/>
        </w:rPr>
        <w:t xml:space="preserve"> Bowman &amp; Wallerstein (1982, pp. 451</w:t>
      </w:r>
      <w:r>
        <w:rPr>
          <w:rFonts w:cs="Arial Unicode MS" w:eastAsia="Arial Unicode MS" w:hint="default"/>
          <w:rtl w:val="0"/>
        </w:rPr>
        <w:t>–</w:t>
      </w:r>
      <w:r>
        <w:rPr>
          <w:rFonts w:cs="Arial Unicode MS" w:eastAsia="Arial Unicode MS"/>
          <w:rtl w:val="0"/>
        </w:rPr>
        <w:t>452).</w:t>
      </w:r>
    </w:p>
  </w:footnote>
  <w:footnote w:id="23">
    <w:p>
      <w:pPr>
        <w:pStyle w:val="Footnote Text"/>
      </w:pPr>
      <w:r>
        <w:rPr>
          <w:rStyle w:val="Footnote Reference"/>
        </w:rPr>
        <w:footnoteRef/>
      </w:r>
      <w:r>
        <w:rPr>
          <w:rFonts w:cs="Arial Unicode MS" w:eastAsia="Arial Unicode MS"/>
          <w:rtl w:val="0"/>
        </w:rPr>
        <w:t xml:space="preserve"> Moore (2004a, p. 304).</w:t>
      </w:r>
    </w:p>
  </w:footnote>
  <w:footnote w:id="24">
    <w:p>
      <w:pPr>
        <w:pStyle w:val="Footnote Text"/>
      </w:pPr>
      <w:r>
        <w:rPr>
          <w:rStyle w:val="Footnote Reference"/>
        </w:rPr>
        <w:footnoteRef/>
      </w:r>
      <w:r>
        <w:rPr>
          <w:rFonts w:cs="Arial Unicode MS" w:eastAsia="Arial Unicode MS"/>
          <w:rtl w:val="0"/>
        </w:rPr>
        <w:t xml:space="preserve"> Coatsworth &amp; Williamson (2002, p. 10).</w:t>
      </w:r>
    </w:p>
  </w:footnote>
  <w:footnote w:id="25">
    <w:p>
      <w:pPr>
        <w:pStyle w:val="Footnote Text"/>
      </w:pPr>
      <w:r>
        <w:rPr>
          <w:rStyle w:val="Footnote Reference"/>
        </w:rPr>
        <w:footnoteRef/>
      </w:r>
      <w:r>
        <w:rPr>
          <w:rFonts w:cs="Arial Unicode MS" w:eastAsia="Arial Unicode MS"/>
          <w:rtl w:val="0"/>
        </w:rPr>
        <w:t xml:space="preserve"> Moore (2004b, p. 14).</w:t>
      </w:r>
    </w:p>
  </w:footnote>
  <w:footnote w:id="26">
    <w:p>
      <w:pPr>
        <w:pStyle w:val="Footnote Text"/>
      </w:pPr>
      <w:r>
        <w:rPr>
          <w:rStyle w:val="Footnote Reference"/>
        </w:rPr>
        <w:footnoteRef/>
      </w:r>
      <w:r>
        <w:rPr>
          <w:rFonts w:cs="Arial Unicode MS" w:eastAsia="Arial Unicode MS"/>
          <w:rtl w:val="0"/>
        </w:rPr>
        <w:t xml:space="preserve"> Campbell (1993, p. 177).</w:t>
      </w:r>
    </w:p>
  </w:footnote>
  <w:footnote w:id="27">
    <w:p>
      <w:pPr>
        <w:pStyle w:val="Footnote Text"/>
      </w:pPr>
      <w:r>
        <w:rPr>
          <w:rStyle w:val="Footnote Reference"/>
        </w:rPr>
        <w:footnoteRef/>
      </w:r>
      <w:r>
        <w:rPr>
          <w:rFonts w:cs="Arial Unicode MS" w:eastAsia="Arial Unicode MS"/>
          <w:rtl w:val="0"/>
        </w:rPr>
        <w:t xml:space="preserve"> Bertola &amp; Ocampo (2012, p. 132).</w:t>
      </w:r>
    </w:p>
  </w:footnote>
  <w:footnote w:id="28">
    <w:p>
      <w:pPr>
        <w:pStyle w:val="Footnote Text"/>
      </w:pPr>
      <w:r>
        <w:rPr>
          <w:rStyle w:val="Footnote Reference"/>
        </w:rPr>
        <w:footnoteRef/>
      </w:r>
      <w:r>
        <w:rPr>
          <w:rFonts w:cs="Arial Unicode MS" w:eastAsia="Arial Unicode MS"/>
          <w:rtl w:val="0"/>
        </w:rPr>
        <w:t xml:space="preserve"> Musgrave (1992, p. 98) and Moore (2004a, p. 298). While Kurtz (2009, 2013; Soifer, 2015) situate the relevant state-building critical juncture at the end of the colonial period, before the class compromises I identify in this paper, I argue that the implementation of the income tax was an important building block in this process.</w:t>
      </w:r>
    </w:p>
  </w:footnote>
  <w:footnote w:id="29">
    <w:p>
      <w:pPr>
        <w:pStyle w:val="Footnote Text"/>
      </w:pPr>
      <w:r>
        <w:rPr>
          <w:rStyle w:val="Footnote Reference"/>
        </w:rPr>
        <w:footnoteRef/>
      </w:r>
      <w:r>
        <w:rPr>
          <w:rFonts w:cs="Arial Unicode MS" w:eastAsia="Arial Unicode MS"/>
          <w:rtl w:val="0"/>
        </w:rPr>
        <w:t xml:space="preserve"> Levi (1989).</w:t>
      </w:r>
    </w:p>
  </w:footnote>
  <w:footnote w:id="30">
    <w:p>
      <w:pPr>
        <w:pStyle w:val="Footnote Text"/>
      </w:pPr>
      <w:r>
        <w:rPr>
          <w:rStyle w:val="Footnote Reference"/>
        </w:rPr>
        <w:footnoteRef/>
      </w:r>
      <w:r>
        <w:rPr>
          <w:rFonts w:cs="Arial Unicode MS" w:eastAsia="Arial Unicode MS"/>
          <w:rtl w:val="0"/>
        </w:rPr>
        <w:t xml:space="preserve"> Anderson (2006).</w:t>
      </w:r>
    </w:p>
  </w:footnote>
  <w:footnote w:id="31">
    <w:p>
      <w:pPr>
        <w:pStyle w:val="Footnote Text"/>
      </w:pPr>
      <w:r>
        <w:rPr>
          <w:rStyle w:val="Footnote Reference"/>
        </w:rPr>
        <w:footnoteRef/>
      </w:r>
      <w:r>
        <w:rPr>
          <w:rFonts w:cs="Arial Unicode MS" w:eastAsia="Arial Unicode MS"/>
          <w:rtl w:val="0"/>
        </w:rPr>
        <w:t xml:space="preserve"> Martin et al. (in Martin, Mehrotra, &amp; Prasad (2009, p. 3)).</w:t>
      </w:r>
    </w:p>
  </w:footnote>
  <w:footnote w:id="32">
    <w:p>
      <w:pPr>
        <w:pStyle w:val="Footnote Text"/>
      </w:pPr>
      <w:r>
        <w:rPr>
          <w:rStyle w:val="Footnote Reference"/>
        </w:rPr>
        <w:footnoteRef/>
      </w:r>
      <w:r>
        <w:rPr>
          <w:rFonts w:cs="Arial Unicode MS" w:eastAsia="Arial Unicode MS"/>
          <w:rtl w:val="0"/>
        </w:rPr>
        <w:t xml:space="preserve"> See for example Mamalakis (1976, p. 125).</w:t>
      </w:r>
    </w:p>
  </w:footnote>
  <w:footnote w:id="33">
    <w:p>
      <w:pPr>
        <w:pStyle w:val="Footnote Text"/>
      </w:pPr>
      <w:r>
        <w:rPr>
          <w:rStyle w:val="Footnote Reference"/>
        </w:rPr>
        <w:footnoteRef/>
      </w:r>
      <w:r>
        <w:rPr>
          <w:rFonts w:cs="Arial Unicode MS" w:eastAsia="Arial Unicode MS"/>
          <w:rtl w:val="0"/>
        </w:rPr>
        <w:t xml:space="preserve"> Kirsch (1977, p. 57, 95) who cites Bauer (2008). See also Coatsworth &amp; Williamson (2002, p. 23) argue that </w:t>
      </w:r>
      <w:r>
        <w:rPr>
          <w:rFonts w:cs="Arial Unicode MS" w:eastAsia="Arial Unicode MS" w:hint="default"/>
          <w:rtl w:val="0"/>
        </w:rPr>
        <w:t>“</w:t>
      </w:r>
      <w:r>
        <w:rPr>
          <w:rFonts w:cs="Arial Unicode MS" w:eastAsia="Arial Unicode MS"/>
          <w:rtl w:val="0"/>
        </w:rPr>
        <w:t>[t]he only landowners that mattered in 19th century Latin American politics were those for whom land represented but one asset in a much broader portfolio.</w:t>
      </w:r>
      <w:r>
        <w:rPr>
          <w:rFonts w:cs="Arial Unicode MS" w:eastAsia="Arial Unicode MS" w:hint="default"/>
          <w:rtl w:val="0"/>
        </w:rPr>
        <w:t xml:space="preserve">” </w:t>
      </w:r>
      <w:r>
        <w:rPr>
          <w:rFonts w:cs="Arial Unicode MS" w:eastAsia="Arial Unicode MS"/>
          <w:rtl w:val="0"/>
        </w:rPr>
        <w:t xml:space="preserve">In the same vein, Bauer (2008, p. 180) argues that </w:t>
      </w:r>
      <w:r>
        <w:rPr>
          <w:rFonts w:cs="Arial Unicode MS" w:eastAsia="Arial Unicode MS" w:hint="default"/>
          <w:rtl w:val="0"/>
        </w:rPr>
        <w:t>“</w:t>
      </w:r>
      <w:r>
        <w:rPr>
          <w:rFonts w:cs="Arial Unicode MS" w:eastAsia="Arial Unicode MS"/>
          <w:rtl w:val="0"/>
        </w:rPr>
        <w:t>[m]iners and merchants bought haciendas but landowners in turn invested in banks, insurance companies, commercial firms and the incipient industrial sector.</w:t>
      </w:r>
      <w:r>
        <w:rPr>
          <w:rFonts w:cs="Arial Unicode MS" w:eastAsia="Arial Unicode MS" w:hint="default"/>
          <w:rtl w:val="0"/>
        </w:rPr>
        <w:t>”</w:t>
      </w:r>
    </w:p>
  </w:footnote>
  <w:footnote w:id="34">
    <w:p>
      <w:pPr>
        <w:pStyle w:val="Footnote Text"/>
      </w:pPr>
      <w:r>
        <w:rPr>
          <w:rStyle w:val="Footnote Reference"/>
        </w:rPr>
        <w:footnoteRef/>
      </w:r>
      <w:r>
        <w:rPr>
          <w:rFonts w:cs="Arial Unicode MS" w:eastAsia="Arial Unicode MS"/>
          <w:rtl w:val="0"/>
        </w:rPr>
        <w:t xml:space="preserve"> Bauer (2008, p. 30, 44, 94, 108).</w:t>
      </w:r>
    </w:p>
  </w:footnote>
  <w:footnote w:id="35">
    <w:p>
      <w:pPr>
        <w:pStyle w:val="Footnote Text"/>
      </w:pPr>
      <w:r>
        <w:rPr>
          <w:rStyle w:val="Footnote Reference"/>
        </w:rPr>
        <w:footnoteRef/>
      </w:r>
      <w:r>
        <w:rPr>
          <w:rFonts w:cs="Arial Unicode MS" w:eastAsia="Arial Unicode MS"/>
          <w:rtl w:val="0"/>
        </w:rPr>
        <w:t xml:space="preserve"> Emphases are mine.</w:t>
      </w:r>
    </w:p>
  </w:footnote>
  <w:footnote w:id="36">
    <w:p>
      <w:pPr>
        <w:pStyle w:val="Footnote Text"/>
      </w:pPr>
      <w:r>
        <w:rPr>
          <w:rStyle w:val="Footnote Reference"/>
        </w:rPr>
        <w:footnoteRef/>
      </w:r>
      <w:r>
        <w:rPr>
          <w:rFonts w:cs="Arial Unicode MS" w:eastAsia="Arial Unicode MS"/>
          <w:rtl w:val="0"/>
        </w:rPr>
        <w:t xml:space="preserve"> Emphasis is mine.</w:t>
      </w:r>
    </w:p>
  </w:footnote>
  <w:footnote w:id="37">
    <w:p>
      <w:pPr>
        <w:pStyle w:val="Footnote Text"/>
      </w:pPr>
      <w:r>
        <w:rPr>
          <w:rStyle w:val="Footnote Reference"/>
        </w:rPr>
        <w:footnoteRef/>
      </w:r>
      <w:r>
        <w:rPr>
          <w:rFonts w:cs="Arial Unicode MS" w:eastAsia="Arial Unicode MS"/>
          <w:rtl w:val="0"/>
        </w:rPr>
        <w:t xml:space="preserve"> Emphasis is mine.</w:t>
      </w:r>
    </w:p>
  </w:footnote>
  <w:footnote w:id="38">
    <w:p>
      <w:pPr>
        <w:pStyle w:val="Footnote Text"/>
      </w:pPr>
      <w:r>
        <w:rPr>
          <w:rStyle w:val="Footnote Reference"/>
        </w:rPr>
        <w:footnoteRef/>
      </w:r>
      <w:r>
        <w:rPr>
          <w:rFonts w:cs="Arial Unicode MS" w:eastAsia="Arial Unicode MS"/>
          <w:rtl w:val="0"/>
        </w:rPr>
        <w:t xml:space="preserve"> Bahamonde (2017b).</w:t>
      </w:r>
    </w:p>
  </w:footnote>
  <w:footnote w:id="39">
    <w:p>
      <w:pPr>
        <w:pStyle w:val="Footnote Text"/>
      </w:pPr>
      <w:r>
        <w:rPr>
          <w:rStyle w:val="Footnote Reference"/>
        </w:rPr>
        <w:footnoteRef/>
      </w:r>
      <w:r>
        <w:rPr>
          <w:rFonts w:cs="Arial Unicode MS" w:eastAsia="Arial Unicode MS"/>
          <w:rtl w:val="0"/>
        </w:rPr>
        <w:t xml:space="preserve"> Keller (1931, p. 13).</w:t>
      </w:r>
    </w:p>
  </w:footnote>
  <w:footnote w:id="40">
    <w:p>
      <w:pPr>
        <w:pStyle w:val="Footnote Text"/>
      </w:pPr>
      <w:r>
        <w:rPr>
          <w:rStyle w:val="Footnote Reference"/>
        </w:rPr>
        <w:footnoteRef/>
      </w:r>
      <w:r>
        <w:rPr>
          <w:rFonts w:cs="Arial Unicode MS" w:eastAsia="Arial Unicode MS"/>
          <w:rtl w:val="0"/>
        </w:rPr>
        <w:t xml:space="preserve"> Wright (1975, pp. 45</w:t>
      </w:r>
      <w:r>
        <w:rPr>
          <w:rFonts w:cs="Arial Unicode MS" w:eastAsia="Arial Unicode MS" w:hint="default"/>
          <w:rtl w:val="0"/>
        </w:rPr>
        <w:t>–</w:t>
      </w:r>
      <w:r>
        <w:rPr>
          <w:rFonts w:cs="Arial Unicode MS" w:eastAsia="Arial Unicode MS"/>
          <w:rtl w:val="0"/>
        </w:rPr>
        <w:t>46).</w:t>
      </w:r>
    </w:p>
  </w:footnote>
  <w:footnote w:id="41">
    <w:p>
      <w:pPr>
        <w:pStyle w:val="Footnote Text"/>
      </w:pPr>
      <w:r>
        <w:rPr>
          <w:rStyle w:val="Footnote Reference"/>
        </w:rPr>
        <w:footnoteRef/>
      </w:r>
      <w:r>
        <w:rPr>
          <w:rFonts w:cs="Arial Unicode MS" w:eastAsia="Arial Unicode MS"/>
          <w:rtl w:val="0"/>
        </w:rPr>
        <w:t xml:space="preserve"> Similarly, McBride (1936, p. 15) explains that </w:t>
      </w:r>
      <w:r>
        <w:rPr>
          <w:rFonts w:cs="Arial Unicode MS" w:eastAsia="Arial Unicode MS" w:hint="default"/>
          <w:rtl w:val="0"/>
        </w:rPr>
        <w:t>“</w:t>
      </w:r>
      <w:r>
        <w:rPr>
          <w:rFonts w:cs="Arial Unicode MS" w:eastAsia="Arial Unicode MS"/>
          <w:rtl w:val="0"/>
        </w:rPr>
        <w:t>Chile</w:t>
      </w:r>
      <w:r>
        <w:rPr>
          <w:rFonts w:cs="Arial Unicode MS" w:eastAsia="Arial Unicode MS" w:hint="default"/>
          <w:rtl w:val="0"/>
        </w:rPr>
        <w:t>’</w:t>
      </w:r>
      <w:r>
        <w:rPr>
          <w:rFonts w:cs="Arial Unicode MS" w:eastAsia="Arial Unicode MS"/>
          <w:rtl w:val="0"/>
        </w:rPr>
        <w:t xml:space="preserve">s people live on the soil. Her life is agricultural to the core. </w:t>
      </w:r>
      <w:r>
        <w:rPr>
          <w:rFonts w:cs="Arial Unicode MS" w:eastAsia="Arial Unicode MS"/>
          <w:i w:val="1"/>
          <w:iCs w:val="1"/>
          <w:rtl w:val="0"/>
          <w:lang w:val="en-US"/>
        </w:rPr>
        <w:t>Her government has always been of farm owners. Her Congress is made up chiefly of rich landlords</w:t>
      </w:r>
      <w:r>
        <w:rPr>
          <w:rFonts w:cs="Arial Unicode MS" w:eastAsia="Arial Unicode MS"/>
          <w:rtl w:val="0"/>
        </w:rPr>
        <w:t>. Social life is dominated by families whose proudest possession is the ancestral estate.</w:t>
      </w:r>
      <w:r>
        <w:rPr>
          <w:rFonts w:cs="Arial Unicode MS" w:eastAsia="Arial Unicode MS" w:hint="default"/>
          <w:rtl w:val="0"/>
        </w:rPr>
        <w:t xml:space="preserve">” </w:t>
      </w:r>
      <w:r>
        <w:rPr>
          <w:rFonts w:cs="Arial Unicode MS" w:eastAsia="Arial Unicode MS"/>
          <w:rtl w:val="0"/>
        </w:rPr>
        <w:t>Emphases are mine.</w:t>
      </w:r>
    </w:p>
  </w:footnote>
  <w:footnote w:id="42">
    <w:p>
      <w:pPr>
        <w:pStyle w:val="Footnote Text"/>
      </w:pPr>
      <w:r>
        <w:rPr>
          <w:rStyle w:val="Footnote Reference"/>
        </w:rPr>
        <w:footnoteRef/>
      </w:r>
      <w:r>
        <w:rPr>
          <w:rFonts w:cs="Arial Unicode MS" w:eastAsia="Arial Unicode MS"/>
          <w:rtl w:val="0"/>
        </w:rPr>
        <w:t xml:space="preserve"> For instance, Bahamonde (2017a) explains that President Balmaceda</w:t>
      </w:r>
      <w:r>
        <w:rPr>
          <w:rFonts w:cs="Arial Unicode MS" w:eastAsia="Arial Unicode MS" w:hint="default"/>
          <w:rtl w:val="0"/>
        </w:rPr>
        <w:t>’</w:t>
      </w:r>
      <w:r>
        <w:rPr>
          <w:rFonts w:cs="Arial Unicode MS" w:eastAsia="Arial Unicode MS"/>
          <w:rtl w:val="0"/>
        </w:rPr>
        <w:t xml:space="preserve">s agenda on </w:t>
      </w:r>
      <w:r>
        <w:rPr>
          <w:rFonts w:cs="Arial Unicode MS" w:eastAsia="Arial Unicode MS" w:hint="default"/>
          <w:rtl w:val="0"/>
        </w:rPr>
        <w:t>“</w:t>
      </w:r>
      <w:r>
        <w:rPr>
          <w:rFonts w:cs="Arial Unicode MS" w:eastAsia="Arial Unicode MS"/>
          <w:rtl w:val="0"/>
        </w:rPr>
        <w:t>industrial</w:t>
      </w:r>
      <w:r>
        <w:rPr>
          <w:rFonts w:cs="Arial Unicode MS" w:eastAsia="Arial Unicode MS" w:hint="default"/>
          <w:rtl w:val="0"/>
        </w:rPr>
        <w:t xml:space="preserve">” </w:t>
      </w:r>
      <w:r>
        <w:rPr>
          <w:rFonts w:cs="Arial Unicode MS" w:eastAsia="Arial Unicode MS"/>
          <w:rtl w:val="0"/>
        </w:rPr>
        <w:t>infrastructure (mainly roads and railroads) benefited mostly agricultural areas, and that his attitude towards the banking sector (closely linked to the mining sector) was mostly confiscatory. See especially Zeitlin (1984).</w:t>
      </w:r>
    </w:p>
  </w:footnote>
  <w:footnote w:id="43">
    <w:p>
      <w:pPr>
        <w:pStyle w:val="Footnote Text"/>
      </w:pPr>
      <w:r>
        <w:rPr>
          <w:rStyle w:val="Footnote Reference"/>
        </w:rPr>
        <w:footnoteRef/>
      </w:r>
      <w:r>
        <w:rPr>
          <w:rFonts w:cs="Arial Unicode MS" w:eastAsia="Arial Unicode MS"/>
          <w:rtl w:val="0"/>
        </w:rPr>
        <w:t xml:space="preserve"> Keller (1931, pp. 37</w:t>
      </w:r>
      <w:r>
        <w:rPr>
          <w:rFonts w:cs="Arial Unicode MS" w:eastAsia="Arial Unicode MS" w:hint="default"/>
          <w:rtl w:val="0"/>
        </w:rPr>
        <w:t>–</w:t>
      </w:r>
      <w:r>
        <w:rPr>
          <w:rFonts w:cs="Arial Unicode MS" w:eastAsia="Arial Unicode MS"/>
          <w:rtl w:val="0"/>
        </w:rPr>
        <w:t>38).</w:t>
      </w:r>
    </w:p>
  </w:footnote>
  <w:footnote w:id="44">
    <w:p>
      <w:pPr>
        <w:pStyle w:val="Footnote Text"/>
      </w:pPr>
      <w:r>
        <w:rPr>
          <w:rStyle w:val="Footnote Reference"/>
        </w:rPr>
        <w:footnoteRef/>
      </w:r>
      <w:r>
        <w:rPr>
          <w:rFonts w:cs="Arial Unicode MS" w:eastAsia="Arial Unicode MS"/>
          <w:rtl w:val="0"/>
        </w:rPr>
        <w:t xml:space="preserve"> Collier &amp; Collier (2002, p. 109).</w:t>
      </w:r>
    </w:p>
  </w:footnote>
  <w:footnote w:id="45">
    <w:p>
      <w:pPr>
        <w:pStyle w:val="Footnote Text"/>
      </w:pPr>
      <w:r>
        <w:rPr>
          <w:rStyle w:val="Footnote Reference"/>
        </w:rPr>
        <w:footnoteRef/>
      </w:r>
      <w:r>
        <w:rPr>
          <w:rFonts w:cs="Arial Unicode MS" w:eastAsia="Arial Unicode MS"/>
          <w:rtl w:val="0"/>
        </w:rPr>
        <w:t xml:space="preserve"> Carmenza Gallo, in Brautigam, Fjeldstad, &amp; Moore (2008, p. 165). Emphases are mine.</w:t>
      </w:r>
    </w:p>
  </w:footnote>
  <w:footnote w:id="46">
    <w:p>
      <w:pPr>
        <w:pStyle w:val="Footnote Text"/>
      </w:pPr>
      <w:r>
        <w:rPr>
          <w:rStyle w:val="Footnote Reference"/>
        </w:rPr>
        <w:footnoteRef/>
      </w:r>
      <w:r>
        <w:rPr>
          <w:rFonts w:cs="Arial Unicode MS" w:eastAsia="Arial Unicode MS"/>
          <w:rtl w:val="0"/>
        </w:rPr>
        <w:t xml:space="preserve"> Hanson &amp; Sigman (2013, p. 10) compiled 24 different types of measurements of state-capacities. In turn Mata &amp; Ziaja (2009) constructed a combined measurement of 12 other indicators.</w:t>
      </w:r>
    </w:p>
  </w:footnote>
  <w:footnote w:id="47">
    <w:p>
      <w:pPr>
        <w:pStyle w:val="Footnote Text"/>
      </w:pPr>
      <w:r>
        <w:rPr>
          <w:rStyle w:val="Footnote Reference"/>
        </w:rPr>
        <w:footnoteRef/>
      </w:r>
      <w:r>
        <w:rPr>
          <w:rFonts w:cs="Arial Unicode MS" w:eastAsia="Arial Unicode MS"/>
          <w:rtl w:val="0"/>
        </w:rPr>
        <w:t xml:space="preserve"> Mata &amp; Ziaja (2009, p. 35). They point out particularly to the fact that data are usually poor.</w:t>
      </w:r>
    </w:p>
  </w:footnote>
  <w:footnote w:id="48">
    <w:p>
      <w:pPr>
        <w:pStyle w:val="Footnote Text"/>
      </w:pPr>
      <w:r>
        <w:rPr>
          <w:rStyle w:val="Footnote Reference"/>
        </w:rPr>
        <w:footnoteRef/>
      </w:r>
      <w:r>
        <w:rPr>
          <w:rFonts w:cs="Arial Unicode MS" w:eastAsia="Arial Unicode MS"/>
          <w:rtl w:val="0"/>
        </w:rPr>
        <w:t xml:space="preserve"> I agree with Soifer (2012, p. 586) in that most </w:t>
      </w:r>
      <w:r>
        <w:rPr>
          <w:rFonts w:cs="Arial Unicode MS" w:eastAsia="Arial Unicode MS" w:hint="default"/>
          <w:rtl w:val="0"/>
        </w:rPr>
        <w:t>“</w:t>
      </w:r>
      <w:r>
        <w:rPr>
          <w:rFonts w:cs="Arial Unicode MS" w:eastAsia="Arial Unicode MS"/>
          <w:rtl w:val="0"/>
        </w:rPr>
        <w:t>scholarship on state capacity [...] lack[s] a satisfying conceptualization and measurement scheme for this concept.</w:t>
      </w:r>
      <w:r>
        <w:rPr>
          <w:rFonts w:cs="Arial Unicode MS" w:eastAsia="Arial Unicode MS" w:hint="default"/>
          <w:rtl w:val="0"/>
        </w:rPr>
        <w:t xml:space="preserve">” </w:t>
      </w:r>
      <w:r>
        <w:rPr>
          <w:rFonts w:cs="Arial Unicode MS" w:eastAsia="Arial Unicode MS"/>
          <w:rtl w:val="0"/>
        </w:rPr>
        <w:t>See also Ferreira (2017, p. 1292).</w:t>
      </w:r>
    </w:p>
  </w:footnote>
  <w:footnote w:id="49">
    <w:p>
      <w:pPr>
        <w:pStyle w:val="Footnote Text"/>
      </w:pPr>
      <w:r>
        <w:rPr>
          <w:rStyle w:val="Footnote Reference"/>
        </w:rPr>
        <w:footnoteRef/>
      </w:r>
      <w:r>
        <w:rPr>
          <w:rFonts w:cs="Arial Unicode MS" w:eastAsia="Arial Unicode MS"/>
          <w:rtl w:val="0"/>
        </w:rPr>
        <w:t xml:space="preserve"> See for one example Besley &amp; Persson (2009, p. 1237).</w:t>
      </w:r>
    </w:p>
  </w:footnote>
  <w:footnote w:id="50">
    <w:p>
      <w:pPr>
        <w:pStyle w:val="Footnote Text"/>
      </w:pPr>
      <w:r>
        <w:rPr>
          <w:rStyle w:val="Footnote Reference"/>
        </w:rPr>
        <w:footnoteRef/>
      </w:r>
      <w:r>
        <w:rPr>
          <w:rFonts w:cs="Arial Unicode MS" w:eastAsia="Arial Unicode MS"/>
          <w:rtl w:val="0"/>
        </w:rPr>
        <w:t xml:space="preserve"> Kurtz &amp; Schrank (2007, p. 542). Emphasis in original.</w:t>
      </w:r>
    </w:p>
  </w:footnote>
  <w:footnote w:id="51">
    <w:p>
      <w:pPr>
        <w:pStyle w:val="Footnote Text"/>
      </w:pPr>
      <w:r>
        <w:rPr>
          <w:rStyle w:val="Footnote Reference"/>
        </w:rPr>
        <w:footnoteRef/>
      </w:r>
      <w:r>
        <w:rPr>
          <w:rFonts w:cs="Arial Unicode MS" w:eastAsia="Arial Unicode MS"/>
          <w:rtl w:val="0"/>
        </w:rPr>
        <w:t xml:space="preserve"> See also Kurtz &amp; Schrank (2012, p. 618).</w:t>
      </w:r>
    </w:p>
  </w:footnote>
  <w:footnote w:id="52">
    <w:p>
      <w:pPr>
        <w:pStyle w:val="Footnote Text"/>
      </w:pPr>
      <w:r>
        <w:rPr>
          <w:rStyle w:val="Footnote Reference"/>
        </w:rPr>
        <w:footnoteRef/>
      </w:r>
      <w:r>
        <w:rPr>
          <w:rFonts w:cs="Arial Unicode MS" w:eastAsia="Arial Unicode MS"/>
          <w:rtl w:val="0"/>
        </w:rPr>
        <w:t xml:space="preserve"> Fukuyama (2013, p. 349).</w:t>
      </w:r>
    </w:p>
  </w:footnote>
  <w:footnote w:id="53">
    <w:p>
      <w:pPr>
        <w:pStyle w:val="Footnote Text"/>
      </w:pPr>
      <w:r>
        <w:rPr>
          <w:rStyle w:val="Footnote Reference"/>
        </w:rPr>
        <w:footnoteRef/>
      </w:r>
      <w:r>
        <w:rPr>
          <w:rFonts w:cs="Arial Unicode MS" w:eastAsia="Arial Unicode MS"/>
          <w:rtl w:val="0"/>
        </w:rPr>
        <w:t xml:space="preserve"> Kurtz &amp; Schrank (2007, p. 543).</w:t>
      </w:r>
    </w:p>
  </w:footnote>
  <w:footnote w:id="54">
    <w:p>
      <w:pPr>
        <w:pStyle w:val="Footnote Text"/>
      </w:pPr>
      <w:r>
        <w:rPr>
          <w:rStyle w:val="Footnote Reference"/>
        </w:rPr>
        <w:footnoteRef/>
      </w:r>
      <w:r>
        <w:rPr>
          <w:rFonts w:cs="Arial Unicode MS" w:eastAsia="Arial Unicode MS"/>
          <w:rtl w:val="0"/>
        </w:rPr>
        <w:t xml:space="preserve"> Fukuyama (2013, p. 348).</w:t>
      </w:r>
    </w:p>
  </w:footnote>
  <w:footnote w:id="55">
    <w:p>
      <w:pPr>
        <w:pStyle w:val="Footnote Text"/>
      </w:pPr>
      <w:r>
        <w:rPr>
          <w:rStyle w:val="Footnote Reference"/>
        </w:rPr>
        <w:footnoteRef/>
      </w:r>
      <w:r>
        <w:rPr>
          <w:rFonts w:cs="Arial Unicode MS" w:eastAsia="Arial Unicode MS"/>
          <w:rtl w:val="0"/>
        </w:rPr>
        <w:t xml:space="preserve"> Yet, Johnson &amp; Koyama (2017, p. 3) explain that </w:t>
      </w:r>
      <w:r>
        <w:rPr>
          <w:rFonts w:cs="Arial Unicode MS" w:eastAsia="Arial Unicode MS" w:hint="default"/>
          <w:rtl w:val="0"/>
        </w:rPr>
        <w:t>‘</w:t>
      </w:r>
      <w:r>
        <w:rPr>
          <w:rFonts w:cs="Arial Unicode MS" w:eastAsia="Arial Unicode MS"/>
          <w:rtl w:val="0"/>
        </w:rPr>
        <w:t>[t]ax revenue per capita is a commonly used metric of fiscal capacity,</w:t>
      </w:r>
      <w:r>
        <w:rPr>
          <w:rFonts w:cs="Arial Unicode MS" w:eastAsia="Arial Unicode MS" w:hint="default"/>
          <w:rtl w:val="0"/>
        </w:rPr>
        <w:t xml:space="preserve">’ </w:t>
      </w:r>
      <w:r>
        <w:rPr>
          <w:rFonts w:cs="Arial Unicode MS" w:eastAsia="Arial Unicode MS"/>
          <w:rtl w:val="0"/>
        </w:rPr>
        <w:t>which in turn might work as a proxy of state capacities. For example, Besley &amp; Persson (2014) adopt this strategy.</w:t>
      </w:r>
    </w:p>
  </w:footnote>
  <w:footnote w:id="56">
    <w:p>
      <w:pPr>
        <w:pStyle w:val="Footnote Text"/>
      </w:pPr>
      <w:r>
        <w:rPr>
          <w:rStyle w:val="Footnote Reference"/>
        </w:rPr>
        <w:footnoteRef/>
      </w:r>
      <w:r>
        <w:rPr>
          <w:rFonts w:cs="Arial Unicode MS" w:eastAsia="Arial Unicode MS"/>
          <w:rtl w:val="0"/>
        </w:rPr>
        <w:t xml:space="preserve"> Kiser &amp; Tong (1992, p. 301).</w:t>
      </w:r>
    </w:p>
  </w:footnote>
  <w:footnote w:id="57">
    <w:p>
      <w:pPr>
        <w:pStyle w:val="Footnote Text"/>
      </w:pPr>
      <w:r>
        <w:rPr>
          <w:rStyle w:val="Footnote Reference"/>
        </w:rPr>
        <w:footnoteRef/>
      </w:r>
      <w:r>
        <w:rPr>
          <w:rFonts w:cs="Arial Unicode MS" w:eastAsia="Arial Unicode MS"/>
          <w:rtl w:val="0"/>
        </w:rPr>
        <w:t xml:space="preserve"> See for example Mann (1984, 2008; Acemoglu, 2005; Besley &amp; Persson, 2010; Saylor, 2012; Thies, 2009).</w:t>
      </w:r>
    </w:p>
  </w:footnote>
  <w:footnote w:id="58">
    <w:p>
      <w:pPr>
        <w:pStyle w:val="Footnote Text"/>
      </w:pPr>
      <w:r>
        <w:rPr>
          <w:rStyle w:val="Footnote Reference"/>
        </w:rPr>
        <w:footnoteRef/>
      </w:r>
      <w:r>
        <w:rPr>
          <w:rFonts w:cs="Arial Unicode MS" w:eastAsia="Arial Unicode MS"/>
          <w:rtl w:val="0"/>
        </w:rPr>
        <w:t xml:space="preserve"> Huntington &amp; Wibbels (2014).</w:t>
      </w:r>
    </w:p>
  </w:footnote>
  <w:footnote w:id="59">
    <w:p>
      <w:pPr>
        <w:pStyle w:val="Footnote Text"/>
      </w:pPr>
      <w:r>
        <w:rPr>
          <w:rStyle w:val="Footnote Reference"/>
        </w:rPr>
        <w:footnoteRef/>
      </w:r>
      <w:r>
        <w:rPr>
          <w:rFonts w:cs="Arial Unicode MS" w:eastAsia="Arial Unicode MS"/>
          <w:rtl w:val="0"/>
        </w:rPr>
        <w:t xml:space="preserve"> Saylor (2012, p. 302) and Coatsworth (1974).</w:t>
      </w:r>
    </w:p>
  </w:footnote>
  <w:footnote w:id="60">
    <w:p>
      <w:pPr>
        <w:pStyle w:val="Footnote Text"/>
      </w:pPr>
      <w:r>
        <w:rPr>
          <w:rStyle w:val="Footnote Reference"/>
        </w:rPr>
        <w:footnoteRef/>
      </w:r>
      <w:r>
        <w:rPr>
          <w:rFonts w:cs="Arial Unicode MS" w:eastAsia="Arial Unicode MS"/>
          <w:rtl w:val="0"/>
        </w:rPr>
        <w:t xml:space="preserve"> Footnote #11.</w:t>
      </w:r>
    </w:p>
  </w:footnote>
  <w:footnote w:id="61">
    <w:p>
      <w:pPr>
        <w:pStyle w:val="Footnote Text"/>
      </w:pPr>
      <w:r>
        <w:rPr>
          <w:rStyle w:val="Footnote Reference"/>
        </w:rPr>
        <w:footnoteRef/>
      </w:r>
      <w:r>
        <w:rPr>
          <w:rFonts w:cs="Arial Unicode MS" w:eastAsia="Arial Unicode MS"/>
          <w:rtl w:val="0"/>
        </w:rPr>
        <w:t xml:space="preserve"> See for example Acemoglu, Moscona, &amp; Robinson (2016).</w:t>
      </w:r>
    </w:p>
  </w:footnote>
  <w:footnote w:id="62">
    <w:p>
      <w:pPr>
        <w:pStyle w:val="Footnote Text"/>
      </w:pPr>
      <w:r>
        <w:rPr>
          <w:rStyle w:val="Footnote Reference"/>
        </w:rPr>
        <w:footnoteRef/>
      </w:r>
      <w:r>
        <w:rPr>
          <w:rFonts w:cs="Arial Unicode MS" w:eastAsia="Arial Unicode MS"/>
          <w:rtl w:val="0"/>
        </w:rPr>
        <w:t xml:space="preserve"> See for example Soifer (2013) and Centeno (2002). This technique is borrowed from demographers. It compares the age structure (incorrectly) captured in the census with an assumed </w:t>
      </w:r>
      <w:r>
        <w:rPr>
          <w:rFonts w:cs="Arial Unicode MS" w:eastAsia="Arial Unicode MS" w:hint="default"/>
          <w:rtl w:val="0"/>
        </w:rPr>
        <w:t>‘</w:t>
      </w:r>
      <w:r>
        <w:rPr>
          <w:rFonts w:cs="Arial Unicode MS" w:eastAsia="Arial Unicode MS"/>
          <w:rtl w:val="0"/>
        </w:rPr>
        <w:t>correct</w:t>
      </w:r>
      <w:r>
        <w:rPr>
          <w:rFonts w:cs="Arial Unicode MS" w:eastAsia="Arial Unicode MS" w:hint="default"/>
          <w:rtl w:val="0"/>
        </w:rPr>
        <w:t xml:space="preserve">’ </w:t>
      </w:r>
      <w:r>
        <w:rPr>
          <w:rFonts w:cs="Arial Unicode MS" w:eastAsia="Arial Unicode MS"/>
          <w:rtl w:val="0"/>
        </w:rPr>
        <w:t>theoretical age distribution. Low-capacity states should inaccurately round ages or inflate certain intervals, producing error. The error is usually computed using the Whipple</w:t>
      </w:r>
      <w:r>
        <w:rPr>
          <w:rFonts w:cs="Arial Unicode MS" w:eastAsia="Arial Unicode MS" w:hint="default"/>
          <w:rtl w:val="0"/>
        </w:rPr>
        <w:t>’</w:t>
      </w:r>
      <w:r>
        <w:rPr>
          <w:rFonts w:cs="Arial Unicode MS" w:eastAsia="Arial Unicode MS"/>
          <w:rtl w:val="0"/>
        </w:rPr>
        <w:t>s index which serves as a proxy for state capacities.</w:t>
      </w:r>
    </w:p>
  </w:footnote>
  <w:footnote w:id="63">
    <w:p>
      <w:pPr>
        <w:pStyle w:val="Footnote Text"/>
      </w:pPr>
      <w:r>
        <w:rPr>
          <w:rStyle w:val="Footnote Reference"/>
        </w:rPr>
        <w:footnoteRef/>
      </w:r>
      <w:r>
        <w:rPr>
          <w:rFonts w:cs="Arial Unicode MS" w:eastAsia="Arial Unicode MS"/>
          <w:rtl w:val="0"/>
        </w:rPr>
        <w:t xml:space="preserve"> Soifer (2012).</w:t>
      </w:r>
    </w:p>
  </w:footnote>
  <w:footnote w:id="64">
    <w:p>
      <w:pPr>
        <w:pStyle w:val="Footnote Text"/>
      </w:pPr>
      <w:r>
        <w:rPr>
          <w:rStyle w:val="Footnote Reference"/>
        </w:rPr>
        <w:footnoteRef/>
      </w:r>
      <w:r>
        <w:rPr>
          <w:rFonts w:cs="Arial Unicode MS" w:eastAsia="Arial Unicode MS"/>
          <w:rtl w:val="0"/>
        </w:rPr>
        <w:t xml:space="preserve"> Anbarci, Escaleras, &amp; Register (2005, p. 1908).</w:t>
      </w:r>
    </w:p>
  </w:footnote>
  <w:footnote w:id="65">
    <w:p>
      <w:pPr>
        <w:pStyle w:val="Footnote Text"/>
      </w:pPr>
      <w:r>
        <w:rPr>
          <w:rStyle w:val="Footnote Reference"/>
        </w:rPr>
        <w:footnoteRef/>
      </w:r>
      <w:r>
        <w:rPr>
          <w:rFonts w:cs="Arial Unicode MS" w:eastAsia="Arial Unicode MS"/>
          <w:rtl w:val="0"/>
        </w:rPr>
        <w:t xml:space="preserve"> Brancati (2007, p. 719) explains that </w:t>
      </w:r>
      <w:r>
        <w:rPr>
          <w:rFonts w:cs="Arial Unicode MS" w:eastAsia="Arial Unicode MS" w:hint="default"/>
          <w:rtl w:val="0"/>
        </w:rPr>
        <w:t>“</w:t>
      </w:r>
      <w:r>
        <w:rPr>
          <w:rFonts w:cs="Arial Unicode MS" w:eastAsia="Arial Unicode MS"/>
          <w:rtl w:val="0"/>
        </w:rPr>
        <w:t>[d]isasters are not as well studied [...] in the field of political science.</w:t>
      </w:r>
      <w:r>
        <w:rPr>
          <w:rFonts w:cs="Arial Unicode MS" w:eastAsia="Arial Unicode MS" w:hint="default"/>
          <w:rtl w:val="0"/>
        </w:rPr>
        <w:t>”</w:t>
      </w:r>
    </w:p>
  </w:footnote>
  <w:footnote w:id="66">
    <w:p>
      <w:pPr>
        <w:pStyle w:val="Footnote Text"/>
      </w:pPr>
      <w:r>
        <w:rPr>
          <w:rStyle w:val="Footnote Reference"/>
        </w:rPr>
        <w:footnoteRef/>
      </w:r>
      <w:r>
        <w:rPr>
          <w:rFonts w:cs="Arial Unicode MS" w:eastAsia="Arial Unicode MS"/>
          <w:rtl w:val="0"/>
        </w:rPr>
        <w:t xml:space="preserve"> He defines infrastructural power as </w:t>
      </w:r>
      <w:r>
        <w:rPr>
          <w:rFonts w:cs="Arial Unicode MS" w:eastAsia="Arial Unicode MS" w:hint="default"/>
          <w:rtl w:val="0"/>
        </w:rPr>
        <w:t>“</w:t>
      </w:r>
      <w:r>
        <w:rPr>
          <w:rFonts w:cs="Arial Unicode MS" w:eastAsia="Arial Unicode MS"/>
          <w:rtl w:val="0"/>
        </w:rPr>
        <w:t>the capacity of the state [to] actually [...] penetrate civil society, and to implement logistically political decisions throughout the realm.</w:t>
      </w:r>
      <w:r>
        <w:rPr>
          <w:rFonts w:cs="Arial Unicode MS" w:eastAsia="Arial Unicode MS" w:hint="default"/>
          <w:rtl w:val="0"/>
        </w:rPr>
        <w:t>”</w:t>
      </w:r>
    </w:p>
  </w:footnote>
  <w:footnote w:id="67">
    <w:p>
      <w:pPr>
        <w:pStyle w:val="Footnote Text"/>
      </w:pPr>
      <w:r>
        <w:rPr>
          <w:rStyle w:val="Footnote Reference"/>
        </w:rPr>
        <w:footnoteRef/>
      </w:r>
      <w:r>
        <w:rPr>
          <w:rFonts w:cs="Arial Unicode MS" w:eastAsia="Arial Unicode MS"/>
          <w:rtl w:val="0"/>
        </w:rPr>
        <w:t xml:space="preserve"> Raschky (2008, p. 627).</w:t>
      </w:r>
    </w:p>
  </w:footnote>
  <w:footnote w:id="68">
    <w:p>
      <w:pPr>
        <w:pStyle w:val="Footnote Text"/>
      </w:pPr>
      <w:r>
        <w:rPr>
          <w:rStyle w:val="Footnote Reference"/>
        </w:rPr>
        <w:footnoteRef/>
      </w:r>
      <w:r>
        <w:rPr>
          <w:rFonts w:cs="Arial Unicode MS" w:eastAsia="Arial Unicode MS"/>
          <w:rtl w:val="0"/>
        </w:rPr>
        <w:t xml:space="preserve"> Brancati (2007, p. 728) explains that </w:t>
      </w:r>
      <w:r>
        <w:rPr>
          <w:rFonts w:cs="Arial Unicode MS" w:eastAsia="Arial Unicode MS" w:hint="default"/>
          <w:rtl w:val="0"/>
        </w:rPr>
        <w:t>“</w:t>
      </w:r>
      <w:r>
        <w:rPr>
          <w:rFonts w:cs="Arial Unicode MS" w:eastAsia="Arial Unicode MS"/>
          <w:rtl w:val="0"/>
        </w:rPr>
        <w:t>earthquakes constitute a natural experiment.</w:t>
      </w:r>
      <w:r>
        <w:rPr>
          <w:rFonts w:cs="Arial Unicode MS" w:eastAsia="Arial Unicode MS" w:hint="default"/>
          <w:rtl w:val="0"/>
        </w:rPr>
        <w:t xml:space="preserve">” </w:t>
      </w:r>
      <w:r>
        <w:rPr>
          <w:rFonts w:cs="Arial Unicode MS" w:eastAsia="Arial Unicode MS"/>
          <w:rtl w:val="0"/>
        </w:rPr>
        <w:t>Gignoux &amp; Men</w:t>
      </w:r>
      <w:r>
        <w:rPr>
          <w:rFonts w:cs="Arial Unicode MS" w:eastAsia="Arial Unicode MS" w:hint="default"/>
          <w:rtl w:val="0"/>
        </w:rPr>
        <w:t>é</w:t>
      </w:r>
      <w:r>
        <w:rPr>
          <w:rFonts w:cs="Arial Unicode MS" w:eastAsia="Arial Unicode MS"/>
          <w:rtl w:val="0"/>
        </w:rPr>
        <w:t xml:space="preserve">ndez (2016, p. 27) also point out </w:t>
      </w:r>
      <w:r>
        <w:rPr>
          <w:rFonts w:cs="Arial Unicode MS" w:eastAsia="Arial Unicode MS" w:hint="default"/>
          <w:rtl w:val="0"/>
        </w:rPr>
        <w:t>“</w:t>
      </w:r>
      <w:r>
        <w:rPr>
          <w:rFonts w:cs="Arial Unicode MS" w:eastAsia="Arial Unicode MS"/>
          <w:rtl w:val="0"/>
        </w:rPr>
        <w:t>that the occurrence of earthquakes can be viewed as random [allowing the analyses of] these events as a set of repeated social experiments.</w:t>
      </w:r>
      <w:r>
        <w:rPr>
          <w:rFonts w:cs="Arial Unicode MS" w:eastAsia="Arial Unicode MS" w:hint="default"/>
          <w:rtl w:val="0"/>
        </w:rPr>
        <w:t xml:space="preserve">” </w:t>
      </w:r>
      <w:r>
        <w:rPr>
          <w:rFonts w:cs="Arial Unicode MS" w:eastAsia="Arial Unicode MS"/>
          <w:rtl w:val="0"/>
        </w:rPr>
        <w:t xml:space="preserve">Caruso (2017, p. 32, unpublished)for instance </w:t>
      </w:r>
      <w:r>
        <w:rPr>
          <w:rFonts w:cs="Arial Unicode MS" w:eastAsia="Arial Unicode MS" w:hint="default"/>
          <w:rtl w:val="0"/>
        </w:rPr>
        <w:t>“</w:t>
      </w:r>
      <w:r>
        <w:rPr>
          <w:rFonts w:cs="Arial Unicode MS" w:eastAsia="Arial Unicode MS"/>
          <w:rtl w:val="0"/>
        </w:rPr>
        <w:t>[exploits] the exogenous variation in the location and timing of natural disasters.</w:t>
      </w:r>
      <w:r>
        <w:rPr>
          <w:rFonts w:cs="Arial Unicode MS" w:eastAsia="Arial Unicode MS" w:hint="default"/>
          <w:rtl w:val="0"/>
        </w:rPr>
        <w:t>”</w:t>
      </w:r>
    </w:p>
  </w:footnote>
  <w:footnote w:id="69">
    <w:p>
      <w:pPr>
        <w:pStyle w:val="Footnote Text"/>
      </w:pPr>
      <w:r>
        <w:rPr>
          <w:rStyle w:val="Footnote Reference"/>
        </w:rPr>
        <w:footnoteRef/>
      </w:r>
      <w:r>
        <w:rPr>
          <w:rFonts w:cs="Arial Unicode MS" w:eastAsia="Arial Unicode MS"/>
          <w:rtl w:val="0"/>
        </w:rPr>
        <w:t xml:space="preserve"> Kahn (2005, p. 271) and Brancati (2007).</w:t>
      </w:r>
    </w:p>
  </w:footnote>
  <w:footnote w:id="70">
    <w:p>
      <w:pPr>
        <w:pStyle w:val="Footnote Text"/>
      </w:pPr>
      <w:r>
        <w:rPr>
          <w:rStyle w:val="Footnote Reference"/>
        </w:rPr>
        <w:footnoteRef/>
      </w:r>
      <w:r>
        <w:rPr>
          <w:rFonts w:cs="Arial Unicode MS" w:eastAsia="Arial Unicode MS"/>
          <w:rtl w:val="0"/>
        </w:rPr>
        <w:t xml:space="preserve"> To make sure, while </w:t>
      </w:r>
      <w:r>
        <w:rPr>
          <w:rFonts w:cs="Arial Unicode MS" w:eastAsia="Arial Unicode MS" w:hint="default"/>
          <w:rtl w:val="0"/>
        </w:rPr>
        <w:t>“</w:t>
      </w:r>
      <w:r>
        <w:rPr>
          <w:rFonts w:cs="Arial Unicode MS" w:eastAsia="Arial Unicode MS"/>
          <w:rtl w:val="0"/>
        </w:rPr>
        <w:t>earthquakes may not be preventable, it is possible to prevent the disasters they cause</w:t>
      </w:r>
      <w:r>
        <w:rPr>
          <w:rFonts w:cs="Arial Unicode MS" w:eastAsia="Arial Unicode MS" w:hint="default"/>
          <w:rtl w:val="0"/>
        </w:rPr>
        <w:t xml:space="preserve">” </w:t>
      </w:r>
      <w:r>
        <w:rPr>
          <w:rFonts w:cs="Arial Unicode MS" w:eastAsia="Arial Unicode MS"/>
          <w:rtl w:val="0"/>
        </w:rPr>
        <w:t xml:space="preserve">(Escaleras, Anbarci, &amp; Register (2007, p. 209)). Similarly, Anbarci et al. (2005, p. 1911) explain that </w:t>
      </w:r>
      <w:r>
        <w:rPr>
          <w:rFonts w:cs="Arial Unicode MS" w:eastAsia="Arial Unicode MS" w:hint="default"/>
          <w:rtl w:val="0"/>
        </w:rPr>
        <w:t>“</w:t>
      </w:r>
      <w:r>
        <w:rPr>
          <w:rFonts w:cs="Arial Unicode MS" w:eastAsia="Arial Unicode MS"/>
          <w:rtl w:val="0"/>
        </w:rPr>
        <w:t>the potentially devastating effects of major earthquakes are, if not preventable, at least subject to significant mitigation.</w:t>
      </w:r>
      <w:r>
        <w:rPr>
          <w:rFonts w:cs="Arial Unicode MS" w:eastAsia="Arial Unicode MS" w:hint="default"/>
          <w:rtl w:val="0"/>
        </w:rPr>
        <w:t xml:space="preserve">” </w:t>
      </w:r>
      <w:r>
        <w:rPr>
          <w:rFonts w:cs="Arial Unicode MS" w:eastAsia="Arial Unicode MS"/>
          <w:rtl w:val="0"/>
        </w:rPr>
        <w:t>For a similar approach, see Noji (1996, p. 130).</w:t>
      </w:r>
    </w:p>
  </w:footnote>
  <w:footnote w:id="71">
    <w:p>
      <w:pPr>
        <w:pStyle w:val="Footnote Text"/>
      </w:pPr>
      <w:r>
        <w:rPr>
          <w:rStyle w:val="Footnote Reference"/>
        </w:rPr>
        <w:footnoteRef/>
      </w:r>
      <w:r>
        <w:rPr>
          <w:rFonts w:cs="Arial Unicode MS" w:eastAsia="Arial Unicode MS"/>
          <w:rtl w:val="0"/>
        </w:rPr>
        <w:t xml:space="preserve"> Kahn (2005, p. 280).</w:t>
      </w:r>
    </w:p>
  </w:footnote>
  <w:footnote w:id="72">
    <w:p>
      <w:pPr>
        <w:pStyle w:val="Footnote Text"/>
      </w:pPr>
      <w:r>
        <w:rPr>
          <w:rStyle w:val="Footnote Reference"/>
        </w:rPr>
        <w:footnoteRef/>
      </w:r>
      <w:r>
        <w:rPr>
          <w:rFonts w:cs="Arial Unicode MS" w:eastAsia="Arial Unicode MS"/>
          <w:rtl w:val="0"/>
        </w:rPr>
        <w:t xml:space="preserve"> In fact, Brancati (2007, p. 716) explains that </w:t>
      </w:r>
      <w:r>
        <w:rPr>
          <w:rFonts w:cs="Arial Unicode MS" w:eastAsia="Arial Unicode MS" w:hint="default"/>
          <w:rtl w:val="0"/>
        </w:rPr>
        <w:t>“</w:t>
      </w:r>
      <w:r>
        <w:rPr>
          <w:rFonts w:cs="Arial Unicode MS" w:eastAsia="Arial Unicode MS"/>
          <w:rtl w:val="0"/>
        </w:rPr>
        <w:t xml:space="preserve">[e]arthquakes may provoke conflict more than any other type of natural disaster </w:t>
      </w:r>
      <w:r>
        <w:rPr>
          <w:rFonts w:cs="Arial Unicode MS" w:eastAsia="Arial Unicode MS"/>
          <w:i w:val="1"/>
          <w:iCs w:val="1"/>
          <w:rtl w:val="0"/>
          <w:lang w:val="en-US"/>
        </w:rPr>
        <w:t>because</w:t>
      </w:r>
      <w:r>
        <w:rPr>
          <w:rFonts w:cs="Arial Unicode MS" w:eastAsia="Arial Unicode MS"/>
          <w:rtl w:val="0"/>
        </w:rPr>
        <w:t xml:space="preserve"> they have rapid onsets [and] are not predictable.</w:t>
      </w:r>
      <w:r>
        <w:rPr>
          <w:rFonts w:cs="Arial Unicode MS" w:eastAsia="Arial Unicode MS" w:hint="default"/>
          <w:rtl w:val="0"/>
        </w:rPr>
        <w:t xml:space="preserve">” </w:t>
      </w:r>
      <w:r>
        <w:rPr>
          <w:rFonts w:cs="Arial Unicode MS" w:eastAsia="Arial Unicode MS"/>
          <w:rtl w:val="0"/>
        </w:rPr>
        <w:t>Emphasis is mine.</w:t>
      </w:r>
    </w:p>
  </w:footnote>
  <w:footnote w:id="73">
    <w:p>
      <w:pPr>
        <w:pStyle w:val="Footnote Text"/>
      </w:pPr>
      <w:r>
        <w:rPr>
          <w:rStyle w:val="Footnote Reference"/>
        </w:rPr>
        <w:footnoteRef/>
      </w:r>
      <w:r>
        <w:rPr>
          <w:rFonts w:cs="Arial Unicode MS" w:eastAsia="Arial Unicode MS"/>
          <w:rtl w:val="0"/>
        </w:rPr>
        <w:t xml:space="preserve"> Ambraseys &amp; Bilham (2011, p. 153). Similarly, Raschky (2008, p. 628) argue that </w:t>
      </w:r>
      <w:r>
        <w:rPr>
          <w:rFonts w:cs="Arial Unicode MS" w:eastAsia="Arial Unicode MS" w:hint="default"/>
          <w:rtl w:val="0"/>
        </w:rPr>
        <w:t>“</w:t>
      </w:r>
      <w:r>
        <w:rPr>
          <w:rFonts w:cs="Arial Unicode MS" w:eastAsia="Arial Unicode MS"/>
          <w:rtl w:val="0"/>
        </w:rPr>
        <w:t>the effects of natural hazards [do] not solely depend on a region</w:t>
      </w:r>
      <w:r>
        <w:rPr>
          <w:rFonts w:cs="Arial Unicode MS" w:eastAsia="Arial Unicode MS" w:hint="default"/>
          <w:rtl w:val="0"/>
        </w:rPr>
        <w:t>’</w:t>
      </w:r>
      <w:r>
        <w:rPr>
          <w:rFonts w:cs="Arial Unicode MS" w:eastAsia="Arial Unicode MS"/>
          <w:rtl w:val="0"/>
        </w:rPr>
        <w:t>s topographic or climatic exposure to natural processes [...] but [on] the region</w:t>
      </w:r>
      <w:r>
        <w:rPr>
          <w:rFonts w:cs="Arial Unicode MS" w:eastAsia="Arial Unicode MS" w:hint="default"/>
          <w:rtl w:val="0"/>
        </w:rPr>
        <w:t>’</w:t>
      </w:r>
      <w:r>
        <w:rPr>
          <w:rFonts w:cs="Arial Unicode MS" w:eastAsia="Arial Unicode MS"/>
          <w:rtl w:val="0"/>
        </w:rPr>
        <w:t xml:space="preserve">s </w:t>
      </w:r>
      <w:r>
        <w:rPr>
          <w:rFonts w:cs="Arial Unicode MS" w:eastAsia="Arial Unicode MS"/>
          <w:i w:val="1"/>
          <w:iCs w:val="1"/>
          <w:rtl w:val="0"/>
          <w:lang w:val="en-US"/>
        </w:rPr>
        <w:t>institutional</w:t>
      </w:r>
      <w:r>
        <w:rPr>
          <w:rFonts w:cs="Arial Unicode MS" w:eastAsia="Arial Unicode MS"/>
          <w:rtl w:val="0"/>
        </w:rPr>
        <w:t xml:space="preserve"> vulnerability.</w:t>
      </w:r>
      <w:r>
        <w:rPr>
          <w:rFonts w:cs="Arial Unicode MS" w:eastAsia="Arial Unicode MS" w:hint="default"/>
          <w:rtl w:val="0"/>
        </w:rPr>
        <w:t xml:space="preserve">” </w:t>
      </w:r>
      <w:r>
        <w:rPr>
          <w:rFonts w:cs="Arial Unicode MS" w:eastAsia="Arial Unicode MS"/>
          <w:rtl w:val="0"/>
        </w:rPr>
        <w:t>Emphasis is mine.</w:t>
      </w:r>
    </w:p>
  </w:footnote>
  <w:footnote w:id="74">
    <w:p>
      <w:pPr>
        <w:pStyle w:val="Footnote Text"/>
      </w:pPr>
      <w:r>
        <w:rPr>
          <w:rStyle w:val="Footnote Reference"/>
        </w:rPr>
        <w:footnoteRef/>
      </w:r>
      <w:r>
        <w:rPr>
          <w:rFonts w:cs="Arial Unicode MS" w:eastAsia="Arial Unicode MS"/>
          <w:rtl w:val="0"/>
        </w:rPr>
        <w:t xml:space="preserve"> Emphases are mine.</w:t>
      </w:r>
    </w:p>
  </w:footnote>
  <w:footnote w:id="75">
    <w:p>
      <w:pPr>
        <w:pStyle w:val="Footnote Text"/>
      </w:pPr>
      <w:r>
        <w:rPr>
          <w:rStyle w:val="Footnote Reference"/>
        </w:rPr>
        <w:footnoteRef/>
      </w:r>
      <w:r>
        <w:rPr>
          <w:rFonts w:cs="Arial Unicode MS" w:eastAsia="Arial Unicode MS"/>
          <w:rtl w:val="0"/>
        </w:rPr>
        <w:t xml:space="preserve"> Similarly, Bardhan (2016, p. 865) explains that </w:t>
      </w:r>
      <w:r>
        <w:rPr>
          <w:rFonts w:cs="Arial Unicode MS" w:eastAsia="Arial Unicode MS" w:hint="default"/>
          <w:rtl w:val="0"/>
        </w:rPr>
        <w:t>“</w:t>
      </w:r>
      <w:r>
        <w:rPr>
          <w:rFonts w:cs="Arial Unicode MS" w:eastAsia="Arial Unicode MS"/>
          <w:rtl w:val="0"/>
        </w:rPr>
        <w:t>unlike in the case of some macroeconomic policies, [...] the effectiveness of the state varies enormously across localities and administrative levels within the same country.</w:t>
      </w:r>
      <w:r>
        <w:rPr>
          <w:rFonts w:cs="Arial Unicode MS" w:eastAsia="Arial Unicode MS" w:hint="default"/>
          <w:rtl w:val="0"/>
        </w:rPr>
        <w:t>”</w:t>
      </w:r>
    </w:p>
  </w:footnote>
  <w:footnote w:id="76">
    <w:p>
      <w:pPr>
        <w:pStyle w:val="Footnote Text"/>
      </w:pPr>
      <w:r>
        <w:rPr>
          <w:rStyle w:val="Footnote Reference"/>
        </w:rPr>
        <w:footnoteRef/>
      </w:r>
      <w:r>
        <w:rPr>
          <w:rFonts w:cs="Arial Unicode MS" w:eastAsia="Arial Unicode MS"/>
          <w:rtl w:val="0"/>
        </w:rPr>
        <w:t xml:space="preserve"> See especially article 151.</w:t>
      </w:r>
    </w:p>
  </w:footnote>
  <w:footnote w:id="77">
    <w:p>
      <w:pPr>
        <w:pStyle w:val="Footnote Text"/>
      </w:pPr>
      <w:r>
        <w:rPr>
          <w:rStyle w:val="Footnote Reference"/>
        </w:rPr>
        <w:footnoteRef/>
      </w:r>
      <w:r>
        <w:rPr>
          <w:rFonts w:cs="Arial Unicode MS" w:eastAsia="Arial Unicode MS"/>
          <w:rtl w:val="0"/>
        </w:rPr>
        <w:t xml:space="preserve"> Carlin, Love, &amp; Zechmeister (2014, p. 419) study how earthquakes damage interpersonal trust. They argue that </w:t>
      </w:r>
      <w:r>
        <w:rPr>
          <w:rFonts w:cs="Arial Unicode MS" w:eastAsia="Arial Unicode MS" w:hint="default"/>
          <w:rtl w:val="0"/>
        </w:rPr>
        <w:t>“</w:t>
      </w:r>
      <w:r>
        <w:rPr>
          <w:rFonts w:cs="Arial Unicode MS" w:eastAsia="Arial Unicode MS"/>
          <w:rtl w:val="0"/>
        </w:rPr>
        <w:t>state capacity plays a decisive role in determining natural disasters</w:t>
      </w:r>
      <w:r>
        <w:rPr>
          <w:rFonts w:cs="Arial Unicode MS" w:eastAsia="Arial Unicode MS" w:hint="default"/>
          <w:rtl w:val="0"/>
        </w:rPr>
        <w:t xml:space="preserve">’ </w:t>
      </w:r>
      <w:r>
        <w:rPr>
          <w:rFonts w:cs="Arial Unicode MS" w:eastAsia="Arial Unicode MS"/>
          <w:rtl w:val="0"/>
        </w:rPr>
        <w:t>consequences for social capital.</w:t>
      </w:r>
      <w:r>
        <w:rPr>
          <w:rFonts w:cs="Arial Unicode MS" w:eastAsia="Arial Unicode MS" w:hint="default"/>
          <w:rtl w:val="0"/>
        </w:rPr>
        <w:t>”</w:t>
      </w:r>
    </w:p>
  </w:footnote>
  <w:footnote w:id="78">
    <w:p>
      <w:pPr>
        <w:pStyle w:val="Footnote Text"/>
      </w:pPr>
      <w:r>
        <w:rPr>
          <w:rStyle w:val="Footnote Reference"/>
        </w:rPr>
        <w:footnoteRef/>
      </w:r>
      <w:r>
        <w:rPr>
          <w:rFonts w:cs="Arial Unicode MS" w:eastAsia="Arial Unicode MS"/>
          <w:rtl w:val="0"/>
        </w:rPr>
        <w:t xml:space="preserve"> Reed (2011). See also Laursen (2010).</w:t>
      </w:r>
    </w:p>
  </w:footnote>
  <w:footnote w:id="79">
    <w:p>
      <w:pPr>
        <w:pStyle w:val="Footnote Text"/>
      </w:pPr>
      <w:r>
        <w:rPr>
          <w:rStyle w:val="Footnote Reference"/>
        </w:rPr>
        <w:footnoteRef/>
      </w:r>
      <w:r>
        <w:rPr>
          <w:rFonts w:cs="Arial Unicode MS" w:eastAsia="Arial Unicode MS"/>
          <w:rtl w:val="0"/>
        </w:rPr>
        <w:t xml:space="preserve"> That is, </w:t>
      </w:r>
      <w:r>
        <w:rPr>
          <w:rFonts w:cs="Arial Unicode MS" w:eastAsia="Arial Unicode MS" w:hint="default"/>
          <w:rtl w:val="0"/>
        </w:rPr>
        <w:t>“</w:t>
      </w:r>
      <w:r>
        <w:rPr>
          <w:rFonts w:cs="Arial Unicode MS" w:eastAsia="Arial Unicode MS"/>
          <w:rtl w:val="0"/>
        </w:rPr>
        <w:t>it does not rely on an effort to measure the beliefs of citizens about the nature of the state, the legitimacy of its leaders or the institutional procedures that selected them, or even perceptions of the efficiency of public bureaucracies</w:t>
      </w:r>
      <w:r>
        <w:rPr>
          <w:rFonts w:cs="Arial Unicode MS" w:eastAsia="Arial Unicode MS" w:hint="default"/>
          <w:rtl w:val="0"/>
        </w:rPr>
        <w:t xml:space="preserve">” </w:t>
      </w:r>
      <w:r>
        <w:rPr>
          <w:rFonts w:cs="Arial Unicode MS" w:eastAsia="Arial Unicode MS"/>
          <w:rtl w:val="0"/>
        </w:rPr>
        <w:t>(Kurtz &amp; Schrank (2012, p. 616)).</w:t>
      </w:r>
    </w:p>
  </w:footnote>
  <w:footnote w:id="80">
    <w:p>
      <w:pPr>
        <w:pStyle w:val="Footnote Text"/>
      </w:pPr>
      <w:r>
        <w:rPr>
          <w:rStyle w:val="Footnote Reference"/>
        </w:rPr>
        <w:footnoteRef/>
      </w:r>
      <w:r>
        <w:rPr>
          <w:rFonts w:cs="Arial Unicode MS" w:eastAsia="Arial Unicode MS"/>
          <w:rtl w:val="0"/>
        </w:rPr>
        <w:t xml:space="preserve"> Kurtz (2013, p. 58) for example explains that </w:t>
      </w:r>
      <w:r>
        <w:rPr>
          <w:rFonts w:cs="Arial Unicode MS" w:eastAsia="Arial Unicode MS" w:hint="default"/>
          <w:rtl w:val="0"/>
        </w:rPr>
        <w:t>“</w:t>
      </w:r>
      <w:r>
        <w:rPr>
          <w:rFonts w:cs="Arial Unicode MS" w:eastAsia="Arial Unicode MS"/>
          <w:rtl w:val="0"/>
        </w:rPr>
        <w:t>the best measures [of state capacities] would be of the sorts of activities that all (or nearly all) states consider to be of primary importance.</w:t>
      </w:r>
      <w:r>
        <w:rPr>
          <w:rFonts w:cs="Arial Unicode MS" w:eastAsia="Arial Unicode MS" w:hint="default"/>
          <w:rtl w:val="0"/>
        </w:rPr>
        <w:t xml:space="preserve">” </w:t>
      </w:r>
      <w:r>
        <w:rPr>
          <w:rFonts w:cs="Arial Unicode MS" w:eastAsia="Arial Unicode MS"/>
          <w:rtl w:val="0"/>
        </w:rPr>
        <w:t xml:space="preserve">Similarly, Carlin et al. (2014, p. 422) explain that </w:t>
      </w:r>
      <w:r>
        <w:rPr>
          <w:rFonts w:cs="Arial Unicode MS" w:eastAsia="Arial Unicode MS" w:hint="default"/>
          <w:rtl w:val="0"/>
        </w:rPr>
        <w:t>“</w:t>
      </w:r>
      <w:r>
        <w:rPr>
          <w:rFonts w:cs="Arial Unicode MS" w:eastAsia="Arial Unicode MS"/>
          <w:rtl w:val="0"/>
        </w:rPr>
        <w:t xml:space="preserve">a basket of </w:t>
      </w:r>
      <w:r>
        <w:rPr>
          <w:rFonts w:cs="Arial Unicode MS" w:eastAsia="Arial Unicode MS" w:hint="default"/>
          <w:rtl w:val="0"/>
        </w:rPr>
        <w:t>‘</w:t>
      </w:r>
      <w:r>
        <w:rPr>
          <w:rFonts w:cs="Arial Unicode MS" w:eastAsia="Arial Unicode MS"/>
          <w:rtl w:val="0"/>
        </w:rPr>
        <w:t>minimal</w:t>
      </w:r>
      <w:r>
        <w:rPr>
          <w:rFonts w:cs="Arial Unicode MS" w:eastAsia="Arial Unicode MS" w:hint="default"/>
          <w:rtl w:val="0"/>
        </w:rPr>
        <w:t xml:space="preserve">’ </w:t>
      </w:r>
      <w:r>
        <w:rPr>
          <w:rFonts w:cs="Arial Unicode MS" w:eastAsia="Arial Unicode MS"/>
          <w:rtl w:val="0"/>
        </w:rPr>
        <w:t>state functions [typically includes] primary education, public health, rule of law, public finance management, and disaster relief.</w:t>
      </w:r>
      <w:r>
        <w:rPr>
          <w:rFonts w:cs="Arial Unicode MS" w:eastAsia="Arial Unicode MS" w:hint="default"/>
          <w:rtl w:val="0"/>
        </w:rPr>
        <w:t>”</w:t>
      </w:r>
    </w:p>
  </w:footnote>
  <w:footnote w:id="81">
    <w:p>
      <w:pPr>
        <w:pStyle w:val="Footnote Text"/>
      </w:pPr>
      <w:r>
        <w:rPr>
          <w:rStyle w:val="Footnote Reference"/>
        </w:rPr>
        <w:footnoteRef/>
      </w:r>
      <w:r>
        <w:rPr>
          <w:rFonts w:cs="Arial Unicode MS" w:eastAsia="Arial Unicode MS"/>
          <w:rtl w:val="0"/>
        </w:rPr>
        <w:t xml:space="preserve"> This layer </w:t>
      </w:r>
      <w:r>
        <w:rPr>
          <w:rFonts w:cs="Arial Unicode MS" w:eastAsia="Arial Unicode MS" w:hint="default"/>
          <w:rtl w:val="0"/>
        </w:rPr>
        <w:t>‘</w:t>
      </w:r>
      <w:r>
        <w:rPr>
          <w:rFonts w:cs="Arial Unicode MS" w:eastAsia="Arial Unicode MS"/>
          <w:rtl w:val="0"/>
        </w:rPr>
        <w:t>sees state infrastructural power as a characteristic of the central state</w:t>
      </w:r>
      <w:r>
        <w:rPr>
          <w:rFonts w:cs="Arial Unicode MS" w:eastAsia="Arial Unicode MS" w:hint="default"/>
          <w:rtl w:val="0"/>
        </w:rPr>
        <w:t>’</w:t>
      </w:r>
      <w:r>
        <w:rPr>
          <w:rFonts w:cs="Arial Unicode MS" w:eastAsia="Arial Unicode MS"/>
          <w:rtl w:val="0"/>
        </w:rPr>
        <w:t>.</w:t>
      </w:r>
    </w:p>
  </w:footnote>
  <w:footnote w:id="82">
    <w:p>
      <w:pPr>
        <w:pStyle w:val="Footnote Text"/>
      </w:pPr>
      <w:r>
        <w:rPr>
          <w:rStyle w:val="Footnote Reference"/>
        </w:rPr>
        <w:footnoteRef/>
      </w:r>
      <w:r>
        <w:rPr>
          <w:rFonts w:cs="Arial Unicode MS" w:eastAsia="Arial Unicode MS"/>
          <w:rtl w:val="0"/>
        </w:rPr>
        <w:t xml:space="preserve"> This relates to </w:t>
      </w:r>
      <w:r>
        <w:rPr>
          <w:rFonts w:cs="Arial Unicode MS" w:eastAsia="Arial Unicode MS" w:hint="default"/>
          <w:rtl w:val="0"/>
        </w:rPr>
        <w:t>‘</w:t>
      </w:r>
      <w:r>
        <w:rPr>
          <w:rFonts w:cs="Arial Unicode MS" w:eastAsia="Arial Unicode MS"/>
          <w:rtl w:val="0"/>
        </w:rPr>
        <w:t>how the exercise of state power shapes the society it controls.</w:t>
      </w:r>
      <w:r>
        <w:rPr>
          <w:rFonts w:cs="Arial Unicode MS" w:eastAsia="Arial Unicode MS" w:hint="default"/>
          <w:rtl w:val="0"/>
        </w:rPr>
        <w:t>’</w:t>
      </w:r>
    </w:p>
  </w:footnote>
  <w:footnote w:id="83">
    <w:p>
      <w:pPr>
        <w:pStyle w:val="Footnote Text"/>
      </w:pPr>
      <w:r>
        <w:rPr>
          <w:rStyle w:val="Footnote Reference"/>
        </w:rPr>
        <w:footnoteRef/>
      </w:r>
      <w:r>
        <w:rPr>
          <w:rFonts w:cs="Arial Unicode MS" w:eastAsia="Arial Unicode MS"/>
          <w:rtl w:val="0"/>
        </w:rPr>
        <w:t xml:space="preserve"> Keefer, Neumayer, &amp; Pl</w:t>
      </w:r>
      <w:r>
        <w:rPr>
          <w:rFonts w:cs="Arial Unicode MS" w:eastAsia="Arial Unicode MS" w:hint="default"/>
          <w:rtl w:val="0"/>
        </w:rPr>
        <w:t>ü</w:t>
      </w:r>
      <w:r>
        <w:rPr>
          <w:rFonts w:cs="Arial Unicode MS" w:eastAsia="Arial Unicode MS"/>
          <w:rtl w:val="0"/>
        </w:rPr>
        <w:t xml:space="preserve">mper (2011, p. 1534). From a population size perspective, this measurement is also convenient. A </w:t>
      </w:r>
      <w:r>
        <w:rPr>
          <w:rFonts w:cs="Arial Unicode MS" w:eastAsia="Arial Unicode MS" w:hint="default"/>
          <w:rtl w:val="0"/>
        </w:rPr>
        <w:t>“</w:t>
      </w:r>
      <w:r>
        <w:rPr>
          <w:rFonts w:cs="Arial Unicode MS" w:eastAsia="Arial Unicode MS"/>
          <w:rtl w:val="0"/>
        </w:rPr>
        <w:t>quarter of the world</w:t>
      </w:r>
      <w:r>
        <w:rPr>
          <w:rFonts w:cs="Arial Unicode MS" w:eastAsia="Arial Unicode MS" w:hint="default"/>
          <w:rtl w:val="0"/>
        </w:rPr>
        <w:t>’</w:t>
      </w:r>
      <w:r>
        <w:rPr>
          <w:rFonts w:cs="Arial Unicode MS" w:eastAsia="Arial Unicode MS"/>
          <w:rtl w:val="0"/>
        </w:rPr>
        <w:t>s population inhabits [...] the northern edge of the Arabian and Indian Plates that are colliding with the southern margin of the Eurasian Plate</w:t>
      </w:r>
      <w:r>
        <w:rPr>
          <w:rFonts w:cs="Arial Unicode MS" w:eastAsia="Arial Unicode MS" w:hint="default"/>
          <w:rtl w:val="0"/>
        </w:rPr>
        <w:t xml:space="preserve">” </w:t>
      </w:r>
      <w:r>
        <w:rPr>
          <w:rFonts w:cs="Arial Unicode MS" w:eastAsia="Arial Unicode MS"/>
          <w:rtl w:val="0"/>
        </w:rPr>
        <w:t xml:space="preserve">(Bilham &amp; Gaur (2013, p. 618)). Other measurements are also context-specific. For example, Soifer (2012, p. 593) proposes a measurement of administrative capacities focusing on how states are able to enforce voter registration </w:t>
      </w:r>
      <w:r>
        <w:rPr>
          <w:rFonts w:cs="Arial Unicode MS" w:eastAsia="Arial Unicode MS" w:hint="default"/>
          <w:rtl w:val="0"/>
        </w:rPr>
        <w:t>‘</w:t>
      </w:r>
      <w:r>
        <w:rPr>
          <w:rFonts w:cs="Arial Unicode MS" w:eastAsia="Arial Unicode MS"/>
          <w:rtl w:val="0"/>
        </w:rPr>
        <w:t>where voting is mandatory.</w:t>
      </w:r>
      <w:r>
        <w:rPr>
          <w:rFonts w:cs="Arial Unicode MS" w:eastAsia="Arial Unicode MS" w:hint="default"/>
          <w:rtl w:val="0"/>
        </w:rPr>
        <w:t>’</w:t>
      </w:r>
    </w:p>
  </w:footnote>
  <w:footnote w:id="84">
    <w:p>
      <w:pPr>
        <w:pStyle w:val="Footnote Text"/>
      </w:pPr>
      <w:r>
        <w:rPr>
          <w:rStyle w:val="Footnote Reference"/>
        </w:rPr>
        <w:footnoteRef/>
      </w:r>
      <w:r>
        <w:rPr>
          <w:rFonts w:cs="Arial Unicode MS" w:eastAsia="Arial Unicode MS"/>
          <w:rtl w:val="0"/>
        </w:rPr>
        <w:t xml:space="preserve"> Dunbar, Bilham, &amp; Laituri (2003, p. 164) explains that the Indian state implements targeted policies (that might not necessarily correspond to the administrative areas) based on isoseismal maps that define different zones of seismic hazard.</w:t>
      </w:r>
    </w:p>
  </w:footnote>
  <w:footnote w:id="85">
    <w:p>
      <w:pPr>
        <w:pStyle w:val="Footnote Text"/>
      </w:pPr>
      <w:r>
        <w:rPr>
          <w:rStyle w:val="Footnote Reference"/>
        </w:rPr>
        <w:footnoteRef/>
      </w:r>
      <w:r>
        <w:rPr>
          <w:rFonts w:cs="Arial Unicode MS" w:eastAsia="Arial Unicode MS"/>
          <w:rtl w:val="0"/>
        </w:rPr>
        <w:t xml:space="preserve"> I thank Paul Poast for this comment.</w:t>
      </w:r>
    </w:p>
  </w:footnote>
  <w:footnote w:id="86">
    <w:p>
      <w:pPr>
        <w:pStyle w:val="Footnote Text"/>
      </w:pPr>
      <w:r>
        <w:rPr>
          <w:rStyle w:val="Footnote Reference"/>
        </w:rPr>
        <w:footnoteRef/>
      </w:r>
      <w:r>
        <w:rPr>
          <w:rFonts w:cs="Arial Unicode MS" w:eastAsia="Arial Unicode MS"/>
          <w:rtl w:val="0"/>
        </w:rPr>
        <w:t xml:space="preserve"> Szeliga, Hough, Martin, &amp; Bilham (2010).</w:t>
      </w:r>
    </w:p>
  </w:footnote>
  <w:footnote w:id="87">
    <w:p>
      <w:pPr>
        <w:pStyle w:val="Footnote Text"/>
      </w:pPr>
      <w:r>
        <w:rPr>
          <w:rStyle w:val="Footnote Reference"/>
        </w:rPr>
        <w:footnoteRef/>
      </w:r>
      <w:r>
        <w:rPr>
          <w:rFonts w:cs="Arial Unicode MS" w:eastAsia="Arial Unicode MS"/>
          <w:rtl w:val="0"/>
        </w:rPr>
        <w:t xml:space="preserve"> (NGDC/WDS) (n.d.).</w:t>
      </w:r>
    </w:p>
  </w:footnote>
  <w:footnote w:id="88">
    <w:p>
      <w:pPr>
        <w:pStyle w:val="Footnote Text"/>
      </w:pPr>
      <w:r>
        <w:rPr>
          <w:rStyle w:val="Footnote Reference"/>
        </w:rPr>
        <w:footnoteRef/>
      </w:r>
      <w:r>
        <w:rPr>
          <w:rFonts w:cs="Arial Unicode MS" w:eastAsia="Arial Unicode MS"/>
          <w:rtl w:val="0"/>
        </w:rPr>
        <w:t xml:space="preserve"> Importantly, the NOAA distinguishes earthquake deaths from total deaths (which includes tsunami casualties). I use the former.</w:t>
      </w:r>
    </w:p>
  </w:footnote>
  <w:footnote w:id="89">
    <w:p>
      <w:pPr>
        <w:pStyle w:val="Footnote Text"/>
      </w:pPr>
      <w:r>
        <w:rPr>
          <w:rStyle w:val="Footnote Reference"/>
        </w:rPr>
        <w:footnoteRef/>
      </w:r>
      <w:r>
        <w:rPr>
          <w:rFonts w:cs="Arial Unicode MS" w:eastAsia="Arial Unicode MS"/>
          <w:rtl w:val="0"/>
        </w:rPr>
        <w:t xml:space="preserve"> Particularly, censuses of 1907, 1920, 1930, 1940, 1952, 1960, 1970, 1982, 1992, 2002 and 2012. Some of them were kept at the </w:t>
      </w:r>
      <w:r>
        <w:rPr>
          <w:rFonts w:cs="Arial Unicode MS" w:eastAsia="Arial Unicode MS"/>
          <w:i w:val="1"/>
          <w:iCs w:val="1"/>
          <w:rtl w:val="0"/>
          <w:lang w:val="en-US"/>
        </w:rPr>
        <w:t>Biblioteca Nacional</w:t>
      </w:r>
      <w:r>
        <w:rPr>
          <w:rFonts w:cs="Arial Unicode MS" w:eastAsia="Arial Unicode MS"/>
          <w:rtl w:val="0"/>
        </w:rPr>
        <w:t xml:space="preserve"> and others at the </w:t>
      </w:r>
      <w:r>
        <w:rPr>
          <w:rFonts w:cs="Arial Unicode MS" w:eastAsia="Arial Unicode MS"/>
          <w:i w:val="1"/>
          <w:iCs w:val="1"/>
          <w:rtl w:val="0"/>
          <w:lang w:val="en-US"/>
        </w:rPr>
        <w:t>National Statistic Institute</w:t>
      </w:r>
      <w:r>
        <w:rPr>
          <w:rFonts w:cs="Arial Unicode MS" w:eastAsia="Arial Unicode MS"/>
          <w:rtl w:val="0"/>
        </w:rPr>
        <w:t xml:space="preserve"> historical library.</w:t>
      </w:r>
    </w:p>
  </w:footnote>
  <w:footnote w:id="90">
    <w:p>
      <w:pPr>
        <w:pStyle w:val="Footnote Text"/>
      </w:pPr>
      <w:r>
        <w:rPr>
          <w:rStyle w:val="Footnote Reference"/>
        </w:rPr>
        <w:footnoteRef/>
      </w:r>
      <w:r>
        <w:rPr>
          <w:rFonts w:cs="Arial Unicode MS" w:eastAsia="Arial Unicode MS"/>
          <w:rtl w:val="0"/>
        </w:rPr>
        <w:t xml:space="preserve"> While in most occasions I was able to recover the actual local population, in some instances that was not possible. In these cases, I recovered the population of the most concentrated area nearby. Consequently, I adopted a more general approach and used population as a control, not as a variable to construct a dependent variable in proportion-like form.</w:t>
      </w:r>
    </w:p>
  </w:footnote>
  <w:footnote w:id="91">
    <w:p>
      <w:pPr>
        <w:pStyle w:val="Footnote Text"/>
      </w:pPr>
      <w:r>
        <w:rPr>
          <w:rStyle w:val="Footnote Reference"/>
        </w:rPr>
        <w:footnoteRef/>
      </w:r>
      <w:r>
        <w:rPr>
          <w:rFonts w:cs="Arial Unicode MS" w:eastAsia="Arial Unicode MS"/>
          <w:rtl w:val="0"/>
        </w:rPr>
        <w:t xml:space="preserve"> (n=), (n=), (n=).</w:t>
      </w:r>
    </w:p>
  </w:footnote>
  <w:footnote w:id="92">
    <w:p>
      <w:pPr>
        <w:pStyle w:val="Footnote Text"/>
      </w:pPr>
      <w:r>
        <w:rPr>
          <w:rStyle w:val="Footnote Reference"/>
        </w:rPr>
        <w:footnoteRef/>
      </w:r>
      <w:r>
        <w:rPr>
          <w:rFonts w:cs="Arial Unicode MS" w:eastAsia="Arial Unicode MS"/>
          <w:rtl w:val="0"/>
        </w:rPr>
        <w:t xml:space="preserve"> Urban=, rural=. If more than 50% of the population lives in an urban setting, I assigned a 1 to that municipality, 0 otherwise. Urban concentrations are most likely to have vertical constructions rather than one-story buildings, increasing the potential number of casualties. Consequently, it is important to control for this source of variation. I thank Daniel Kelemen for this suggestion.</w:t>
      </w:r>
    </w:p>
  </w:footnote>
  <w:footnote w:id="93">
    <w:p>
      <w:pPr>
        <w:pStyle w:val="Footnote Text"/>
      </w:pPr>
      <w:r>
        <w:rPr>
          <w:rStyle w:val="Footnote Reference"/>
        </w:rPr>
        <w:footnoteRef/>
      </w:r>
      <w:r>
        <w:rPr>
          <w:rFonts w:cs="Arial Unicode MS" w:eastAsia="Arial Unicode MS"/>
          <w:rtl w:val="0"/>
        </w:rPr>
        <w:t xml:space="preserve"> </w:t>
      </w:r>
      <w:r>
        <w:rPr>
          <w:rFonts w:cs="Arial Unicode MS" w:eastAsia="Arial Unicode MS"/>
          <w:i w:val="1"/>
          <w:iCs w:val="1"/>
          <w:rtl w:val="0"/>
          <w:lang w:val="en-US"/>
        </w:rPr>
        <w:t>El Mercurio</w:t>
      </w:r>
      <w:r>
        <w:rPr>
          <w:rFonts w:cs="Arial Unicode MS" w:eastAsia="Arial Unicode MS"/>
          <w:rtl w:val="0"/>
        </w:rPr>
        <w:t xml:space="preserve"> and </w:t>
      </w:r>
      <w:r>
        <w:rPr>
          <w:rFonts w:cs="Arial Unicode MS" w:eastAsia="Arial Unicode MS"/>
          <w:i w:val="1"/>
          <w:iCs w:val="1"/>
          <w:rtl w:val="0"/>
          <w:lang w:val="en-US"/>
        </w:rPr>
        <w:t>La Naci</w:t>
      </w:r>
      <w:r>
        <w:rPr>
          <w:rFonts w:cs="Arial Unicode MS" w:eastAsia="Arial Unicode MS" w:hint="default"/>
          <w:i w:val="1"/>
          <w:iCs w:val="1"/>
          <w:rtl w:val="0"/>
          <w:lang w:val="en-US"/>
        </w:rPr>
        <w:t>ó</w:t>
      </w:r>
      <w:r>
        <w:rPr>
          <w:rFonts w:cs="Arial Unicode MS" w:eastAsia="Arial Unicode MS"/>
          <w:i w:val="1"/>
          <w:iCs w:val="1"/>
          <w:rtl w:val="0"/>
          <w:lang w:val="en-US"/>
        </w:rPr>
        <w:t>n</w:t>
      </w:r>
      <w:r>
        <w:rPr>
          <w:rFonts w:cs="Arial Unicode MS" w:eastAsia="Arial Unicode MS"/>
          <w:rtl w:val="0"/>
        </w:rPr>
        <w:t xml:space="preserve"> newspapers, both kept at the </w:t>
      </w:r>
      <w:r>
        <w:rPr>
          <w:rFonts w:cs="Arial Unicode MS" w:eastAsia="Arial Unicode MS"/>
          <w:i w:val="1"/>
          <w:iCs w:val="1"/>
          <w:rtl w:val="0"/>
          <w:lang w:val="en-US"/>
        </w:rPr>
        <w:t>Archivo</w:t>
      </w:r>
      <w:r>
        <w:rPr>
          <w:rFonts w:cs="Arial Unicode MS" w:eastAsia="Arial Unicode MS"/>
          <w:rtl w:val="0"/>
        </w:rPr>
        <w:t xml:space="preserve"> of the </w:t>
      </w:r>
      <w:r>
        <w:rPr>
          <w:rFonts w:cs="Arial Unicode MS" w:eastAsia="Arial Unicode MS"/>
          <w:i w:val="1"/>
          <w:iCs w:val="1"/>
          <w:rtl w:val="0"/>
          <w:lang w:val="en-US"/>
        </w:rPr>
        <w:t>Biblioteca Nacional de Chile</w:t>
      </w:r>
      <w:r>
        <w:rPr>
          <w:rFonts w:cs="Arial Unicode MS" w:eastAsia="Arial Unicode MS"/>
          <w:rtl w:val="0"/>
        </w:rPr>
        <w:t>.</w:t>
      </w:r>
    </w:p>
  </w:footnote>
  <w:footnote w:id="94">
    <w:p>
      <w:pPr>
        <w:pStyle w:val="Footnote Text"/>
      </w:pPr>
      <w:r>
        <w:rPr>
          <w:rStyle w:val="Footnote Reference"/>
        </w:rPr>
        <w:footnoteRef/>
      </w:r>
      <w:r>
        <w:rPr>
          <w:rFonts w:cs="Arial Unicode MS" w:eastAsia="Arial Unicode MS" w:hint="default"/>
          <w:rtl w:val="0"/>
        </w:rPr>
        <w:t xml:space="preserve"> “</w:t>
      </w:r>
      <w:r>
        <w:rPr>
          <w:rFonts w:cs="Arial Unicode MS" w:eastAsia="Arial Unicode MS"/>
          <w:rtl w:val="0"/>
        </w:rPr>
        <w:t>These data build on the studies and statistical abstracts of the Economic Commission for Latin America, but also rely on Mitchell</w:t>
      </w:r>
      <w:r>
        <w:rPr>
          <w:rFonts w:cs="Arial Unicode MS" w:eastAsia="Arial Unicode MS" w:hint="default"/>
          <w:rtl w:val="0"/>
        </w:rPr>
        <w:t>’</w:t>
      </w:r>
      <w:r>
        <w:rPr>
          <w:rFonts w:cs="Arial Unicode MS" w:eastAsia="Arial Unicode MS"/>
          <w:rtl w:val="0"/>
        </w:rPr>
        <w:t>s International Historical Statistics, International Monetary Fund</w:t>
      </w:r>
      <w:r>
        <w:rPr>
          <w:rFonts w:cs="Arial Unicode MS" w:eastAsia="Arial Unicode MS" w:hint="default"/>
          <w:rtl w:val="0"/>
        </w:rPr>
        <w:t>’</w:t>
      </w:r>
      <w:r>
        <w:rPr>
          <w:rFonts w:cs="Arial Unicode MS" w:eastAsia="Arial Unicode MS"/>
          <w:rtl w:val="0"/>
        </w:rPr>
        <w:t>s International Financial Statistics, the World Bank</w:t>
      </w:r>
      <w:r>
        <w:rPr>
          <w:rFonts w:cs="Arial Unicode MS" w:eastAsia="Arial Unicode MS" w:hint="default"/>
          <w:rtl w:val="0"/>
        </w:rPr>
        <w:t>’</w:t>
      </w:r>
      <w:r>
        <w:rPr>
          <w:rFonts w:cs="Arial Unicode MS" w:eastAsia="Arial Unicode MS"/>
          <w:rtl w:val="0"/>
        </w:rPr>
        <w:t>s World Development Indicators and a variety of national sources.</w:t>
      </w:r>
      <w:r>
        <w:rPr>
          <w:rFonts w:cs="Arial Unicode MS" w:eastAsia="Arial Unicode MS" w:hint="default"/>
          <w:rtl w:val="0"/>
        </w:rPr>
        <w:t xml:space="preserve">” </w:t>
      </w:r>
      <w:r>
        <w:rPr>
          <w:rFonts w:cs="Arial Unicode MS" w:eastAsia="Arial Unicode MS"/>
          <w:rtl w:val="0"/>
        </w:rPr>
        <w:t xml:space="preserve">I used the </w:t>
      </w:r>
      <w:r>
        <w:rPr>
          <w:rFonts w:cs="Arial Unicode MS" w:eastAsia="Arial Unicode MS"/>
          <w:i w:val="1"/>
          <w:iCs w:val="1"/>
          <w:rtl w:val="0"/>
          <w:lang w:val="en-US"/>
        </w:rPr>
        <w:t>agriculture value-added</w:t>
      </w:r>
      <w:r>
        <w:rPr>
          <w:rFonts w:cs="Arial Unicode MS" w:eastAsia="Arial Unicode MS"/>
          <w:rtl w:val="0"/>
        </w:rPr>
        <w:t xml:space="preserve"> and </w:t>
      </w:r>
      <w:r>
        <w:rPr>
          <w:rFonts w:cs="Arial Unicode MS" w:eastAsia="Arial Unicode MS"/>
          <w:i w:val="1"/>
          <w:iCs w:val="1"/>
          <w:rtl w:val="0"/>
          <w:lang w:val="en-US"/>
        </w:rPr>
        <w:t>manufacturing value-added</w:t>
      </w:r>
      <w:r>
        <w:rPr>
          <w:rFonts w:cs="Arial Unicode MS" w:eastAsia="Arial Unicode MS"/>
          <w:rtl w:val="0"/>
        </w:rPr>
        <w:t xml:space="preserve"> variables. The former measures </w:t>
      </w:r>
      <w:r>
        <w:rPr>
          <w:rFonts w:cs="Arial Unicode MS" w:eastAsia="Arial Unicode MS" w:hint="default"/>
          <w:rtl w:val="0"/>
        </w:rPr>
        <w:t>“</w:t>
      </w:r>
      <w:r>
        <w:rPr>
          <w:rFonts w:cs="Arial Unicode MS" w:eastAsia="Arial Unicode MS"/>
          <w:rtl w:val="0"/>
        </w:rPr>
        <w:t>the output of the sector net of intermediate inputs and includes the cultivation of crops, livestock production, hunting, forestry and fishing.</w:t>
      </w:r>
      <w:r>
        <w:rPr>
          <w:rFonts w:cs="Arial Unicode MS" w:eastAsia="Arial Unicode MS" w:hint="default"/>
          <w:rtl w:val="0"/>
        </w:rPr>
        <w:t xml:space="preserve">” </w:t>
      </w:r>
      <w:r>
        <w:rPr>
          <w:rFonts w:cs="Arial Unicode MS" w:eastAsia="Arial Unicode MS"/>
          <w:rtl w:val="0"/>
        </w:rPr>
        <w:t xml:space="preserve">The later </w:t>
      </w:r>
      <w:r>
        <w:rPr>
          <w:rFonts w:cs="Arial Unicode MS" w:eastAsia="Arial Unicode MS" w:hint="default"/>
          <w:rtl w:val="0"/>
        </w:rPr>
        <w:t>“</w:t>
      </w:r>
      <w:r>
        <w:rPr>
          <w:rFonts w:cs="Arial Unicode MS" w:eastAsia="Arial Unicode MS"/>
          <w:rtl w:val="0"/>
        </w:rPr>
        <w:t>[r]eports the output of the sector net of intermediate inputs.</w:t>
      </w:r>
      <w:r>
        <w:rPr>
          <w:rFonts w:cs="Arial Unicode MS" w:eastAsia="Arial Unicode MS" w:hint="default"/>
          <w:rtl w:val="0"/>
        </w:rPr>
        <w:t xml:space="preserve">” </w:t>
      </w:r>
      <w:r>
        <w:rPr>
          <w:rFonts w:cs="Arial Unicode MS" w:eastAsia="Arial Unicode MS"/>
          <w:rtl w:val="0"/>
        </w:rPr>
        <w:t>Both of them are expressed in local currency at 1970 constant prices.</w:t>
      </w:r>
    </w:p>
  </w:footnote>
  <w:footnote w:id="95">
    <w:p>
      <w:pPr>
        <w:pStyle w:val="Footnote Text"/>
      </w:pPr>
      <w:r>
        <w:rPr>
          <w:rStyle w:val="Footnote Reference"/>
        </w:rPr>
        <w:footnoteRef/>
      </w:r>
      <w:r>
        <w:rPr>
          <w:rFonts w:cs="Arial Unicode MS" w:eastAsia="Arial Unicode MS"/>
          <w:rtl w:val="0"/>
        </w:rPr>
        <w:t xml:space="preserve"> For illustrative purposes, both plots consider the full sample starting in  and ending in .</w:t>
      </w:r>
    </w:p>
  </w:footnote>
  <w:footnote w:id="96">
    <w:p>
      <w:pPr>
        <w:pStyle w:val="Footnote Text"/>
      </w:pPr>
      <w:r>
        <w:rPr>
          <w:rStyle w:val="Footnote Reference"/>
        </w:rPr>
        <w:footnoteRef/>
      </w:r>
      <w:r>
        <w:rPr>
          <w:rFonts w:cs="Arial Unicode MS" w:eastAsia="Arial Unicode MS"/>
          <w:rtl w:val="0"/>
        </w:rPr>
        <w:t xml:space="preserve"> Foa &amp; Nemirovskaya (2016, p. 418).</w:t>
      </w:r>
    </w:p>
  </w:footnote>
  <w:footnote w:id="97">
    <w:p>
      <w:pPr>
        <w:pStyle w:val="Footnote Text"/>
      </w:pPr>
      <w:r>
        <w:rPr>
          <w:rStyle w:val="Footnote Reference"/>
        </w:rPr>
        <w:footnoteRef/>
      </w:r>
      <w:r>
        <w:rPr>
          <w:rFonts w:cs="Arial Unicode MS" w:eastAsia="Arial Unicode MS"/>
          <w:rtl w:val="0"/>
        </w:rPr>
        <w:t xml:space="preserve"> Moreover, Brancati (2007, p. 729) explains that </w:t>
      </w:r>
      <w:r>
        <w:rPr>
          <w:rFonts w:cs="Arial Unicode MS" w:eastAsia="Arial Unicode MS" w:hint="default"/>
          <w:rtl w:val="0"/>
        </w:rPr>
        <w:t>“</w:t>
      </w:r>
      <w:r>
        <w:rPr>
          <w:rFonts w:cs="Arial Unicode MS" w:eastAsia="Arial Unicode MS"/>
          <w:rtl w:val="0"/>
        </w:rPr>
        <w:t>[e]arthquakes often occur in mountainous areas.</w:t>
      </w:r>
      <w:r>
        <w:rPr>
          <w:rFonts w:cs="Arial Unicode MS" w:eastAsia="Arial Unicode MS" w:hint="default"/>
          <w:rtl w:val="0"/>
        </w:rPr>
        <w:t>”</w:t>
      </w:r>
    </w:p>
  </w:footnote>
  <w:footnote w:id="98">
    <w:p>
      <w:pPr>
        <w:pStyle w:val="Footnote Text"/>
      </w:pPr>
      <w:r>
        <w:rPr>
          <w:rStyle w:val="Footnote Reference"/>
        </w:rPr>
        <w:footnoteRef/>
      </w:r>
      <w:r>
        <w:rPr>
          <w:rFonts w:cs="Arial Unicode MS" w:eastAsia="Arial Unicode MS"/>
          <w:rtl w:val="0"/>
        </w:rPr>
        <w:t xml:space="preserve"> Since </w:t>
      </w:r>
      <w:r>
        <w:rPr>
          <w:rFonts w:cs="Arial Unicode MS" w:eastAsia="Arial Unicode MS" w:hint="default"/>
          <w:rtl w:val="0"/>
        </w:rPr>
        <w:t>“</w:t>
      </w:r>
      <w:r>
        <w:rPr>
          <w:rFonts w:cs="Arial Unicode MS" w:eastAsia="Arial Unicode MS"/>
          <w:rtl w:val="0"/>
        </w:rPr>
        <w:t>most of the damage in major earthquakes occurs within 30 km of the epicenter,</w:t>
      </w:r>
      <w:r>
        <w:rPr>
          <w:rFonts w:cs="Arial Unicode MS" w:eastAsia="Arial Unicode MS" w:hint="default"/>
          <w:rtl w:val="0"/>
        </w:rPr>
        <w:t xml:space="preserve">” </w:t>
      </w:r>
      <w:r>
        <w:rPr>
          <w:rFonts w:cs="Arial Unicode MS" w:eastAsia="Arial Unicode MS"/>
          <w:rtl w:val="0"/>
        </w:rPr>
        <w:t>(Dunbar et al. (2003, p. 172)) I don</w:t>
      </w:r>
      <w:r>
        <w:rPr>
          <w:rFonts w:cs="Arial Unicode MS" w:eastAsia="Arial Unicode MS" w:hint="default"/>
          <w:rtl w:val="0"/>
        </w:rPr>
        <w:t>’</w:t>
      </w:r>
      <w:r>
        <w:rPr>
          <w:rFonts w:cs="Arial Unicode MS" w:eastAsia="Arial Unicode MS"/>
          <w:rtl w:val="0"/>
        </w:rPr>
        <w:t>t necessarily drop quakes that didn</w:t>
      </w:r>
      <w:r>
        <w:rPr>
          <w:rFonts w:cs="Arial Unicode MS" w:eastAsia="Arial Unicode MS" w:hint="default"/>
          <w:rtl w:val="0"/>
        </w:rPr>
        <w:t>’</w:t>
      </w:r>
      <w:r>
        <w:rPr>
          <w:rFonts w:cs="Arial Unicode MS" w:eastAsia="Arial Unicode MS"/>
          <w:rtl w:val="0"/>
        </w:rPr>
        <w:t>t happen on land. While the epicenter might have happened a few miles away from the shore, the consequences certainly reached the land.</w:t>
      </w:r>
    </w:p>
  </w:footnote>
  <w:footnote w:id="99">
    <w:p>
      <w:pPr>
        <w:pStyle w:val="Footnote Text"/>
      </w:pPr>
      <w:r>
        <w:rPr>
          <w:rStyle w:val="Footnote Reference"/>
        </w:rPr>
        <w:footnoteRef/>
      </w:r>
      <w:r>
        <w:rPr>
          <w:rFonts w:cs="Arial Unicode MS" w:eastAsia="Arial Unicode MS"/>
          <w:rtl w:val="0"/>
        </w:rPr>
        <w:t xml:space="preserve"> Kahn (2005, p. 273) also considers that </w:t>
      </w:r>
      <w:r>
        <w:rPr>
          <w:rFonts w:cs="Arial Unicode MS" w:eastAsia="Arial Unicode MS" w:hint="default"/>
          <w:rtl w:val="0"/>
        </w:rPr>
        <w:t>“</w:t>
      </w:r>
      <w:r>
        <w:rPr>
          <w:rFonts w:cs="Arial Unicode MS" w:eastAsia="Arial Unicode MS"/>
          <w:rtl w:val="0"/>
        </w:rPr>
        <w:t>the unit of analysis is [the] disaster.</w:t>
      </w:r>
      <w:r>
        <w:rPr>
          <w:rFonts w:cs="Arial Unicode MS" w:eastAsia="Arial Unicode MS" w:hint="default"/>
          <w:rtl w:val="0"/>
        </w:rPr>
        <w:t>”</w:t>
      </w:r>
    </w:p>
  </w:footnote>
  <w:footnote w:id="100">
    <w:p>
      <w:pPr>
        <w:pStyle w:val="Footnote Text"/>
      </w:pPr>
      <w:r>
        <w:rPr>
          <w:rStyle w:val="Footnote Reference"/>
        </w:rPr>
        <w:footnoteRef/>
      </w:r>
      <w:r>
        <w:rPr>
          <w:rFonts w:cs="Arial Unicode MS" w:eastAsia="Arial Unicode MS"/>
          <w:rtl w:val="0"/>
        </w:rPr>
        <w:t xml:space="preserve"> Anbarci et al. (2005, p. 1907) use </w:t>
      </w:r>
      <w:r>
        <w:rPr>
          <w:rFonts w:cs="Arial Unicode MS" w:eastAsia="Arial Unicode MS" w:hint="default"/>
          <w:rtl w:val="0"/>
        </w:rPr>
        <w:t>“</w:t>
      </w:r>
      <w:r>
        <w:rPr>
          <w:rFonts w:cs="Arial Unicode MS" w:eastAsia="Arial Unicode MS"/>
          <w:rtl w:val="0"/>
        </w:rPr>
        <w:t>a Negative Binomial estimation strategy with both random and fixed estimators</w:t>
      </w:r>
      <w:r>
        <w:rPr>
          <w:rFonts w:cs="Arial Unicode MS" w:eastAsia="Arial Unicode MS" w:hint="default"/>
          <w:rtl w:val="0"/>
        </w:rPr>
        <w:t xml:space="preserve">” </w:t>
      </w:r>
      <w:r>
        <w:rPr>
          <w:rFonts w:cs="Arial Unicode MS" w:eastAsia="Arial Unicode MS"/>
          <w:rtl w:val="0"/>
        </w:rPr>
        <w:t xml:space="preserve">to estimate death tolls, Kahn (2005, p. 276) estimates a Zero Inflated Negative Binomial model, Brancati (2007, p. 729) uses </w:t>
      </w:r>
      <w:r>
        <w:rPr>
          <w:rFonts w:cs="Arial Unicode MS" w:eastAsia="Arial Unicode MS" w:hint="default"/>
          <w:rtl w:val="0"/>
        </w:rPr>
        <w:t>“</w:t>
      </w:r>
      <w:r>
        <w:rPr>
          <w:rFonts w:cs="Arial Unicode MS" w:eastAsia="Arial Unicode MS"/>
          <w:rtl w:val="0"/>
        </w:rPr>
        <w:t>a negative binomial model with robust standard errors clustered by country,</w:t>
      </w:r>
      <w:r>
        <w:rPr>
          <w:rFonts w:cs="Arial Unicode MS" w:eastAsia="Arial Unicode MS" w:hint="default"/>
          <w:rtl w:val="0"/>
        </w:rPr>
        <w:t xml:space="preserve">” </w:t>
      </w:r>
      <w:r>
        <w:rPr>
          <w:rFonts w:cs="Arial Unicode MS" w:eastAsia="Arial Unicode MS"/>
          <w:rtl w:val="0"/>
        </w:rPr>
        <w:t xml:space="preserve">and Escaleras et al. (2007) use </w:t>
      </w:r>
      <w:r>
        <w:rPr>
          <w:rFonts w:cs="Arial Unicode MS" w:eastAsia="Arial Unicode MS" w:hint="default"/>
          <w:rtl w:val="0"/>
        </w:rPr>
        <w:t>“</w:t>
      </w:r>
      <w:r>
        <w:rPr>
          <w:rFonts w:cs="Arial Unicode MS" w:eastAsia="Arial Unicode MS"/>
          <w:rtl w:val="0"/>
        </w:rPr>
        <w:t>a Negative Binomial specification.</w:t>
      </w:r>
      <w:r>
        <w:rPr>
          <w:rFonts w:cs="Arial Unicode MS" w:eastAsia="Arial Unicode MS" w:hint="default"/>
          <w:rtl w:val="0"/>
        </w:rPr>
        <w:t xml:space="preserve">” </w:t>
      </w:r>
      <w:r>
        <w:rPr>
          <w:rFonts w:cs="Arial Unicode MS" w:eastAsia="Arial Unicode MS"/>
          <w:rtl w:val="0"/>
        </w:rPr>
        <w:t>Yet, no study tests for over dispersion. I do not find evidence of over dispersion in my dataset, hence I employ a Poisson model.</w:t>
      </w:r>
    </w:p>
  </w:footnote>
  <w:footnote w:id="101">
    <w:p>
      <w:pPr>
        <w:pStyle w:val="Footnote Text"/>
      </w:pPr>
      <w:r>
        <w:rPr>
          <w:rStyle w:val="Footnote Reference"/>
        </w:rPr>
        <w:footnoteRef/>
      </w:r>
      <w:r>
        <w:rPr>
          <w:rFonts w:cs="Arial Unicode MS" w:eastAsia="Arial Unicode MS"/>
          <w:rtl w:val="0"/>
        </w:rPr>
        <w:t xml:space="preserve"> Brancati (2007, p. 729) also includes in his analyses </w:t>
      </w:r>
      <w:r>
        <w:rPr>
          <w:rFonts w:cs="Arial Unicode MS" w:eastAsia="Arial Unicode MS" w:hint="default"/>
          <w:rtl w:val="0"/>
        </w:rPr>
        <w:t>“</w:t>
      </w:r>
      <w:r>
        <w:rPr>
          <w:rFonts w:cs="Arial Unicode MS" w:eastAsia="Arial Unicode MS"/>
          <w:rtl w:val="0"/>
        </w:rPr>
        <w:t>year-fixed effects to control for trends over time.</w:t>
      </w:r>
      <w:r>
        <w:rPr>
          <w:rFonts w:cs="Arial Unicode MS" w:eastAsia="Arial Unicode MS" w:hint="default"/>
          <w:rtl w:val="0"/>
        </w:rPr>
        <w:t>”</w:t>
      </w:r>
    </w:p>
  </w:footnote>
  <w:footnote w:id="102">
    <w:p>
      <w:pPr>
        <w:pStyle w:val="Footnote Text"/>
      </w:pPr>
      <w:r>
        <w:rPr>
          <w:rStyle w:val="Footnote Reference"/>
        </w:rPr>
        <w:footnoteRef/>
      </w:r>
      <w:r>
        <w:rPr>
          <w:rFonts w:cs="Arial Unicode MS" w:eastAsia="Arial Unicode MS"/>
          <w:rtl w:val="0"/>
        </w:rPr>
        <w:t xml:space="preserve"> I thank Hillel Soifer for this suggestion.</w:t>
      </w:r>
    </w:p>
  </w:footnote>
  <w:footnote w:id="103">
    <w:p>
      <w:pPr>
        <w:pStyle w:val="Footnote Text"/>
      </w:pPr>
      <w:r>
        <w:rPr>
          <w:rStyle w:val="Footnote Reference"/>
        </w:rPr>
        <w:footnoteRef/>
      </w:r>
      <w:r>
        <w:rPr>
          <w:rFonts w:cs="Arial Unicode MS" w:eastAsia="Arial Unicode MS"/>
          <w:rtl w:val="0"/>
        </w:rPr>
        <w:t xml:space="preserve"> Undoubtedly, there are many more factors that might increase death tolls. Ambraseys &amp; Bilham (2011, p. 154) for example explain that the </w:t>
      </w:r>
      <w:r>
        <w:rPr>
          <w:rFonts w:cs="Arial Unicode MS" w:eastAsia="Arial Unicode MS" w:hint="default"/>
          <w:rtl w:val="0"/>
        </w:rPr>
        <w:t>“</w:t>
      </w:r>
      <w:r>
        <w:rPr>
          <w:rFonts w:cs="Arial Unicode MS" w:eastAsia="Arial Unicode MS"/>
          <w:rtl w:val="0"/>
        </w:rPr>
        <w:t>number of fatalities depends on whether an earthquake happens at night or during the day, in the winter or in the summer, in a mountainous region or in a valley, after strong and protracted fore-shocks and with or without warning.</w:t>
      </w:r>
      <w:r>
        <w:rPr>
          <w:rFonts w:cs="Arial Unicode MS" w:eastAsia="Arial Unicode MS" w:hint="default"/>
          <w:rtl w:val="0"/>
        </w:rPr>
        <w:t xml:space="preserve">” </w:t>
      </w:r>
      <w:r>
        <w:rPr>
          <w:rFonts w:cs="Arial Unicode MS" w:eastAsia="Arial Unicode MS"/>
          <w:rtl w:val="0"/>
        </w:rPr>
        <w:t xml:space="preserve">While in my model some of these factors are accounted for, I do not have complete hourly data. However, Lomnitz (1970, p. 1309) explains that </w:t>
      </w:r>
      <w:r>
        <w:rPr>
          <w:rFonts w:cs="Arial Unicode MS" w:eastAsia="Arial Unicode MS" w:hint="default"/>
          <w:rtl w:val="0"/>
        </w:rPr>
        <w:t>“</w:t>
      </w:r>
      <w:r>
        <w:rPr>
          <w:rFonts w:cs="Arial Unicode MS" w:eastAsia="Arial Unicode MS"/>
          <w:rtl w:val="0"/>
        </w:rPr>
        <w:t>some of the larger Chilean earthquakes which have caused deaths</w:t>
      </w:r>
      <w:r>
        <w:rPr>
          <w:rFonts w:cs="Arial Unicode MS" w:eastAsia="Arial Unicode MS" w:hint="default"/>
          <w:rtl w:val="0"/>
        </w:rPr>
        <w:t xml:space="preserve">” </w:t>
      </w:r>
      <w:r>
        <w:rPr>
          <w:rFonts w:cs="Arial Unicode MS" w:eastAsia="Arial Unicode MS"/>
          <w:rtl w:val="0"/>
        </w:rPr>
        <w:t>between the 1900</w:t>
      </w:r>
      <w:r>
        <w:rPr>
          <w:rFonts w:cs="Arial Unicode MS" w:eastAsia="Arial Unicode MS" w:hint="default"/>
          <w:rtl w:val="0"/>
        </w:rPr>
        <w:t>’</w:t>
      </w:r>
      <w:r>
        <w:rPr>
          <w:rFonts w:cs="Arial Unicode MS" w:eastAsia="Arial Unicode MS"/>
          <w:rtl w:val="0"/>
        </w:rPr>
        <w:t>s and the 1960</w:t>
      </w:r>
      <w:r>
        <w:rPr>
          <w:rFonts w:cs="Arial Unicode MS" w:eastAsia="Arial Unicode MS" w:hint="default"/>
          <w:rtl w:val="0"/>
        </w:rPr>
        <w:t>’</w:t>
      </w:r>
      <w:r>
        <w:rPr>
          <w:rFonts w:cs="Arial Unicode MS" w:eastAsia="Arial Unicode MS"/>
          <w:rtl w:val="0"/>
        </w:rPr>
        <w:t xml:space="preserve">s have been afternoon quakes. See especially Table 1 in p. 1310. Other factors such as </w:t>
      </w:r>
      <w:r>
        <w:rPr>
          <w:rFonts w:cs="Arial Unicode MS" w:eastAsia="Arial Unicode MS" w:hint="default"/>
          <w:rtl w:val="0"/>
        </w:rPr>
        <w:t>“</w:t>
      </w:r>
      <w:r>
        <w:rPr>
          <w:rFonts w:cs="Arial Unicode MS" w:eastAsia="Arial Unicode MS"/>
          <w:rtl w:val="0"/>
        </w:rPr>
        <w:t>the speed of tectonic movements [and] the degree to which the lower plate bends the upper plate</w:t>
      </w:r>
      <w:r>
        <w:rPr>
          <w:rFonts w:cs="Arial Unicode MS" w:eastAsia="Arial Unicode MS" w:hint="default"/>
          <w:rtl w:val="0"/>
        </w:rPr>
        <w:t xml:space="preserve">” </w:t>
      </w:r>
      <w:r>
        <w:rPr>
          <w:rFonts w:cs="Arial Unicode MS" w:eastAsia="Arial Unicode MS"/>
          <w:rtl w:val="0"/>
        </w:rPr>
        <w:t>and the focal depth (Keefer et al. (2011, p. 1534)) could not be included due to the lack of complete data overtime.</w:t>
      </w:r>
    </w:p>
  </w:footnote>
  <w:footnote w:id="104">
    <w:p>
      <w:pPr>
        <w:pStyle w:val="Footnote Text"/>
      </w:pPr>
      <w:r>
        <w:rPr>
          <w:rStyle w:val="Footnote Reference"/>
        </w:rPr>
        <w:footnoteRef/>
      </w:r>
      <w:r>
        <w:rPr>
          <w:rFonts w:cs="Arial Unicode MS" w:eastAsia="Arial Unicode MS"/>
          <w:rtl w:val="0"/>
        </w:rPr>
        <w:t xml:space="preserve"> I thank Hillel Soifer for this comment.</w:t>
      </w:r>
    </w:p>
  </w:footnote>
  <w:footnote w:id="105">
    <w:p>
      <w:pPr>
        <w:pStyle w:val="Footnote Text"/>
      </w:pPr>
      <w:r>
        <w:rPr>
          <w:rStyle w:val="Footnote Reference"/>
        </w:rPr>
        <w:footnoteRef/>
      </w:r>
      <w:r>
        <w:rPr>
          <w:rFonts w:cs="Arial Unicode MS" w:eastAsia="Arial Unicode MS"/>
          <w:rtl w:val="0"/>
        </w:rPr>
        <w:t xml:space="preserve"> (top panel) shows that for most years, the industrial sector contributed more to the economy, suggesting that industrial areas were wealthier than agricultural zones.</w:t>
      </w:r>
    </w:p>
  </w:footnote>
  <w:footnote w:id="106">
    <w:p>
      <w:pPr>
        <w:pStyle w:val="Footnote Text"/>
      </w:pPr>
      <w:r>
        <w:rPr>
          <w:rStyle w:val="Footnote Reference"/>
        </w:rPr>
        <w:footnoteRef/>
      </w:r>
      <w:r>
        <w:rPr>
          <w:rFonts w:cs="Arial Unicode MS" w:eastAsia="Arial Unicode MS"/>
          <w:rtl w:val="0"/>
        </w:rPr>
        <w:t xml:space="preserve"> Kahn (2005, p. 278) follows the same strategy.</w:t>
      </w:r>
    </w:p>
  </w:footnote>
  <w:footnote w:id="107">
    <w:p>
      <w:pPr>
        <w:pStyle w:val="Footnote Text"/>
      </w:pPr>
      <w:r>
        <w:rPr>
          <w:rStyle w:val="Footnote Reference"/>
        </w:rPr>
        <w:footnoteRef/>
      </w:r>
      <w:r>
        <w:rPr>
          <w:rFonts w:cs="Arial Unicode MS" w:eastAsia="Arial Unicode MS"/>
          <w:rtl w:val="0"/>
        </w:rPr>
        <w:t xml:space="preserve"> For the years in which there is just one earthquake, the </w:t>
      </w:r>
      <w:r>
        <w:rPr>
          <w:rFonts w:cs="Arial Unicode MS" w:eastAsia="Arial Unicode MS" w:hint="default"/>
          <w:rtl w:val="0"/>
        </w:rPr>
        <w:t>‘</w:t>
      </w:r>
      <w:r>
        <w:rPr>
          <w:rFonts w:cs="Arial Unicode MS" w:eastAsia="Arial Unicode MS"/>
          <w:rtl w:val="0"/>
        </w:rPr>
        <w:t>group</w:t>
      </w:r>
      <w:r>
        <w:rPr>
          <w:rFonts w:cs="Arial Unicode MS" w:eastAsia="Arial Unicode MS" w:hint="default"/>
          <w:rtl w:val="0"/>
        </w:rPr>
        <w:t xml:space="preserve">’ </w:t>
      </w:r>
      <w:r>
        <w:rPr>
          <w:rFonts w:cs="Arial Unicode MS" w:eastAsia="Arial Unicode MS"/>
          <w:rtl w:val="0"/>
        </w:rPr>
        <w:t xml:space="preserve">variable has only one observation. This does not endangers the robustness of the model. Gelman &amp; Hill (2006, p. 276) explain that it </w:t>
      </w:r>
      <w:r>
        <w:rPr>
          <w:rFonts w:cs="Arial Unicode MS" w:eastAsia="Arial Unicode MS" w:hint="default"/>
          <w:rtl w:val="0"/>
        </w:rPr>
        <w:t>“</w:t>
      </w:r>
      <w:r>
        <w:rPr>
          <w:rFonts w:cs="Arial Unicode MS" w:eastAsia="Arial Unicode MS"/>
          <w:rtl w:val="0"/>
        </w:rPr>
        <w:t>is even acceptable to have one observation in many of the groups.</w:t>
      </w:r>
      <w:r>
        <w:rPr>
          <w:rFonts w:cs="Arial Unicode MS" w:eastAsia="Arial Unicode MS" w:hint="default"/>
          <w:rtl w:val="0"/>
        </w:rPr>
        <w:t>”</w:t>
      </w:r>
    </w:p>
  </w:footnote>
  <w:footnote w:id="108">
    <w:p>
      <w:pPr>
        <w:pStyle w:val="Footnote Text"/>
      </w:pPr>
      <w:r>
        <w:rPr>
          <w:rStyle w:val="Footnote Reference"/>
        </w:rPr>
        <w:footnoteRef/>
      </w:r>
      <w:r>
        <w:rPr>
          <w:rFonts w:cs="Arial Unicode MS" w:eastAsia="Arial Unicode MS"/>
          <w:rtl w:val="0"/>
        </w:rPr>
        <w:t xml:space="preserve"> </w:t>
      </w:r>
      <w:r>
        <w:rPr>
          <w:rStyle w:val="Link"/>
        </w:rPr>
        <w:fldChar w:fldCharType="begin" w:fldLock="0"/>
      </w:r>
      <w:r>
        <w:rPr>
          <w:rStyle w:val="Link"/>
        </w:rPr>
        <w:instrText xml:space="preserve"> HYPERLINK "https://data.noaa.gov/dataset/earthquake-damage-general"</w:instrText>
      </w:r>
      <w:r>
        <w:rPr>
          <w:rStyle w:val="Link"/>
        </w:rPr>
        <w:fldChar w:fldCharType="separate" w:fldLock="0"/>
      </w:r>
      <w:r>
        <w:rPr>
          <w:rStyle w:val="Link"/>
          <w:rFonts w:cs="Arial Unicode MS" w:eastAsia="Arial Unicode MS"/>
          <w:rtl w:val="0"/>
        </w:rPr>
        <w:t>According</w:t>
      </w:r>
      <w:r>
        <w:rPr/>
        <w:fldChar w:fldCharType="end" w:fldLock="0"/>
      </w:r>
      <w:r>
        <w:rPr>
          <w:rFonts w:cs="Arial Unicode MS" w:eastAsia="Arial Unicode MS"/>
          <w:rtl w:val="0"/>
        </w:rPr>
        <w:t xml:space="preserve"> to the NOAA, an </w:t>
      </w:r>
      <w:r>
        <w:rPr>
          <w:rFonts w:cs="Arial Unicode MS" w:eastAsia="Arial Unicode MS" w:hint="default"/>
          <w:rtl w:val="0"/>
        </w:rPr>
        <w:t>“</w:t>
      </w:r>
      <w:r>
        <w:rPr>
          <w:rFonts w:cs="Arial Unicode MS" w:eastAsia="Arial Unicode MS"/>
          <w:rtl w:val="0"/>
        </w:rPr>
        <w:t>increase of one in magnitude represents a tenfold increase in the recorded wave amplitude.</w:t>
      </w:r>
      <w:r>
        <w:rPr>
          <w:rFonts w:cs="Arial Unicode MS" w:eastAsia="Arial Unicode MS" w:hint="default"/>
          <w:rtl w:val="0"/>
        </w:rPr>
        <w:t xml:space="preserve">” </w:t>
      </w:r>
      <w:r>
        <w:rPr>
          <w:rFonts w:cs="Arial Unicode MS" w:eastAsia="Arial Unicode MS"/>
          <w:rtl w:val="0"/>
        </w:rPr>
        <w:t>Consequently the effect of this variable should not be linear. Consequently, both in and I consider the square term of magnitude.</w:t>
      </w:r>
    </w:p>
  </w:footnote>
  <w:footnote w:id="109">
    <w:p>
      <w:pPr>
        <w:pStyle w:val="Footnote Text"/>
      </w:pPr>
      <w:r>
        <w:rPr>
          <w:rStyle w:val="Footnote Reference"/>
        </w:rPr>
        <w:footnoteRef/>
      </w:r>
      <w:r>
        <w:rPr>
          <w:rFonts w:cs="Arial Unicode MS" w:eastAsia="Arial Unicode MS"/>
          <w:rtl w:val="0"/>
        </w:rPr>
        <w:t xml:space="preserve"> Nearly-zero posteriors indicate that the three types of subnational localities are affected in the same way, and that casualties are independent of the subnational predominant sector.</w:t>
      </w:r>
    </w:p>
  </w:footnote>
  <w:footnote w:id="110">
    <w:p>
      <w:pPr>
        <w:pStyle w:val="Footnote Text"/>
      </w:pPr>
      <w:r>
        <w:rPr>
          <w:rStyle w:val="Footnote Reference"/>
        </w:rPr>
        <w:footnoteRef/>
      </w:r>
      <w:r>
        <w:rPr>
          <w:rFonts w:cs="Arial Unicode MS" w:eastAsia="Arial Unicode MS" w:hint="default"/>
          <w:rtl w:val="0"/>
        </w:rPr>
        <w:t xml:space="preserve"> “</w:t>
      </w:r>
      <w:r>
        <w:rPr>
          <w:rFonts w:cs="Arial Unicode MS" w:eastAsia="Arial Unicode MS"/>
          <w:rtl w:val="0"/>
        </w:rPr>
        <w:t>Noninformative prior distributions are intended to allow Bayesian inference for parameters about which not much is known beyond the data included in the analysis at hand</w:t>
      </w:r>
      <w:r>
        <w:rPr>
          <w:rFonts w:cs="Arial Unicode MS" w:eastAsia="Arial Unicode MS" w:hint="default"/>
          <w:rtl w:val="0"/>
        </w:rPr>
        <w:t xml:space="preserve">” </w:t>
      </w:r>
      <w:r>
        <w:rPr>
          <w:rFonts w:cs="Arial Unicode MS" w:eastAsia="Arial Unicode MS"/>
          <w:rtl w:val="0"/>
        </w:rPr>
        <w:t>(Gelman (2006, p. 520)).</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Footnote Reference">
    <w:name w:val="Footnote Reference"/>
    <w:rPr>
      <w:vertAlign w:val="superscript"/>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4f81bd"/>
      <w:u w:val="single" w:color="4f81bd"/>
    </w:rPr>
  </w:style>
  <w:style w:type="character" w:styleId="Hyperlink.0">
    <w:name w:val="Hyperlink.0"/>
    <w:basedOn w:val="Link"/>
    <w:next w:val="Hyperlink.0"/>
    <w:rPr>
      <w:rFonts w:ascii="Cambria" w:cs="Cambria" w:hAnsi="Cambria" w:eastAsia="Cambria"/>
      <w:i w:val="1"/>
      <w:iCs w:val="1"/>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