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45748" w:rsidRPr="00D77DD3" w:rsidRDefault="00000000" w:rsidP="0089682E">
      <w:pPr>
        <w:pStyle w:val="Title"/>
        <w:spacing w:before="120" w:after="120" w:line="360" w:lineRule="auto"/>
        <w:jc w:val="both"/>
      </w:pPr>
      <w:bookmarkStart w:id="0" w:name="_4eq5zuq1n74n" w:colFirst="0" w:colLast="0"/>
      <w:bookmarkEnd w:id="0"/>
      <w:r w:rsidRPr="00D77DD3">
        <w:t>Response to Reviewers:</w:t>
      </w:r>
    </w:p>
    <w:p w14:paraId="00000003" w14:textId="77777777" w:rsidR="00B45748" w:rsidRPr="00D77DD3" w:rsidRDefault="00000000" w:rsidP="0089682E">
      <w:pPr>
        <w:spacing w:before="120" w:after="120" w:line="360" w:lineRule="auto"/>
        <w:jc w:val="both"/>
        <w:rPr>
          <w:rFonts w:ascii="Calibri" w:eastAsia="Calibri" w:hAnsi="Calibri" w:cs="Calibri"/>
        </w:rPr>
      </w:pPr>
      <w:r w:rsidRPr="00D77DD3">
        <w:rPr>
          <w:rFonts w:ascii="Calibri" w:eastAsia="Calibri" w:hAnsi="Calibri" w:cs="Calibri"/>
        </w:rPr>
        <w:t>Dear Editors and Reviewers,</w:t>
      </w:r>
    </w:p>
    <w:p w14:paraId="00000005" w14:textId="39E03493" w:rsidR="00B45748" w:rsidRPr="00D77DD3" w:rsidRDefault="00000000" w:rsidP="0089682E">
      <w:pPr>
        <w:spacing w:before="120" w:after="120" w:line="360" w:lineRule="auto"/>
        <w:jc w:val="both"/>
        <w:rPr>
          <w:rFonts w:ascii="Calibri" w:eastAsia="Calibri" w:hAnsi="Calibri" w:cs="Calibri"/>
        </w:rPr>
      </w:pPr>
      <w:r w:rsidRPr="00D77DD3">
        <w:rPr>
          <w:rFonts w:ascii="Calibri" w:eastAsia="Calibri" w:hAnsi="Calibri" w:cs="Calibri"/>
        </w:rPr>
        <w:t xml:space="preserve">We thank the Editor and the Reviewers for their careful evaluation and important comments that have helped us to improve the manuscript. Please find below our response to Reviewers in point-by-point fashion (our answers are indicated with red </w:t>
      </w:r>
      <w:r w:rsidR="0089682E" w:rsidRPr="00D77DD3">
        <w:rPr>
          <w:rFonts w:ascii="Calibri" w:eastAsia="Calibri" w:hAnsi="Calibri" w:cs="Calibri"/>
        </w:rPr>
        <w:t>color</w:t>
      </w:r>
      <w:r w:rsidRPr="00D77DD3">
        <w:rPr>
          <w:rFonts w:ascii="Calibri" w:eastAsia="Calibri" w:hAnsi="Calibri" w:cs="Calibri"/>
        </w:rPr>
        <w:t>).</w:t>
      </w:r>
    </w:p>
    <w:p w14:paraId="00000006" w14:textId="77777777" w:rsidR="00B45748" w:rsidRPr="00D77DD3" w:rsidRDefault="00681035" w:rsidP="0089682E">
      <w:pPr>
        <w:spacing w:before="120" w:after="120" w:line="360" w:lineRule="auto"/>
        <w:jc w:val="both"/>
        <w:rPr>
          <w:rFonts w:ascii="Calibri" w:eastAsia="Calibri" w:hAnsi="Calibri" w:cs="Calibri"/>
        </w:rPr>
      </w:pPr>
      <w:r>
        <w:rPr>
          <w:noProof/>
        </w:rPr>
      </w:r>
      <w:r>
        <w:pict w14:anchorId="117CFAD2">
          <v:rect id="Horizontal Line 1" o:spid="_x0000_s1027" style="width:43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" filled="f">
            <o:lock v:ext="edit" rotation="t" aspectratio="t" verticies="t" text="t" shapetype="t"/>
            <w10:anchorlock/>
          </v:rect>
        </w:pict>
      </w:r>
    </w:p>
    <w:p w14:paraId="00000008" w14:textId="77777777" w:rsidR="00B45748" w:rsidRPr="00D77DD3" w:rsidRDefault="00000000" w:rsidP="0089682E">
      <w:pPr>
        <w:pStyle w:val="Heading2"/>
        <w:spacing w:before="120" w:line="360" w:lineRule="auto"/>
        <w:jc w:val="both"/>
      </w:pPr>
      <w:bookmarkStart w:id="1" w:name="_5hrdoez1u8w3" w:colFirst="0" w:colLast="0"/>
      <w:bookmarkEnd w:id="1"/>
      <w:r w:rsidRPr="00D77DD3">
        <w:t>Reviewer #1:</w:t>
      </w:r>
    </w:p>
    <w:p w14:paraId="7B00C7CD" w14:textId="0F31982F" w:rsidR="00EF74BF" w:rsidRPr="00EF74BF" w:rsidRDefault="00000000" w:rsidP="0089682E">
      <w:pPr>
        <w:numPr>
          <w:ilvl w:val="0"/>
          <w:numId w:val="1"/>
        </w:numPr>
        <w:spacing w:before="120" w:after="120" w:line="360" w:lineRule="auto"/>
        <w:jc w:val="both"/>
        <w:rPr>
          <w:rFonts w:ascii="Calibri" w:eastAsia="Calibri" w:hAnsi="Calibri" w:cs="Calibri"/>
        </w:rPr>
      </w:pPr>
      <w:r w:rsidRPr="00D77DD3">
        <w:rPr>
          <w:rFonts w:ascii="Calibri" w:eastAsia="Calibri" w:hAnsi="Calibri" w:cs="Calibri"/>
          <w:color w:val="212121"/>
        </w:rPr>
        <w:t xml:space="preserve">The manuscript addresses an important question about public preferences for funding high cost cancer medicines. The paper is clearly </w:t>
      </w:r>
      <w:r w:rsidR="005F5C6A" w:rsidRPr="00D77DD3">
        <w:rPr>
          <w:rFonts w:ascii="Calibri" w:eastAsia="Calibri" w:hAnsi="Calibri" w:cs="Calibri"/>
          <w:color w:val="212121"/>
        </w:rPr>
        <w:t>written,</w:t>
      </w:r>
      <w:r w:rsidRPr="00D77DD3">
        <w:rPr>
          <w:rFonts w:ascii="Calibri" w:eastAsia="Calibri" w:hAnsi="Calibri" w:cs="Calibri"/>
          <w:color w:val="212121"/>
        </w:rPr>
        <w:t xml:space="preserve"> and the literature review is strong. The topic fits the journal. However, the central claim is larger than the evidence can support.</w:t>
      </w:r>
    </w:p>
    <w:p w14:paraId="0000000A" w14:textId="43142956" w:rsidR="00B45748" w:rsidRPr="00D77DD3" w:rsidRDefault="00000000" w:rsidP="00EF74BF">
      <w:pPr>
        <w:spacing w:before="120" w:after="120" w:line="360" w:lineRule="auto"/>
        <w:ind w:left="720"/>
        <w:jc w:val="both"/>
        <w:rPr>
          <w:rFonts w:ascii="Calibri" w:eastAsia="Calibri" w:hAnsi="Calibri" w:cs="Calibri"/>
        </w:rPr>
      </w:pPr>
      <w:r w:rsidRPr="00D77DD3">
        <w:rPr>
          <w:rFonts w:ascii="Calibri" w:eastAsia="Calibri" w:hAnsi="Calibri" w:cs="Calibri"/>
          <w:color w:val="FF0000"/>
        </w:rPr>
        <w:t>We thank Reviewer 1 for their encouraging and positive comments above</w:t>
      </w:r>
      <w:r w:rsidR="005F5C6A">
        <w:rPr>
          <w:rFonts w:ascii="Calibri" w:eastAsia="Calibri" w:hAnsi="Calibri" w:cs="Calibri"/>
          <w:color w:val="FF0000"/>
        </w:rPr>
        <w:t>,</w:t>
      </w:r>
      <w:r w:rsidRPr="00D77DD3">
        <w:rPr>
          <w:rFonts w:ascii="Calibri" w:eastAsia="Calibri" w:hAnsi="Calibri" w:cs="Calibri"/>
          <w:color w:val="FF0000"/>
        </w:rPr>
        <w:t xml:space="preserve"> and the constructive comments below. We have endeavored to respond to </w:t>
      </w:r>
      <w:r w:rsidR="005F5C6A">
        <w:rPr>
          <w:rFonts w:ascii="Calibri" w:eastAsia="Calibri" w:hAnsi="Calibri" w:cs="Calibri"/>
          <w:color w:val="FF0000"/>
        </w:rPr>
        <w:t>all of them</w:t>
      </w:r>
      <w:r w:rsidRPr="00D77DD3">
        <w:rPr>
          <w:rFonts w:ascii="Calibri" w:eastAsia="Calibri" w:hAnsi="Calibri" w:cs="Calibri"/>
          <w:color w:val="FF0000"/>
        </w:rPr>
        <w:t xml:space="preserve"> as best </w:t>
      </w:r>
      <w:r w:rsidR="005F5C6A">
        <w:rPr>
          <w:rFonts w:ascii="Calibri" w:eastAsia="Calibri" w:hAnsi="Calibri" w:cs="Calibri"/>
          <w:color w:val="FF0000"/>
        </w:rPr>
        <w:t xml:space="preserve">as </w:t>
      </w:r>
      <w:r w:rsidRPr="00D77DD3">
        <w:rPr>
          <w:rFonts w:ascii="Calibri" w:eastAsia="Calibri" w:hAnsi="Calibri" w:cs="Calibri"/>
          <w:color w:val="FF0000"/>
        </w:rPr>
        <w:t xml:space="preserve">we </w:t>
      </w:r>
      <w:r w:rsidR="005F5C6A">
        <w:rPr>
          <w:rFonts w:ascii="Calibri" w:eastAsia="Calibri" w:hAnsi="Calibri" w:cs="Calibri"/>
          <w:color w:val="FF0000"/>
        </w:rPr>
        <w:t>could</w:t>
      </w:r>
      <w:r w:rsidRPr="00D77DD3">
        <w:rPr>
          <w:rFonts w:ascii="Calibri" w:eastAsia="Calibri" w:hAnsi="Calibri" w:cs="Calibri"/>
          <w:color w:val="FF0000"/>
        </w:rPr>
        <w:t>. Below, we respond to these comments one by one.</w:t>
      </w:r>
    </w:p>
    <w:p w14:paraId="7CDF265A" w14:textId="77777777" w:rsidR="00B67639" w:rsidRPr="00B67639" w:rsidRDefault="00000000" w:rsidP="0089682E">
      <w:pPr>
        <w:numPr>
          <w:ilvl w:val="0"/>
          <w:numId w:val="1"/>
        </w:numPr>
        <w:spacing w:before="120" w:after="120" w:line="360" w:lineRule="auto"/>
        <w:jc w:val="both"/>
        <w:rPr>
          <w:rFonts w:ascii="Calibri" w:eastAsia="Calibri" w:hAnsi="Calibri" w:cs="Calibri"/>
        </w:rPr>
      </w:pPr>
      <w:r w:rsidRPr="00D77DD3">
        <w:rPr>
          <w:rFonts w:ascii="Calibri" w:eastAsia="Calibri" w:hAnsi="Calibri" w:cs="Calibri"/>
          <w:color w:val="212121"/>
        </w:rPr>
        <w:t>The main concern is that the central claim is not aligned with the experimental design. The manuscript argues that institutional insulation does not neutralize framing effects, but the experiment only varies the description of the funding decision. It does not vary who makes the decision or how the decision is institutionally justified. Respondents are not assigned to conditions in which the decision is made by politicians, an expert agency, an HTA body, or another public authority. They are also not told whether the decision is part of an insulated expert process. For this reason, the study can show that different descriptions affect stated funding preferences, but it cannot show whether institutional insulation moderates or fails to moderate framing effects.</w:t>
      </w:r>
    </w:p>
    <w:p w14:paraId="0555A822" w14:textId="52839474" w:rsidR="00D77DD3" w:rsidRDefault="006B33FB" w:rsidP="00B67639">
      <w:pPr>
        <w:spacing w:before="120" w:after="120" w:line="360" w:lineRule="auto"/>
        <w:ind w:left="720"/>
        <w:jc w:val="both"/>
        <w:rPr>
          <w:rFonts w:ascii="Calibri" w:eastAsia="Calibri" w:hAnsi="Calibri" w:cs="Calibri"/>
        </w:rPr>
      </w:pPr>
      <w:r w:rsidRPr="00814BAD">
        <w:rPr>
          <w:rFonts w:ascii="Calibri" w:eastAsia="Calibri" w:hAnsi="Calibri" w:cs="Calibri"/>
          <w:color w:val="FF0000"/>
        </w:rPr>
        <w:t xml:space="preserve">Thank you. We agree that the experiment does not manipulate institutional insulation and therefore cannot establish whether insulation moderates, attenuates, or neutralises framing effects. We have revised the Abstract, Introduction, Discussion, and Conclusion to define the study’s estimand more precisely: the effect of the assigned rescue-oriented and resource-preservation justifications on stated funding preferences within Finland’s delegated reimbursement setting. Institutional insulation is now treated as the policy context rather than as </w:t>
      </w:r>
      <w:r w:rsidRPr="00814BAD">
        <w:rPr>
          <w:rFonts w:ascii="Calibri" w:eastAsia="Calibri" w:hAnsi="Calibri" w:cs="Calibri"/>
          <w:color w:val="FF0000"/>
        </w:rPr>
        <w:lastRenderedPageBreak/>
        <w:t>an experimental condition, and we no longer interpret the results as evidence about the moderating effect of delegation itself</w:t>
      </w:r>
      <w:r w:rsidR="00D77DD3" w:rsidRPr="00814BAD">
        <w:rPr>
          <w:rFonts w:ascii="Calibri" w:eastAsia="Calibri" w:hAnsi="Calibri" w:cs="Calibri"/>
        </w:rPr>
        <w:t>.</w:t>
      </w:r>
    </w:p>
    <w:p w14:paraId="6C8DF9E8" w14:textId="77777777" w:rsidR="005269BB" w:rsidRPr="005269BB" w:rsidRDefault="00000000" w:rsidP="0089682E">
      <w:pPr>
        <w:numPr>
          <w:ilvl w:val="0"/>
          <w:numId w:val="1"/>
        </w:numPr>
        <w:spacing w:before="120" w:after="120" w:line="360" w:lineRule="auto"/>
        <w:jc w:val="both"/>
        <w:rPr>
          <w:rFonts w:ascii="Calibri" w:eastAsia="Calibri" w:hAnsi="Calibri" w:cs="Calibri"/>
        </w:rPr>
      </w:pPr>
      <w:r w:rsidRPr="00D77DD3">
        <w:rPr>
          <w:rFonts w:ascii="Calibri" w:eastAsia="Calibri" w:hAnsi="Calibri" w:cs="Calibri"/>
          <w:color w:val="212121"/>
        </w:rPr>
        <w:t>The Highlights appear to belong to another version of the manuscript. They mention variables such as ideology and institutional trust, which are not measured in the study. This should be corrected before the manuscript can be evaluated further.</w:t>
      </w:r>
    </w:p>
    <w:p w14:paraId="7C42049E" w14:textId="6360F881" w:rsidR="00D77DD3" w:rsidRPr="00D77DD3" w:rsidRDefault="00000000" w:rsidP="005269BB">
      <w:pPr>
        <w:spacing w:before="120" w:after="120" w:line="360" w:lineRule="auto"/>
        <w:ind w:left="720"/>
        <w:jc w:val="both"/>
        <w:rPr>
          <w:rFonts w:ascii="Calibri" w:eastAsia="Calibri" w:hAnsi="Calibri" w:cs="Calibri"/>
        </w:rPr>
      </w:pPr>
      <w:r w:rsidRPr="00D77DD3">
        <w:rPr>
          <w:rFonts w:ascii="Calibri" w:eastAsia="Calibri" w:hAnsi="Calibri" w:cs="Calibri"/>
          <w:color w:val="FF0000"/>
        </w:rPr>
        <w:t>Thank you for this comment. We have completely rewritten the Highlights.</w:t>
      </w:r>
    </w:p>
    <w:p w14:paraId="5F451DF7" w14:textId="77777777" w:rsidR="005269BB" w:rsidRPr="005269BB" w:rsidRDefault="00000000" w:rsidP="0089682E">
      <w:pPr>
        <w:numPr>
          <w:ilvl w:val="0"/>
          <w:numId w:val="1"/>
        </w:numPr>
        <w:spacing w:before="120" w:after="120" w:line="360" w:lineRule="auto"/>
        <w:jc w:val="both"/>
        <w:rPr>
          <w:rFonts w:ascii="Calibri" w:eastAsia="Calibri" w:hAnsi="Calibri" w:cs="Calibri"/>
        </w:rPr>
      </w:pPr>
      <w:r w:rsidRPr="00D77DD3">
        <w:rPr>
          <w:rFonts w:ascii="Calibri" w:eastAsia="Calibri" w:hAnsi="Calibri" w:cs="Calibri"/>
          <w:color w:val="212121"/>
        </w:rPr>
        <w:t>The treatment arms do not only use different frames. They also give respondents different information. The rescue arm adds information about limited treatment options. The health maximisation arm adds information about opportunity costs. Therefore, the estimated differences may reflect information effects, not only framing effects.</w:t>
      </w:r>
    </w:p>
    <w:p w14:paraId="096B65E4" w14:textId="265D5210" w:rsidR="00D77DD3" w:rsidRPr="00814BAD" w:rsidRDefault="005F6E9E" w:rsidP="005269BB">
      <w:pPr>
        <w:spacing w:before="120" w:after="120" w:line="360" w:lineRule="auto"/>
        <w:ind w:left="720"/>
        <w:jc w:val="both"/>
        <w:rPr>
          <w:rFonts w:ascii="Calibri" w:eastAsia="Calibri" w:hAnsi="Calibri" w:cs="Calibri"/>
          <w:color w:val="FF0000"/>
        </w:rPr>
      </w:pPr>
      <w:r w:rsidRPr="00814BAD">
        <w:rPr>
          <w:rFonts w:ascii="Calibri" w:eastAsia="Calibri" w:hAnsi="Calibri" w:cs="Calibri"/>
          <w:color w:val="FF0000"/>
        </w:rPr>
        <w:t>Thank you. We agree that the treatments vary not only presentation but also the substantive consideration made salient. We have clarified this in Section 3, Method, in the paragraph immediately preceding Table 1, where we explain that framing may operate “by giving different information or emphasizing certain aspects over others.” Table 1 now allows readers to compare the common clinical vignette with the arm-specific additions: limited remaining treatment options in the rescue condition and opportunity costs in the health-maximisation condition. We also address the resulting limitation in Section 5, Discussion, in the limitations paragraph beginning “Several limitations qualify these conclusions,” where we state: “Third, because both treatments added text while the control did not, we cannot separate framing effects from additional information or processing demands.” Accordingly, we interpret the estimates as the total effects of the assigned informational justifications and do not attribute them exclusively to framing.</w:t>
      </w:r>
    </w:p>
    <w:p w14:paraId="54405E6D" w14:textId="77777777" w:rsidR="00D74FBB" w:rsidRPr="00D74FBB" w:rsidRDefault="00000000" w:rsidP="0089682E">
      <w:pPr>
        <w:numPr>
          <w:ilvl w:val="0"/>
          <w:numId w:val="1"/>
        </w:numPr>
        <w:spacing w:before="120" w:after="120" w:line="360" w:lineRule="auto"/>
        <w:jc w:val="both"/>
        <w:rPr>
          <w:rFonts w:ascii="Calibri" w:eastAsia="Calibri" w:hAnsi="Calibri" w:cs="Calibri"/>
        </w:rPr>
      </w:pPr>
      <w:r w:rsidRPr="00D77DD3">
        <w:rPr>
          <w:rFonts w:ascii="Calibri" w:eastAsia="Calibri" w:hAnsi="Calibri" w:cs="Calibri"/>
          <w:color w:val="212121"/>
        </w:rPr>
        <w:t>The two treatment arms may operate through different mechanisms. The rescue condition may increase support because it highlights patients with few remaining options. The health maximisation condition may reduce support because it highlights opportunity costs and cuts to other healthcare services. These mechanisms are not equivalent to a simple gain versus loss contrast. The manuscript should therefore be more cautious in attributing the full treatment difference to prospect theory.</w:t>
      </w:r>
    </w:p>
    <w:p w14:paraId="3371BFDC" w14:textId="77777777" w:rsidR="000620B1" w:rsidRPr="000620B1" w:rsidRDefault="000620B1" w:rsidP="00EB6CC7">
      <w:pPr>
        <w:spacing w:before="120" w:after="120" w:line="360" w:lineRule="auto"/>
        <w:ind w:left="720"/>
        <w:jc w:val="both"/>
        <w:rPr>
          <w:rFonts w:ascii="Calibri" w:eastAsia="Calibri" w:hAnsi="Calibri" w:cs="Calibri"/>
        </w:rPr>
      </w:pPr>
      <w:r w:rsidRPr="000620B1">
        <w:rPr>
          <w:rFonts w:ascii="Calibri" w:eastAsia="Calibri" w:hAnsi="Calibri" w:cs="Calibri"/>
          <w:color w:val="FF0000"/>
        </w:rPr>
        <w:t xml:space="preserve">We agree. The revised manuscript now explicitly recognizes that the two treatments may operate through distinct processes: limited remaining treatment options in the rescue condition and salient opportunity costs in the health-maximisation condition. We accordingly present prospect </w:t>
      </w:r>
      <w:r w:rsidRPr="000620B1">
        <w:rPr>
          <w:rFonts w:ascii="Calibri" w:eastAsia="Calibri" w:hAnsi="Calibri" w:cs="Calibri"/>
          <w:color w:val="FF0000"/>
        </w:rPr>
        <w:lastRenderedPageBreak/>
        <w:t>theory as one plausible theoretical account of the directional pattern, rather than attributing the entire treatment difference to a common gain–loss mechanism. This qualification is stated in both the Discussion and the limitations concerning the absence of mechanism measures.</w:t>
      </w:r>
    </w:p>
    <w:p w14:paraId="4A32875D" w14:textId="0E2819C8" w:rsidR="00812180" w:rsidRDefault="00000000" w:rsidP="0089682E">
      <w:pPr>
        <w:numPr>
          <w:ilvl w:val="0"/>
          <w:numId w:val="1"/>
        </w:numPr>
        <w:spacing w:before="120" w:after="120" w:line="360" w:lineRule="auto"/>
        <w:jc w:val="both"/>
        <w:rPr>
          <w:rFonts w:ascii="Calibri" w:eastAsia="Calibri" w:hAnsi="Calibri" w:cs="Calibri"/>
        </w:rPr>
      </w:pPr>
      <w:r w:rsidRPr="00812180">
        <w:rPr>
          <w:rFonts w:ascii="Calibri" w:eastAsia="Calibri" w:hAnsi="Calibri" w:cs="Calibri"/>
          <w:color w:val="212121"/>
        </w:rPr>
        <w:t>The control condition is shorter than the two treatment conditions. This creates a possible text length and task difficulty problem. Both treatment arms increase Don't know responses. This pattern may reflect added information, increased complexity, or respondent uncertainty.</w:t>
      </w:r>
    </w:p>
    <w:p w14:paraId="2EB40C26" w14:textId="77777777" w:rsidR="0019563A" w:rsidRPr="0019563A" w:rsidRDefault="0019563A" w:rsidP="0019563A">
      <w:pPr>
        <w:spacing w:before="120" w:after="120" w:line="360" w:lineRule="auto"/>
        <w:ind w:left="720"/>
        <w:jc w:val="both"/>
        <w:rPr>
          <w:rFonts w:ascii="Calibri" w:eastAsia="Calibri" w:hAnsi="Calibri" w:cs="Calibri"/>
          <w:color w:val="FF0000"/>
        </w:rPr>
      </w:pPr>
      <w:r w:rsidRPr="0019563A">
        <w:rPr>
          <w:rFonts w:ascii="Calibri" w:eastAsia="Calibri" w:hAnsi="Calibri" w:cs="Calibri"/>
          <w:color w:val="FF0000"/>
        </w:rPr>
        <w:t>Thank you for raising this concern. We agree that unequal treatment length prevents us from separating the semantic content of the frames from shared effects of additional information, processing demands, or uncertainty. The revised limitations state: “Because both treatments added text while the control did not, we cannot separate framing effects from additional information or processing demands. Future studies should employ a length-matched neutral control.”</w:t>
      </w:r>
    </w:p>
    <w:p w14:paraId="6C114329" w14:textId="7069E708" w:rsidR="0019563A" w:rsidRPr="0019563A" w:rsidRDefault="0019563A" w:rsidP="0019563A">
      <w:pPr>
        <w:spacing w:before="120" w:after="120" w:line="360" w:lineRule="auto"/>
        <w:ind w:left="720"/>
        <w:jc w:val="both"/>
        <w:rPr>
          <w:rFonts w:ascii="Calibri" w:eastAsia="Calibri" w:hAnsi="Calibri" w:cs="Calibri"/>
          <w:color w:val="FF0000"/>
        </w:rPr>
      </w:pPr>
      <w:r w:rsidRPr="0019563A">
        <w:rPr>
          <w:rFonts w:ascii="Calibri" w:eastAsia="Calibri" w:hAnsi="Calibri" w:cs="Calibri"/>
          <w:color w:val="FF0000"/>
        </w:rPr>
        <w:t>We retain the unframed condition because our estimand is the total effect of adding each justification to the common vignette. Following Haaland et al. (2023), we now identify it as a “pure control,” suited to comparing the provision of particular information with no additional information. The Methods clarify that control respondents received the common clinical vignette without supplementary framing or justification.</w:t>
      </w:r>
    </w:p>
    <w:p w14:paraId="722D2B99" w14:textId="77777777" w:rsidR="0019563A" w:rsidRDefault="0019563A" w:rsidP="0019563A">
      <w:pPr>
        <w:spacing w:before="120" w:after="120" w:line="360" w:lineRule="auto"/>
        <w:ind w:left="720"/>
        <w:jc w:val="both"/>
        <w:rPr>
          <w:rFonts w:ascii="Calibri" w:eastAsia="Calibri" w:hAnsi="Calibri" w:cs="Calibri"/>
          <w:color w:val="FF0000"/>
        </w:rPr>
      </w:pPr>
      <w:r w:rsidRPr="0019563A">
        <w:rPr>
          <w:rFonts w:ascii="Calibri" w:eastAsia="Calibri" w:hAnsi="Calibri" w:cs="Calibri"/>
          <w:color w:val="FF0000"/>
        </w:rPr>
        <w:t>We also now treat “I don’t know” as a substantive outcome rather than unusable data. The full-sample multinomial logit, which retains these responses, is the primary model and reports arm-specific predicted probabilities with 95% confidence intervals. The Discussion considers their increase as potentially reflecting uncertainty or processing demands. The ordinal model excluding “I don’t know” is retained as a sensitivity analysis, with comparable substantive conclusions across specifications.</w:t>
      </w:r>
    </w:p>
    <w:p w14:paraId="326241F8" w14:textId="05503C7D" w:rsidR="0099138D" w:rsidRDefault="00000000" w:rsidP="0019563A">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t>The authors should report full sample models that include Don't know responses. They should also report sensitivity analyses that show whether the main conclusions depend on excluding these respondents. The increase in Don't know responses should be discussed as a substantive result. It may show uncertainty, confusion, ambivalence, or lower confidence in the decision. It should not be treated only as a missing or unusable response.</w:t>
      </w:r>
    </w:p>
    <w:p w14:paraId="71FD1D1B" w14:textId="77777777" w:rsidR="000F6F26" w:rsidRPr="000F6F26" w:rsidRDefault="000F6F26" w:rsidP="000F6F26">
      <w:pPr>
        <w:spacing w:before="120" w:after="120" w:line="360" w:lineRule="auto"/>
        <w:ind w:left="720"/>
        <w:jc w:val="both"/>
        <w:rPr>
          <w:rFonts w:ascii="Calibri" w:eastAsia="Calibri" w:hAnsi="Calibri" w:cs="Calibri"/>
          <w:color w:val="FF0000"/>
        </w:rPr>
      </w:pPr>
      <w:r w:rsidRPr="000F6F26">
        <w:rPr>
          <w:rFonts w:ascii="Calibri" w:eastAsia="Calibri" w:hAnsi="Calibri" w:cs="Calibri"/>
          <w:color w:val="FF0000"/>
        </w:rPr>
        <w:t xml:space="preserve">Thank you. We agree that “I don’t know” responses should be retained and interpreted as substantively meaningful. We have therefore made the full-sample multinomial logit—which </w:t>
      </w:r>
      <w:r w:rsidRPr="000F6F26">
        <w:rPr>
          <w:rFonts w:ascii="Calibri" w:eastAsia="Calibri" w:hAnsi="Calibri" w:cs="Calibri"/>
          <w:color w:val="FF0000"/>
        </w:rPr>
        <w:lastRenderedPageBreak/>
        <w:t>includes “I don’t know” as a fourth outcome—the paper’s primary model. The main-results figure and accompanying predicted-probability table report estimates for all four response categories with 95% confidence intervals, while the full regression table reports the corresponding multinomial estimates.</w:t>
      </w:r>
    </w:p>
    <w:p w14:paraId="6FDECF5F" w14:textId="39625E1B" w:rsidR="000F6F26" w:rsidRPr="000F6F26" w:rsidRDefault="000F6F26" w:rsidP="000F6F26">
      <w:pPr>
        <w:spacing w:before="120" w:after="120" w:line="360" w:lineRule="auto"/>
        <w:ind w:left="720"/>
        <w:jc w:val="both"/>
        <w:rPr>
          <w:rFonts w:ascii="Calibri" w:eastAsia="Calibri" w:hAnsi="Calibri" w:cs="Calibri"/>
          <w:color w:val="FF0000"/>
        </w:rPr>
      </w:pPr>
      <w:r w:rsidRPr="000F6F26">
        <w:rPr>
          <w:rFonts w:ascii="Calibri" w:eastAsia="Calibri" w:hAnsi="Calibri" w:cs="Calibri"/>
          <w:color w:val="FF0000"/>
        </w:rPr>
        <w:t>We retain the ordered logit, which excludes “I don’t know,” as a sensitivity analysis. Figure OA1 in the Online Appendix directly compares predicted probabilities from the multinomial and ordinal specifications. The estimates for the three substantive funding outcomes are comparable across models, indicating that the main conclusions do not depend on excluding uncertain respondents.</w:t>
      </w:r>
    </w:p>
    <w:p w14:paraId="1DD3FAD0" w14:textId="77777777" w:rsidR="000F6F26" w:rsidRDefault="000F6F26" w:rsidP="000F6F26">
      <w:pPr>
        <w:spacing w:before="120" w:after="120" w:line="360" w:lineRule="auto"/>
        <w:ind w:left="720"/>
        <w:jc w:val="both"/>
        <w:rPr>
          <w:rFonts w:ascii="Calibri" w:eastAsia="Calibri" w:hAnsi="Calibri" w:cs="Calibri"/>
          <w:color w:val="FF0000"/>
        </w:rPr>
      </w:pPr>
      <w:r w:rsidRPr="000F6F26">
        <w:rPr>
          <w:rFonts w:ascii="Calibri" w:eastAsia="Calibri" w:hAnsi="Calibri" w:cs="Calibri"/>
          <w:color w:val="FF0000"/>
        </w:rPr>
        <w:t>Finally, the Discussion now treats the increase in “I don’t know” as a result rather than as missing data: “Both frames increased ‘I don’t know’ responses, a substantive pattern consistent with lower response confidence rather than unusable data.” We note that this pattern may reflect additional complexity or uncertainty and recommend that future studies distinguish these possibilities using length-matched conditions and direct measures of response confidence.</w:t>
      </w:r>
    </w:p>
    <w:p w14:paraId="09F8AEF8" w14:textId="15133B3B" w:rsidR="00EC629F" w:rsidRPr="00EC629F" w:rsidRDefault="00000000" w:rsidP="000F6F26">
      <w:pPr>
        <w:numPr>
          <w:ilvl w:val="0"/>
          <w:numId w:val="1"/>
        </w:numPr>
        <w:spacing w:before="120" w:after="120" w:line="360" w:lineRule="auto"/>
        <w:jc w:val="both"/>
        <w:rPr>
          <w:rFonts w:ascii="Calibri" w:eastAsia="Calibri" w:hAnsi="Calibri" w:cs="Calibri"/>
          <w:color w:val="FF0000"/>
        </w:rPr>
      </w:pPr>
      <w:r w:rsidRPr="00EC629F">
        <w:rPr>
          <w:rFonts w:ascii="Calibri" w:eastAsia="Calibri" w:hAnsi="Calibri" w:cs="Calibri"/>
          <w:color w:val="212121"/>
        </w:rPr>
        <w:t>The ordinal logit model assumes that each predictor has the same effect across the response thresholds. This assumption may not hold here because the frames may affect rejection, conditional funding, and unconditional funding in different ways. The authors should test the proportional odds assumption or use a model that relaxes it. Reporting a multinomial logit model is useful, but it does not by itself show that the ordinal logit assumption is valid.</w:t>
      </w:r>
    </w:p>
    <w:p w14:paraId="068F0726" w14:textId="0F056430" w:rsidR="00EC629F" w:rsidRDefault="00000000" w:rsidP="00EC629F">
      <w:pPr>
        <w:spacing w:before="120" w:after="120" w:line="360" w:lineRule="auto"/>
        <w:ind w:left="720"/>
        <w:jc w:val="both"/>
        <w:rPr>
          <w:rFonts w:ascii="Calibri" w:eastAsia="Calibri" w:hAnsi="Calibri" w:cs="Calibri"/>
          <w:color w:val="FF0000"/>
        </w:rPr>
      </w:pPr>
      <w:r w:rsidRPr="00EC629F">
        <w:rPr>
          <w:rFonts w:ascii="Calibri" w:eastAsia="Calibri" w:hAnsi="Calibri" w:cs="Calibri"/>
          <w:color w:val="FF0000"/>
        </w:rPr>
        <w:t xml:space="preserve">Yes, another valid and important suggestion. The likelihood-ratio test actually rejects the proportional-odds assumption. Consequently, we have added the following sentence </w:t>
      </w:r>
      <w:r w:rsidR="00144D62">
        <w:rPr>
          <w:rFonts w:ascii="Calibri" w:eastAsia="Calibri" w:hAnsi="Calibri" w:cs="Calibri"/>
          <w:color w:val="FF0000"/>
        </w:rPr>
        <w:t xml:space="preserve">in </w:t>
      </w:r>
      <w:r w:rsidRPr="00EC629F">
        <w:rPr>
          <w:rFonts w:ascii="Calibri" w:eastAsia="Calibri" w:hAnsi="Calibri" w:cs="Calibri"/>
          <w:color w:val="FF0000"/>
        </w:rPr>
        <w:t xml:space="preserve">footnote </w:t>
      </w:r>
      <w:r w:rsidR="00F56B10">
        <w:rPr>
          <w:rFonts w:ascii="Calibri" w:eastAsia="Calibri" w:hAnsi="Calibri" w:cs="Calibri"/>
          <w:color w:val="FF0000"/>
        </w:rPr>
        <w:t>2</w:t>
      </w:r>
      <w:r w:rsidRPr="00EC629F">
        <w:rPr>
          <w:rFonts w:ascii="Calibri" w:eastAsia="Calibri" w:hAnsi="Calibri" w:cs="Calibri"/>
          <w:color w:val="FF0000"/>
        </w:rPr>
        <w:t>:</w:t>
      </w:r>
    </w:p>
    <w:p w14:paraId="0C28190C" w14:textId="36A8DB05" w:rsidR="00285277" w:rsidRDefault="00000000" w:rsidP="00285277">
      <w:pPr>
        <w:spacing w:before="120" w:after="120" w:line="360" w:lineRule="auto"/>
        <w:ind w:left="720"/>
        <w:jc w:val="both"/>
        <w:rPr>
          <w:rFonts w:ascii="Calibri" w:eastAsia="Calibri" w:hAnsi="Calibri" w:cs="Calibri"/>
          <w:color w:val="FF0000"/>
        </w:rPr>
      </w:pPr>
      <w:r w:rsidRPr="00D77DD3">
        <w:rPr>
          <w:rFonts w:ascii="Calibri" w:eastAsia="Calibri" w:hAnsi="Calibri" w:cs="Calibri"/>
          <w:color w:val="FF0000"/>
        </w:rPr>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p>
    <w:p w14:paraId="65505B4C" w14:textId="77777777" w:rsidR="00285277" w:rsidRDefault="00000000" w:rsidP="00285277">
      <w:pPr>
        <w:spacing w:before="120" w:after="120" w:line="360" w:lineRule="auto"/>
        <w:ind w:left="720"/>
        <w:jc w:val="both"/>
        <w:rPr>
          <w:rFonts w:ascii="Calibri" w:eastAsia="Calibri" w:hAnsi="Calibri" w:cs="Calibri"/>
          <w:color w:val="FF0000"/>
        </w:rPr>
      </w:pPr>
      <w:r w:rsidRPr="00D77DD3">
        <w:rPr>
          <w:rFonts w:ascii="Calibri" w:eastAsia="Calibri" w:hAnsi="Calibri" w:cs="Calibri"/>
          <w:color w:val="FF0000"/>
        </w:rPr>
        <w:t xml:space="preserve">This is another reason why keeping the multinomial model as the main model of the paper is actually better (effectively following your advice of “[using] a[nother] model that relaxes [such assumption]”). </w:t>
      </w:r>
    </w:p>
    <w:p w14:paraId="662F41EE" w14:textId="77777777" w:rsidR="00285277" w:rsidRDefault="00000000" w:rsidP="00285277">
      <w:pPr>
        <w:spacing w:before="120" w:after="120" w:line="360" w:lineRule="auto"/>
        <w:ind w:left="720"/>
        <w:jc w:val="both"/>
        <w:rPr>
          <w:rFonts w:ascii="Calibri" w:eastAsia="Calibri" w:hAnsi="Calibri" w:cs="Calibri"/>
          <w:color w:val="FF0000"/>
        </w:rPr>
      </w:pPr>
      <w:r w:rsidRPr="00D77DD3">
        <w:rPr>
          <w:rFonts w:ascii="Calibri" w:eastAsia="Calibri" w:hAnsi="Calibri" w:cs="Calibri"/>
          <w:color w:val="FF0000"/>
        </w:rPr>
        <w:t>We thank you for this suggestion too.</w:t>
      </w:r>
    </w:p>
    <w:p w14:paraId="3DF214DC" w14:textId="77777777" w:rsidR="00BC0A18" w:rsidRDefault="00000000" w:rsidP="0089682E">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lastRenderedPageBreak/>
        <w:t>The manuscript should show the raw outcome distributions by experimental arm. Readers need to see the basic differences across groups before interpreting model based estimates.</w:t>
      </w:r>
    </w:p>
    <w:p w14:paraId="7E37694A" w14:textId="12C84B59" w:rsidR="00786D46" w:rsidRDefault="00000000" w:rsidP="00786D46">
      <w:pPr>
        <w:spacing w:before="120" w:after="120" w:line="360" w:lineRule="auto"/>
        <w:ind w:left="720"/>
        <w:jc w:val="both"/>
        <w:rPr>
          <w:rFonts w:ascii="Calibri" w:eastAsia="Calibri" w:hAnsi="Calibri" w:cs="Calibri"/>
          <w:color w:val="FF0000"/>
        </w:rPr>
      </w:pPr>
      <w:r w:rsidRPr="00BC0A18">
        <w:rPr>
          <w:rFonts w:ascii="Calibri" w:eastAsia="Calibri" w:hAnsi="Calibri" w:cs="Calibri"/>
          <w:color w:val="FF0000"/>
        </w:rPr>
        <w:t xml:space="preserve">We agree and have added a new Figure 1 presenting the raw outcome distributions by experimental arm </w:t>
      </w:r>
      <w:r w:rsidRPr="00BC0A18">
        <w:rPr>
          <w:rFonts w:ascii="Calibri" w:eastAsia="Calibri" w:hAnsi="Calibri" w:cs="Calibri"/>
          <w:i/>
          <w:iCs/>
          <w:color w:val="FF0000"/>
        </w:rPr>
        <w:t>before</w:t>
      </w:r>
      <w:r w:rsidRPr="00BC0A18">
        <w:rPr>
          <w:rFonts w:ascii="Calibri" w:eastAsia="Calibri" w:hAnsi="Calibri" w:cs="Calibri"/>
          <w:color w:val="FF0000"/>
        </w:rPr>
        <w:t xml:space="preserve"> the model-based results. As requested, the figure reports within-arm percentages and cell counts for all four response categories, including “I don’t know,” allowing readers to assess the unadjusted differences across conditions directly.</w:t>
      </w:r>
    </w:p>
    <w:p w14:paraId="54A8C03C" w14:textId="77777777" w:rsidR="00D041B7" w:rsidRDefault="00000000" w:rsidP="0089682E">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t>The regression reporting should be expanded. The full model table should include covariates, thresholds, sample sizes, fit statistics, weighting details, and confidence intervals. Figure 2 should be supported by a table with exact predicted probabilities and 95 percent confidence intervals.</w:t>
      </w:r>
    </w:p>
    <w:p w14:paraId="21D9EEC0" w14:textId="5262B297" w:rsidR="00E81BAF" w:rsidRDefault="00255874" w:rsidP="00E81BAF">
      <w:pPr>
        <w:spacing w:before="120" w:after="120" w:line="360" w:lineRule="auto"/>
        <w:ind w:left="720"/>
        <w:jc w:val="both"/>
        <w:rPr>
          <w:rFonts w:ascii="Calibri" w:eastAsia="Calibri" w:hAnsi="Calibri" w:cs="Calibri"/>
          <w:color w:val="FF0000"/>
        </w:rPr>
      </w:pPr>
      <w:r w:rsidRPr="00255874">
        <w:rPr>
          <w:rFonts w:ascii="Calibri" w:eastAsia="Calibri" w:hAnsi="Calibri" w:cs="Calibri"/>
          <w:color w:val="FF0000"/>
        </w:rPr>
        <w:t>Thank you. We now report the complete weighted multinomial and ordinal-logit specifications—including all covariates, thresholds, sample sizes, fit statistics, weighting details, and 95% confidence intervals—in Table OA1. Figure 3 is supported by Table 2, which reports predicted probabilities and 95% confidence intervals for all four outcomes</w:t>
      </w:r>
      <w:r w:rsidR="00000000" w:rsidRPr="00D041B7">
        <w:rPr>
          <w:rFonts w:ascii="Times New Roman" w:eastAsia="Times New Roman" w:hAnsi="Times New Roman" w:cs="Times New Roman"/>
          <w:color w:val="FF0000"/>
        </w:rPr>
        <w:t>.</w:t>
      </w:r>
    </w:p>
    <w:p w14:paraId="3EBF505F" w14:textId="77777777" w:rsidR="00873C4D" w:rsidRDefault="00000000" w:rsidP="0089682E">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t>The use of survey weights needs a clearer explanation. The sample comes from a non probability online panel with quota recruitment. Weights can improve balance with population margins, but they do not provide standard design based population inference. The authors should report unweighted results and soften claims about representativeness.</w:t>
      </w:r>
    </w:p>
    <w:p w14:paraId="64E7AAF7" w14:textId="7AB4DC9D" w:rsidR="004008A6" w:rsidRPr="004008A6" w:rsidRDefault="004008A6" w:rsidP="002C1A38">
      <w:pPr>
        <w:pStyle w:val="ListParagraph"/>
        <w:spacing w:before="120" w:after="120" w:line="360" w:lineRule="auto"/>
        <w:jc w:val="both"/>
        <w:rPr>
          <w:rFonts w:ascii="Calibri" w:eastAsia="Calibri" w:hAnsi="Calibri" w:cs="Calibri"/>
          <w:color w:val="FF0000"/>
        </w:rPr>
      </w:pPr>
      <w:r w:rsidRPr="004008A6">
        <w:rPr>
          <w:rFonts w:ascii="Calibri" w:eastAsia="Calibri" w:hAnsi="Calibri" w:cs="Calibri"/>
          <w:color w:val="FF0000"/>
        </w:rPr>
        <w:t>Thank you. We agree that calibration weights cannot convert a quota-recruited, non-probability panel into a probability sample. We have therefore removed the description of the study as “population-based” and clarified in the Methods that the weights improve alignment with observed population margins but “do not eliminate selection bias or support design-based inference to the Finnish adult population.” The Discussion similarly notes that calibration weights cannot correct unobserved selection into the panel.</w:t>
      </w:r>
    </w:p>
    <w:p w14:paraId="7FCA03CA" w14:textId="6E44C24C" w:rsidR="004008A6" w:rsidRPr="004008A6" w:rsidRDefault="004008A6" w:rsidP="002C1A38">
      <w:pPr>
        <w:pStyle w:val="ListParagraph"/>
        <w:spacing w:before="120" w:after="120" w:line="360" w:lineRule="auto"/>
        <w:jc w:val="both"/>
        <w:rPr>
          <w:rFonts w:ascii="Calibri" w:eastAsia="Calibri" w:hAnsi="Calibri" w:cs="Calibri"/>
          <w:color w:val="FF0000"/>
        </w:rPr>
      </w:pPr>
      <w:r w:rsidRPr="004008A6">
        <w:rPr>
          <w:rFonts w:ascii="Calibri" w:eastAsia="Calibri" w:hAnsi="Calibri" w:cs="Calibri"/>
          <w:color w:val="FF0000"/>
        </w:rPr>
        <w:t>We also report complete unweighted multinomial and ordinal-logit specifications in Table OA</w:t>
      </w:r>
      <w:r w:rsidR="00B14F33">
        <w:rPr>
          <w:rFonts w:ascii="Calibri" w:eastAsia="Calibri" w:hAnsi="Calibri" w:cs="Calibri"/>
          <w:color w:val="FF0000"/>
        </w:rPr>
        <w:t>2</w:t>
      </w:r>
      <w:r w:rsidRPr="004008A6">
        <w:rPr>
          <w:rFonts w:ascii="Calibri" w:eastAsia="Calibri" w:hAnsi="Calibri" w:cs="Calibri"/>
          <w:color w:val="FF0000"/>
        </w:rPr>
        <w:t>. The weighted and unweighted results are substantively comparable: all eight framing coefficients retain the same direction, and every unweighted confidence interval overlaps its weighted counterpart. The loss-frame effect on unconditional funding, both frame effects on “I don’t know,” and the ordinal loss-frame effect remain distinguishable from the null. Without weights, however, the loss-frame contrast for conditional funding, the gains-frame contrast for unconditional funding, and the ordinal gains effect no longer exclude the null at 95%.</w:t>
      </w:r>
    </w:p>
    <w:p w14:paraId="00000052" w14:textId="04004A4E" w:rsidR="00B45748" w:rsidRPr="00BF12C7" w:rsidRDefault="004008A6" w:rsidP="002C1A38">
      <w:pPr>
        <w:pStyle w:val="ListParagraph"/>
        <w:spacing w:before="120" w:after="120" w:line="360" w:lineRule="auto"/>
        <w:jc w:val="both"/>
        <w:rPr>
          <w:rFonts w:ascii="Times New Roman" w:eastAsia="Times New Roman" w:hAnsi="Times New Roman" w:cs="Times New Roman"/>
          <w:color w:val="FF0000"/>
        </w:rPr>
      </w:pPr>
      <w:r w:rsidRPr="004008A6">
        <w:rPr>
          <w:rFonts w:ascii="Calibri" w:eastAsia="Calibri" w:hAnsi="Calibri" w:cs="Calibri"/>
          <w:color w:val="FF0000"/>
        </w:rPr>
        <w:lastRenderedPageBreak/>
        <w:t>We therefore conclude that weighting affects the precision of some contrasts but not the overall directional pattern. Given its length, the complete unweighted table is reported in the Online Appendix.</w:t>
      </w:r>
    </w:p>
    <w:p w14:paraId="19D60FFF" w14:textId="77777777" w:rsidR="00B2727F" w:rsidRPr="00B2727F" w:rsidRDefault="00000000" w:rsidP="0089682E">
      <w:pPr>
        <w:numPr>
          <w:ilvl w:val="0"/>
          <w:numId w:val="1"/>
        </w:numPr>
        <w:spacing w:before="120" w:after="120" w:line="360" w:lineRule="auto"/>
        <w:jc w:val="both"/>
        <w:rPr>
          <w:rFonts w:ascii="Calibri" w:eastAsia="Calibri" w:hAnsi="Calibri" w:cs="Calibri"/>
          <w:color w:val="FF0000"/>
        </w:rPr>
      </w:pPr>
      <w:r w:rsidRPr="00B2727F">
        <w:rPr>
          <w:rFonts w:ascii="Calibri" w:eastAsia="Calibri" w:hAnsi="Calibri" w:cs="Calibri"/>
          <w:color w:val="212121"/>
        </w:rPr>
        <w:t>The contribution to the existing literature needs to be clearer. Prior studies have already examined framing, opportunity costs, and public preferences in priority setting. Since this study does not test institutional insulation, the authors should explain its contribution as a focused framing study.</w:t>
      </w:r>
    </w:p>
    <w:p w14:paraId="03C27BF9" w14:textId="7CCD096D" w:rsidR="00850170" w:rsidRDefault="003A4B1A" w:rsidP="00850170">
      <w:pPr>
        <w:spacing w:before="120" w:after="120" w:line="360" w:lineRule="auto"/>
        <w:ind w:left="720"/>
        <w:jc w:val="both"/>
        <w:rPr>
          <w:rFonts w:ascii="Calibri" w:eastAsia="Calibri" w:hAnsi="Calibri" w:cs="Calibri"/>
          <w:color w:val="FF0000"/>
        </w:rPr>
      </w:pPr>
      <w:r w:rsidRPr="00F62984">
        <w:rPr>
          <w:rFonts w:ascii="Calibri" w:eastAsia="Calibri" w:hAnsi="Calibri" w:cs="Calibri"/>
          <w:color w:val="FF0000"/>
        </w:rPr>
        <w:t>Thank you. We agree that the contribution should be presented as a focused framing study rather than as a test of institutional insulation. We have revised the Introduction to acknowledge the prior literature on framing, opportunity-cost salience, and public preferences in priority setting. We now define our narrower contribution as estimating how rescue-oriented and resource-preservation justifications redistribute stated support across several funding options—including uncertainty—within the Finnish reimbursement context; institutional delegation is treated as the setting rather than the manipulated explanatory variable</w:t>
      </w:r>
      <w:r w:rsidR="00850170" w:rsidRPr="00F62984">
        <w:rPr>
          <w:rFonts w:ascii="Calibri" w:eastAsia="Calibri" w:hAnsi="Calibri" w:cs="Calibri"/>
          <w:color w:val="FF0000"/>
        </w:rPr>
        <w:t>.</w:t>
      </w:r>
    </w:p>
    <w:p w14:paraId="7BBB0F48" w14:textId="77777777" w:rsidR="00E74AA9" w:rsidRPr="00E74AA9" w:rsidRDefault="00000000" w:rsidP="00E74AA9">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t>The response scale may channel different views into the conditional funding category. Some respondents may choose it because they support price negotiation. Others may choose it because they are uncertain, because they want to avoid denying treatment, or because they view unconditional funding as too permissive. These are substantively different reasons, but the current measure cannot distinguish them. The manuscript should therefore discuss the modal conditional funding result as a possible measurement issue and should be cautious in drawing policy implications from it.</w:t>
      </w:r>
    </w:p>
    <w:p w14:paraId="1277A255" w14:textId="51A173DD" w:rsidR="00E74AA9" w:rsidRDefault="00FF4424" w:rsidP="00E74AA9">
      <w:pPr>
        <w:spacing w:before="120" w:after="120" w:line="360" w:lineRule="auto"/>
        <w:ind w:left="720"/>
        <w:jc w:val="both"/>
        <w:rPr>
          <w:rFonts w:ascii="Calibri" w:eastAsia="Calibri" w:hAnsi="Calibri" w:cs="Calibri"/>
          <w:color w:val="212121"/>
        </w:rPr>
      </w:pPr>
      <w:r w:rsidRPr="00F62984">
        <w:rPr>
          <w:rFonts w:ascii="Calibri" w:eastAsia="Calibri" w:hAnsi="Calibri" w:cs="Calibri"/>
          <w:color w:val="FF0000"/>
        </w:rPr>
        <w:t>Thank you. We agree that the conditional-funding category may pool several substantively different considerations. We now state explicitly that respondents may have selected it because they favored price negotiation, were uncertain, wished to avoid denying treatment, or regarded unconditional payment as too permissive. Rather than treating its modal status as evidence of a shared normative rationale, we now present normative attraction, status quo bias, and institutional framing as possible interpretations that the present measure cannot distinguish. We also identify follow-up measures capable of distinguishing these motivations as a priority for future research</w:t>
      </w:r>
      <w:r w:rsidR="00841821" w:rsidRPr="00F62984">
        <w:rPr>
          <w:rFonts w:ascii="Calibri" w:eastAsia="Calibri" w:hAnsi="Calibri" w:cs="Calibri"/>
          <w:color w:val="FF0000"/>
        </w:rPr>
        <w:t>.</w:t>
      </w:r>
    </w:p>
    <w:p w14:paraId="007CFBE9" w14:textId="77777777" w:rsidR="00E74AA9" w:rsidRPr="00E74AA9" w:rsidRDefault="00000000" w:rsidP="00E74AA9">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t xml:space="preserve">Several parts of the Discussion go beyond the evidence. The manuscript discusses political trust, ideology, system satisfaction, industry lobbying, patient organisations, and patient influencers. </w:t>
      </w:r>
      <w:r w:rsidRPr="00D77DD3">
        <w:rPr>
          <w:rFonts w:ascii="Calibri" w:eastAsia="Calibri" w:hAnsi="Calibri" w:cs="Calibri"/>
          <w:color w:val="212121"/>
        </w:rPr>
        <w:lastRenderedPageBreak/>
        <w:t>These topics are relevant to the broader policy area, but most are not measured in this study. The Discussion should be shortened and tied more closely to the results.</w:t>
      </w:r>
    </w:p>
    <w:p w14:paraId="56CA295C" w14:textId="77777777" w:rsidR="001914D9" w:rsidRDefault="001914D9" w:rsidP="001914D9">
      <w:pPr>
        <w:spacing w:before="120" w:after="120" w:line="360" w:lineRule="auto"/>
        <w:ind w:left="720"/>
        <w:jc w:val="both"/>
        <w:rPr>
          <w:rFonts w:ascii="Calibri" w:eastAsia="Calibri" w:hAnsi="Calibri" w:cs="Calibri"/>
          <w:color w:val="FF0000"/>
        </w:rPr>
      </w:pPr>
      <w:r w:rsidRPr="00F90136">
        <w:rPr>
          <w:rFonts w:ascii="Calibri" w:eastAsia="Calibri" w:hAnsi="Calibri" w:cs="Calibri"/>
          <w:color w:val="FF0000"/>
        </w:rPr>
        <w:t>Thank you. We agree and have shortened and refocused the Discussion. We removed or qualified claims concerning political trust, system satisfaction, organized advocacy, and other consequences not measured in the survey. The broader literature on expertise and delegation is retained only to situate the implications of the observed framing effects, and we now state explicitly that the experiment does not measure effects on legitimacy, accountability, or the influence of organized actors. The revised Discussion therefore distinguishes more clearly between the study’s findings and their possible broader implications.</w:t>
      </w:r>
    </w:p>
    <w:p w14:paraId="11E51273" w14:textId="388EBBDF" w:rsidR="00350EC0" w:rsidRPr="00350EC0" w:rsidRDefault="00000000" w:rsidP="00350EC0">
      <w:pPr>
        <w:numPr>
          <w:ilvl w:val="0"/>
          <w:numId w:val="1"/>
        </w:numPr>
        <w:spacing w:before="120" w:after="120" w:line="360" w:lineRule="auto"/>
        <w:jc w:val="both"/>
        <w:rPr>
          <w:rFonts w:ascii="Calibri" w:eastAsia="Calibri" w:hAnsi="Calibri" w:cs="Calibri"/>
          <w:color w:val="FF0000"/>
        </w:rPr>
      </w:pPr>
      <w:r w:rsidRPr="00D77DD3">
        <w:rPr>
          <w:rFonts w:ascii="Calibri" w:eastAsia="Calibri" w:hAnsi="Calibri" w:cs="Calibri"/>
          <w:color w:val="212121"/>
        </w:rPr>
        <w:t>The vignette wording needs clarification. The phrase about laboratory evidence destroying cancer cells may lead respondents to infer stronger clinical benefit than intended. The authors should clarify the source and meaning of this wording.</w:t>
      </w:r>
    </w:p>
    <w:p w14:paraId="09F2D068" w14:textId="77777777" w:rsidR="00DD0FEB" w:rsidRDefault="00000000" w:rsidP="00DD0FEB">
      <w:pPr>
        <w:spacing w:before="120" w:after="120" w:line="360" w:lineRule="auto"/>
        <w:ind w:left="720"/>
        <w:jc w:val="both"/>
        <w:rPr>
          <w:rFonts w:ascii="Calibri" w:eastAsia="Calibri" w:hAnsi="Calibri" w:cs="Calibri"/>
          <w:color w:val="212121"/>
        </w:rPr>
      </w:pPr>
      <w:r w:rsidRPr="00D77DD3">
        <w:rPr>
          <w:rFonts w:ascii="Calibri" w:eastAsia="Calibri" w:hAnsi="Calibri" w:cs="Calibri"/>
          <w:color w:val="FF0000"/>
        </w:rPr>
        <w:t xml:space="preserve">We thank the Reviewer for this important comment. We acknowledge that communicating highly technical clinical study outcomes to the general population can be challenging. In this respect, the vignette reflects the complexities of real-world health communication. Nevertheless, any effect of the wording is likely to have been similar across study arms, as all respondents received the same vignette. We have now explained this in more detail in the manuscript. </w:t>
      </w:r>
    </w:p>
    <w:p w14:paraId="053D358A" w14:textId="77777777" w:rsidR="00855FF5" w:rsidRDefault="00000000" w:rsidP="0089682E">
      <w:pPr>
        <w:numPr>
          <w:ilvl w:val="0"/>
          <w:numId w:val="1"/>
        </w:numPr>
        <w:spacing w:before="120" w:after="120" w:line="360" w:lineRule="auto"/>
        <w:jc w:val="both"/>
        <w:rPr>
          <w:rFonts w:ascii="Calibri" w:eastAsia="Calibri" w:hAnsi="Calibri" w:cs="Calibri"/>
          <w:color w:val="212121"/>
        </w:rPr>
      </w:pPr>
      <w:r w:rsidRPr="00D77DD3">
        <w:rPr>
          <w:rFonts w:ascii="Calibri" w:eastAsia="Calibri" w:hAnsi="Calibri" w:cs="Calibri"/>
          <w:color w:val="212121"/>
        </w:rPr>
        <w:t>The manuscript does not include manipulation checks or mechanism measures. The authors interpret the treatment effects as evidence of loss avoidance, gain preservation, and the rule of rescue, but the survey does not measure whether respondents actually perceived the treatments in these terms. It does not measure perceived patient loss, perceived opportunity cost, perceived absence of alternatives, or perceived moral obligation. The evidence therefore supports a treatment effect on stated funding preferences, but it does not identify the psychological mechanism behind that effect. The mechanism claims should be softened unless additional evidence is provided.</w:t>
      </w:r>
    </w:p>
    <w:p w14:paraId="31A598C4" w14:textId="77777777" w:rsidR="00F90136" w:rsidRPr="00F90136" w:rsidRDefault="00F90136" w:rsidP="00F90136">
      <w:pPr>
        <w:spacing w:before="120" w:after="120" w:line="360" w:lineRule="auto"/>
        <w:ind w:left="720"/>
        <w:jc w:val="both"/>
        <w:rPr>
          <w:rFonts w:ascii="Calibri" w:eastAsia="Calibri" w:hAnsi="Calibri" w:cs="Calibri"/>
          <w:color w:val="FF0000"/>
        </w:rPr>
      </w:pPr>
      <w:r w:rsidRPr="00F90136">
        <w:rPr>
          <w:rFonts w:ascii="Calibri" w:eastAsia="Calibri" w:hAnsi="Calibri" w:cs="Calibri"/>
          <w:color w:val="FF0000"/>
        </w:rPr>
        <w:t xml:space="preserve">Thank you. We agree that the experiment identifies the effects of the assigned frames on stated funding preferences but not the intervening psychological mechanisms. We retain prospect theory and the rule of rescue as the ex ante theoretical framework while consistently softening the empirical interpretation. The Abstract now refers to the rescue-oriented and resource-preservation frames rather than treating loss avoidance and gain preservation as observed processes. The Theory states that the treatments “may” elicit the proposed mechanisms, while </w:t>
      </w:r>
      <w:r w:rsidRPr="00F90136">
        <w:rPr>
          <w:rFonts w:ascii="Calibri" w:eastAsia="Calibri" w:hAnsi="Calibri" w:cs="Calibri"/>
          <w:color w:val="FF0000"/>
        </w:rPr>
        <w:lastRenderedPageBreak/>
        <w:t>the Methods no longer characterize the outcome categories as direct measures of risk-seeking or risk aversion.</w:t>
      </w:r>
    </w:p>
    <w:p w14:paraId="2FF21FEE" w14:textId="4E92C248" w:rsidR="0057708E" w:rsidRDefault="00F90136" w:rsidP="00F90136">
      <w:pPr>
        <w:spacing w:before="120" w:after="120" w:line="360" w:lineRule="auto"/>
        <w:ind w:left="720"/>
        <w:jc w:val="both"/>
        <w:rPr>
          <w:rFonts w:ascii="Calibri" w:eastAsia="Calibri" w:hAnsi="Calibri" w:cs="Calibri"/>
          <w:color w:val="212121"/>
        </w:rPr>
      </w:pPr>
      <w:r w:rsidRPr="00F90136">
        <w:rPr>
          <w:rFonts w:ascii="Calibri" w:eastAsia="Calibri" w:hAnsi="Calibri" w:cs="Calibri"/>
          <w:color w:val="FF0000"/>
        </w:rPr>
        <w:t>The Results now describe movements between more and less restrictive funding positions and characterize their direction as consistent with—but not proof of—prospect theory and the rule of rescue. Most importantly, we state: “Because the survey did not include manipulation checks or measures of perceived patient loss, opportunity cost, absence of alternatives, or moral obligation, the results do not establish which psychological process generated these effects.” The Discussion, limitations, and Conclusion reiterate this inferential boundary and identify manipulation checks and preregistered mechanism measures as priorities for future research.</w:t>
      </w:r>
    </w:p>
    <w:p w14:paraId="5D02456C" w14:textId="77777777" w:rsidR="0057708E" w:rsidRDefault="00000000" w:rsidP="0089682E">
      <w:pPr>
        <w:numPr>
          <w:ilvl w:val="0"/>
          <w:numId w:val="1"/>
        </w:numPr>
        <w:spacing w:before="120" w:after="120" w:line="360" w:lineRule="auto"/>
        <w:jc w:val="both"/>
        <w:rPr>
          <w:rFonts w:ascii="Calibri" w:eastAsia="Calibri" w:hAnsi="Calibri" w:cs="Calibri"/>
          <w:color w:val="212121"/>
        </w:rPr>
      </w:pPr>
      <w:r w:rsidRPr="00D77DD3">
        <w:rPr>
          <w:rFonts w:ascii="Calibri" w:eastAsia="Calibri" w:hAnsi="Calibri" w:cs="Calibri"/>
          <w:color w:val="212121"/>
        </w:rPr>
        <w:t>Overall, the manuscript has potential as a focused survey experiment on framing and public preferences for high cost cancer medicine funding. The key tasks are to correct the Highlights, narrow the central claim, address the framing and information confound, reanalyse Don't know responses, and improve statistical reporting.</w:t>
      </w:r>
    </w:p>
    <w:p w14:paraId="011CEE9D" w14:textId="77777777" w:rsidR="007D6157" w:rsidRDefault="00000000" w:rsidP="0057708E">
      <w:pPr>
        <w:spacing w:before="120" w:after="120" w:line="360" w:lineRule="auto"/>
        <w:ind w:left="720"/>
        <w:jc w:val="both"/>
        <w:rPr>
          <w:rFonts w:ascii="Calibri" w:eastAsia="Calibri" w:hAnsi="Calibri" w:cs="Calibri"/>
          <w:color w:val="FF0000"/>
        </w:rPr>
      </w:pPr>
      <w:r w:rsidRPr="0057708E">
        <w:rPr>
          <w:rFonts w:ascii="Calibri" w:eastAsia="Calibri" w:hAnsi="Calibri" w:cs="Calibri"/>
          <w:color w:val="FF0000"/>
        </w:rPr>
        <w:t>We are very grateful for the constructive comments we have received.</w:t>
      </w:r>
      <w:r w:rsidRPr="0057708E">
        <w:rPr>
          <w:rFonts w:ascii="Calibri" w:eastAsia="Calibri" w:hAnsi="Calibri" w:cs="Calibri"/>
        </w:rPr>
        <w:t xml:space="preserve"> </w:t>
      </w:r>
      <w:r w:rsidRPr="0057708E">
        <w:rPr>
          <w:rFonts w:ascii="Calibri" w:eastAsia="Calibri" w:hAnsi="Calibri" w:cs="Calibri"/>
          <w:color w:val="FF0000"/>
        </w:rPr>
        <w:t>We believe that taking the comments into account has significantly improved the manuscript.</w:t>
      </w:r>
    </w:p>
    <w:p w14:paraId="0B8FB5F8" w14:textId="19CE974B" w:rsidR="007D6157" w:rsidRDefault="00681035" w:rsidP="0057708E">
      <w:pPr>
        <w:spacing w:before="120" w:after="120" w:line="360" w:lineRule="auto"/>
        <w:ind w:left="720"/>
        <w:jc w:val="both"/>
        <w:rPr>
          <w:rFonts w:ascii="Calibri" w:eastAsia="Calibri" w:hAnsi="Calibri" w:cs="Calibri"/>
          <w:color w:val="FF0000"/>
        </w:rPr>
      </w:pPr>
      <w:r>
        <w:pict w14:anchorId="78D6127F">
          <v:rect id="_x0000_s102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79" w14:textId="2712CF17" w:rsidR="00B45748" w:rsidRPr="007D6157" w:rsidRDefault="00000000" w:rsidP="007D6157">
      <w:pPr>
        <w:pStyle w:val="Heading2"/>
        <w:spacing w:before="120" w:line="360" w:lineRule="auto"/>
        <w:jc w:val="both"/>
      </w:pPr>
      <w:r w:rsidRPr="007D6157">
        <w:t>Reviewer #2:</w:t>
      </w:r>
    </w:p>
    <w:p w14:paraId="5BB62D48" w14:textId="77777777" w:rsidR="00C441C0" w:rsidRDefault="00000000" w:rsidP="0089682E">
      <w:pPr>
        <w:pStyle w:val="ListParagraph"/>
        <w:numPr>
          <w:ilvl w:val="0"/>
          <w:numId w:val="7"/>
        </w:numPr>
        <w:spacing w:before="120" w:after="120" w:line="360" w:lineRule="auto"/>
        <w:jc w:val="both"/>
        <w:rPr>
          <w:rFonts w:ascii="Calibri" w:eastAsia="Calibri" w:hAnsi="Calibri" w:cs="Calibri"/>
          <w:color w:val="212121"/>
        </w:rPr>
      </w:pPr>
      <w:r w:rsidRPr="00C441C0">
        <w:rPr>
          <w:rFonts w:ascii="Calibri" w:eastAsia="Calibri" w:hAnsi="Calibri" w:cs="Calibri"/>
          <w:color w:val="212121"/>
        </w:rPr>
        <w:t>This appears to me to be a well constructed piece of research, which will contribute to the ongoing discussion between what you refer to as the 'rescue' vs 'health maximisation' approach. One major point I feel you have misjudged is that cancer treatment today is often, and in some types of cancers, almost always about extending life rather than 'curing' the disease.</w:t>
      </w:r>
    </w:p>
    <w:p w14:paraId="65AD06A4" w14:textId="77777777" w:rsidR="00885794" w:rsidRDefault="00000000" w:rsidP="00C441C0">
      <w:pPr>
        <w:pStyle w:val="ListParagraph"/>
        <w:spacing w:before="120" w:after="120" w:line="360" w:lineRule="auto"/>
        <w:jc w:val="both"/>
        <w:rPr>
          <w:rFonts w:ascii="Calibri" w:eastAsia="Calibri" w:hAnsi="Calibri" w:cs="Calibri"/>
          <w:color w:val="FF0000"/>
        </w:rPr>
      </w:pPr>
      <w:r w:rsidRPr="00C441C0">
        <w:rPr>
          <w:rFonts w:ascii="Calibri" w:eastAsia="Calibri" w:hAnsi="Calibri" w:cs="Calibri"/>
          <w:color w:val="FF0000"/>
        </w:rPr>
        <w:t>We thank the Reviewer for raising this important point. This issue is one of the main motivations for the study and is reflected in the choice of the vignette and the policy implications of the findings. To make this more explicit, we have also highlighted this point in the first paragraph of the Introduction.</w:t>
      </w:r>
    </w:p>
    <w:p w14:paraId="05B4AD03" w14:textId="77777777" w:rsidR="004E5B7F" w:rsidRPr="004E5B7F" w:rsidRDefault="00000000" w:rsidP="0089682E">
      <w:pPr>
        <w:pStyle w:val="ListParagraph"/>
        <w:numPr>
          <w:ilvl w:val="0"/>
          <w:numId w:val="7"/>
        </w:numPr>
        <w:spacing w:before="120" w:after="120" w:line="360" w:lineRule="auto"/>
        <w:jc w:val="both"/>
        <w:rPr>
          <w:rFonts w:ascii="Calibri" w:eastAsia="Calibri" w:hAnsi="Calibri" w:cs="Calibri"/>
          <w:color w:val="FF0000"/>
        </w:rPr>
      </w:pPr>
      <w:r w:rsidRPr="004E5B7F">
        <w:rPr>
          <w:rFonts w:ascii="Calibri" w:eastAsia="Calibri" w:hAnsi="Calibri" w:cs="Calibri"/>
          <w:color w:val="212121"/>
        </w:rPr>
        <w:t>A very minor point: you use 'should' on a couple of occasions, I believe a less normative word of words would be better e.g. 'would' or 'probably.'</w:t>
      </w:r>
    </w:p>
    <w:p w14:paraId="00000081" w14:textId="2D51F2C5" w:rsidR="00B45748" w:rsidRDefault="00000000" w:rsidP="009661B9">
      <w:pPr>
        <w:pStyle w:val="ListParagraph"/>
        <w:spacing w:before="120" w:after="120" w:line="360" w:lineRule="auto"/>
        <w:jc w:val="both"/>
      </w:pPr>
      <w:r w:rsidRPr="004E5B7F">
        <w:rPr>
          <w:rFonts w:ascii="Calibri" w:eastAsia="Calibri" w:hAnsi="Calibri" w:cs="Calibri"/>
          <w:color w:val="FF0000"/>
        </w:rPr>
        <w:t xml:space="preserve">We thank Reviewer 2 for this </w:t>
      </w:r>
      <w:r w:rsidR="00B72A02">
        <w:rPr>
          <w:rFonts w:ascii="Calibri" w:eastAsia="Calibri" w:hAnsi="Calibri" w:cs="Calibri"/>
          <w:color w:val="FF0000"/>
        </w:rPr>
        <w:t>suggestion</w:t>
      </w:r>
      <w:r w:rsidRPr="004E5B7F">
        <w:rPr>
          <w:rFonts w:ascii="Calibri" w:eastAsia="Calibri" w:hAnsi="Calibri" w:cs="Calibri"/>
          <w:color w:val="FF0000"/>
        </w:rPr>
        <w:t xml:space="preserve">. We have revised the text accordingly. </w:t>
      </w:r>
    </w:p>
    <w:sectPr w:rsidR="00B457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281CAD5-1674-9A4E-9E20-93ED39CD6E16}"/>
    <w:embedBold r:id="rId2" w:fontKey="{4B8A5B1A-2BD4-B144-B281-383089B2A4CD}"/>
  </w:font>
  <w:font w:name="Calibri">
    <w:panose1 w:val="020F0502020204030204"/>
    <w:charset w:val="00"/>
    <w:family w:val="swiss"/>
    <w:pitch w:val="variable"/>
    <w:sig w:usb0="E0002AFF" w:usb1="C000247B" w:usb2="00000009" w:usb3="00000000" w:csb0="000001FF" w:csb1="00000000"/>
    <w:embedRegular r:id="rId3" w:fontKey="{6347EA97-70D1-5748-8145-2FE3DEAF23AB}"/>
    <w:embedItalic r:id="rId4" w:fontKey="{860ECBB1-3567-9C43-BC34-2962CC0F97F6}"/>
  </w:font>
  <w:font w:name="Courier New">
    <w:panose1 w:val="02070309020205020404"/>
    <w:charset w:val="00"/>
    <w:family w:val="modern"/>
    <w:pitch w:val="fixed"/>
    <w:sig w:usb0="E0002AFF" w:usb1="C0007843" w:usb2="00000009" w:usb3="00000000" w:csb0="000001FF" w:csb1="00000000"/>
    <w:embedRegular r:id="rId5" w:fontKey="{D4DAEC19-2D8D-B64D-801B-0333B738E6FF}"/>
  </w:font>
  <w:font w:name="Wingdings">
    <w:panose1 w:val="05000000000000000000"/>
    <w:charset w:val="4D"/>
    <w:family w:val="decorative"/>
    <w:pitch w:val="variable"/>
    <w:sig w:usb0="00000003" w:usb1="00000000" w:usb2="00000000" w:usb3="00000000" w:csb0="80000001" w:csb1="00000000"/>
    <w:embedRegular r:id="rId6" w:fontKey="{12D5B0EA-491E-4E4F-89B1-DA2BFBE4CB92}"/>
  </w:font>
  <w:font w:name="Symbol">
    <w:panose1 w:val="05050102010706020507"/>
    <w:charset w:val="02"/>
    <w:family w:val="decorative"/>
    <w:pitch w:val="variable"/>
    <w:sig w:usb0="00000000" w:usb1="10000000" w:usb2="00000000" w:usb3="00000000" w:csb0="80000000" w:csb1="00000000"/>
    <w:embedRegular r:id="rId7" w:fontKey="{CC7182F8-13E3-814E-AD6C-271769427D07}"/>
  </w:font>
  <w:font w:name="Arial">
    <w:panose1 w:val="020B0604020202020204"/>
    <w:charset w:val="00"/>
    <w:family w:val="swiss"/>
    <w:pitch w:val="variable"/>
    <w:sig w:usb0="E0002AFF" w:usb1="C0007843" w:usb2="00000009" w:usb3="00000000" w:csb0="000001FF" w:csb1="00000000"/>
    <w:embedRegular r:id="rId8" w:fontKey="{45D63365-98CD-2B47-B215-B3EB8E5CC73E}"/>
    <w:embedBold r:id="rId9" w:fontKey="{D14BBB2A-BF8E-D041-8713-742AC0B186BB}"/>
    <w:embedItalic r:id="rId10" w:fontKey="{E9C084B5-2279-DB44-91F3-BAFBC1DD793D}"/>
  </w:font>
  <w:font w:name="Cambria">
    <w:panose1 w:val="02040503050406030204"/>
    <w:charset w:val="00"/>
    <w:family w:val="roman"/>
    <w:pitch w:val="variable"/>
    <w:sig w:usb0="E00002FF" w:usb1="400004FF" w:usb2="00000000" w:usb3="00000000" w:csb0="0000019F" w:csb1="00000000"/>
    <w:embedRegular r:id="rId11" w:fontKey="{099460C9-EF46-A04B-9E14-55FD1CD733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6220F"/>
    <w:multiLevelType w:val="hybridMultilevel"/>
    <w:tmpl w:val="4D9475BC"/>
    <w:lvl w:ilvl="0" w:tplc="355A4E0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759AE"/>
    <w:multiLevelType w:val="multilevel"/>
    <w:tmpl w:val="A71C620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67D8E"/>
    <w:multiLevelType w:val="hybridMultilevel"/>
    <w:tmpl w:val="1062D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1A6CBD"/>
    <w:multiLevelType w:val="multilevel"/>
    <w:tmpl w:val="9A227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6708B1"/>
    <w:multiLevelType w:val="hybridMultilevel"/>
    <w:tmpl w:val="1700A122"/>
    <w:lvl w:ilvl="0" w:tplc="7F96030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88D7E43"/>
    <w:multiLevelType w:val="hybridMultilevel"/>
    <w:tmpl w:val="570A8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8B34871"/>
    <w:multiLevelType w:val="hybridMultilevel"/>
    <w:tmpl w:val="CDC0CF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99204851">
    <w:abstractNumId w:val="1"/>
  </w:num>
  <w:num w:numId="2" w16cid:durableId="261647963">
    <w:abstractNumId w:val="3"/>
  </w:num>
  <w:num w:numId="3" w16cid:durableId="82380019">
    <w:abstractNumId w:val="2"/>
  </w:num>
  <w:num w:numId="4" w16cid:durableId="1884827423">
    <w:abstractNumId w:val="6"/>
  </w:num>
  <w:num w:numId="5" w16cid:durableId="1757940252">
    <w:abstractNumId w:val="5"/>
  </w:num>
  <w:num w:numId="6" w16cid:durableId="2067290549">
    <w:abstractNumId w:val="4"/>
  </w:num>
  <w:num w:numId="7" w16cid:durableId="17866541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748"/>
    <w:rsid w:val="00026433"/>
    <w:rsid w:val="000620B1"/>
    <w:rsid w:val="000A68A8"/>
    <w:rsid w:val="000F6F26"/>
    <w:rsid w:val="00144D62"/>
    <w:rsid w:val="00163304"/>
    <w:rsid w:val="001914D9"/>
    <w:rsid w:val="0019563A"/>
    <w:rsid w:val="00196463"/>
    <w:rsid w:val="002245C4"/>
    <w:rsid w:val="00255874"/>
    <w:rsid w:val="00285277"/>
    <w:rsid w:val="002B15EF"/>
    <w:rsid w:val="002C1A38"/>
    <w:rsid w:val="0030585C"/>
    <w:rsid w:val="00350EC0"/>
    <w:rsid w:val="003A4B1A"/>
    <w:rsid w:val="004008A6"/>
    <w:rsid w:val="00432027"/>
    <w:rsid w:val="004E5B7F"/>
    <w:rsid w:val="005269BB"/>
    <w:rsid w:val="00545D88"/>
    <w:rsid w:val="005648DA"/>
    <w:rsid w:val="0057708E"/>
    <w:rsid w:val="00597F60"/>
    <w:rsid w:val="005F5C6A"/>
    <w:rsid w:val="005F6E9E"/>
    <w:rsid w:val="00635414"/>
    <w:rsid w:val="00681035"/>
    <w:rsid w:val="006B33FB"/>
    <w:rsid w:val="00786D46"/>
    <w:rsid w:val="007D6157"/>
    <w:rsid w:val="00812180"/>
    <w:rsid w:val="00814BAD"/>
    <w:rsid w:val="00841821"/>
    <w:rsid w:val="00850170"/>
    <w:rsid w:val="00855FF5"/>
    <w:rsid w:val="008678C5"/>
    <w:rsid w:val="00873C4D"/>
    <w:rsid w:val="00885794"/>
    <w:rsid w:val="0089682E"/>
    <w:rsid w:val="00932F6B"/>
    <w:rsid w:val="00941B39"/>
    <w:rsid w:val="009661B9"/>
    <w:rsid w:val="00981138"/>
    <w:rsid w:val="0099138D"/>
    <w:rsid w:val="00AB2F89"/>
    <w:rsid w:val="00AE2DB0"/>
    <w:rsid w:val="00B14F33"/>
    <w:rsid w:val="00B2727F"/>
    <w:rsid w:val="00B45748"/>
    <w:rsid w:val="00B67639"/>
    <w:rsid w:val="00B72A02"/>
    <w:rsid w:val="00BA6D99"/>
    <w:rsid w:val="00BB3CAA"/>
    <w:rsid w:val="00BB51B6"/>
    <w:rsid w:val="00BC0A18"/>
    <w:rsid w:val="00BF12C7"/>
    <w:rsid w:val="00C159D2"/>
    <w:rsid w:val="00C22D9D"/>
    <w:rsid w:val="00C441C0"/>
    <w:rsid w:val="00D041B7"/>
    <w:rsid w:val="00D623CF"/>
    <w:rsid w:val="00D74FBB"/>
    <w:rsid w:val="00D77DD3"/>
    <w:rsid w:val="00DD0FEB"/>
    <w:rsid w:val="00DE0627"/>
    <w:rsid w:val="00E74AA9"/>
    <w:rsid w:val="00E81BAF"/>
    <w:rsid w:val="00E842DD"/>
    <w:rsid w:val="00EB6CC7"/>
    <w:rsid w:val="00EC629F"/>
    <w:rsid w:val="00EF74BF"/>
    <w:rsid w:val="00F35D8D"/>
    <w:rsid w:val="00F56B10"/>
    <w:rsid w:val="00F6271F"/>
    <w:rsid w:val="00F62984"/>
    <w:rsid w:val="00F90136"/>
    <w:rsid w:val="00FF4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F6E86A0"/>
  <w15:docId w15:val="{D57C65CC-44D7-3849-8055-88074E67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12180"/>
    <w:pPr>
      <w:ind w:left="720"/>
      <w:contextualSpacing/>
    </w:pPr>
  </w:style>
  <w:style w:type="character" w:styleId="CommentReference">
    <w:name w:val="annotation reference"/>
    <w:basedOn w:val="DefaultParagraphFont"/>
    <w:uiPriority w:val="99"/>
    <w:semiHidden/>
    <w:unhideWhenUsed/>
    <w:rsid w:val="00850170"/>
    <w:rPr>
      <w:sz w:val="16"/>
      <w:szCs w:val="16"/>
    </w:rPr>
  </w:style>
  <w:style w:type="paragraph" w:styleId="CommentText">
    <w:name w:val="annotation text"/>
    <w:basedOn w:val="Normal"/>
    <w:link w:val="CommentTextChar"/>
    <w:uiPriority w:val="99"/>
    <w:semiHidden/>
    <w:unhideWhenUsed/>
    <w:rsid w:val="00850170"/>
    <w:pPr>
      <w:spacing w:line="240" w:lineRule="auto"/>
    </w:pPr>
    <w:rPr>
      <w:sz w:val="20"/>
      <w:szCs w:val="20"/>
    </w:rPr>
  </w:style>
  <w:style w:type="character" w:customStyle="1" w:styleId="CommentTextChar">
    <w:name w:val="Comment Text Char"/>
    <w:basedOn w:val="DefaultParagraphFont"/>
    <w:link w:val="CommentText"/>
    <w:uiPriority w:val="99"/>
    <w:semiHidden/>
    <w:rsid w:val="00850170"/>
    <w:rPr>
      <w:sz w:val="20"/>
      <w:szCs w:val="20"/>
    </w:rPr>
  </w:style>
  <w:style w:type="paragraph" w:styleId="CommentSubject">
    <w:name w:val="annotation subject"/>
    <w:basedOn w:val="CommentText"/>
    <w:next w:val="CommentText"/>
    <w:link w:val="CommentSubjectChar"/>
    <w:uiPriority w:val="99"/>
    <w:semiHidden/>
    <w:unhideWhenUsed/>
    <w:rsid w:val="00850170"/>
    <w:rPr>
      <w:b/>
      <w:bCs/>
    </w:rPr>
  </w:style>
  <w:style w:type="character" w:customStyle="1" w:styleId="CommentSubjectChar">
    <w:name w:val="Comment Subject Char"/>
    <w:basedOn w:val="CommentTextChar"/>
    <w:link w:val="CommentSubject"/>
    <w:uiPriority w:val="99"/>
    <w:semiHidden/>
    <w:rsid w:val="008501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2955</Words>
  <Characters>16849</Characters>
  <Application>Microsoft Office Word</Application>
  <DocSecurity>0</DocSecurity>
  <Lines>140</Lines>
  <Paragraphs>39</Paragraphs>
  <ScaleCrop>false</ScaleCrop>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Héctor Bahamonde</cp:lastModifiedBy>
  <cp:revision>82</cp:revision>
  <cp:lastPrinted>2026-09-19T09:57:00Z</cp:lastPrinted>
  <dcterms:created xsi:type="dcterms:W3CDTF">2026-09-15T08:20:00Z</dcterms:created>
  <dcterms:modified xsi:type="dcterms:W3CDTF">2026-09-19T10:41:00Z</dcterms:modified>
</cp:coreProperties>
</file>