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B45748" w:rsidRPr="00D77DD3" w:rsidRDefault="00000000" w:rsidP="0089682E">
      <w:pPr>
        <w:pStyle w:val="Title"/>
        <w:spacing w:before="120" w:after="120" w:line="360" w:lineRule="auto"/>
        <w:jc w:val="both"/>
      </w:pPr>
      <w:bookmarkStart w:id="0" w:name="_4eq5zuq1n74n" w:colFirst="0" w:colLast="0"/>
      <w:bookmarkEnd w:id="0"/>
      <w:r w:rsidRPr="00D77DD3">
        <w:t>Response to Reviewers:</w:t>
      </w:r>
    </w:p>
    <w:p w14:paraId="00000003" w14:textId="7777777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Dear Editors and Reviewers,</w:t>
      </w:r>
    </w:p>
    <w:p w14:paraId="00000005" w14:textId="346EA49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 xml:space="preserve">We thank the Editor and the Reviewers for their careful evaluation and important comments that have helped us to improve the manuscript. Please find below our response to Reviewers in point-by-point fashions (our answers are indicated with red </w:t>
      </w:r>
      <w:r w:rsidR="0089682E" w:rsidRPr="00D77DD3">
        <w:rPr>
          <w:rFonts w:ascii="Calibri" w:eastAsia="Calibri" w:hAnsi="Calibri" w:cs="Calibri"/>
        </w:rPr>
        <w:t>color</w:t>
      </w:r>
      <w:r w:rsidRPr="00D77DD3">
        <w:rPr>
          <w:rFonts w:ascii="Calibri" w:eastAsia="Calibri" w:hAnsi="Calibri" w:cs="Calibri"/>
        </w:rPr>
        <w:t>).</w:t>
      </w:r>
    </w:p>
    <w:p w14:paraId="00000006" w14:textId="77777777" w:rsidR="00B45748" w:rsidRPr="00D77DD3" w:rsidRDefault="00432027" w:rsidP="0089682E">
      <w:pPr>
        <w:spacing w:before="120" w:after="120" w:line="360" w:lineRule="auto"/>
        <w:jc w:val="both"/>
        <w:rPr>
          <w:rFonts w:ascii="Calibri" w:eastAsia="Calibri" w:hAnsi="Calibri" w:cs="Calibri"/>
        </w:rPr>
      </w:pPr>
      <w:r>
        <w:rPr>
          <w:noProof/>
        </w:rPr>
        <w:pict w14:anchorId="431DC73F">
          <v:rect id="_x0000_i1026" alt="" style="width:431.95pt;height:.05pt;mso-width-percent:0;mso-height-percent:0;mso-width-percent:0;mso-height-percent:0" o:hrpct="923" o:hralign="center" o:hrstd="t" o:hr="t" fillcolor="#a0a0a0" stroked="f"/>
        </w:pict>
      </w:r>
    </w:p>
    <w:p w14:paraId="00000008" w14:textId="77777777" w:rsidR="00B45748" w:rsidRPr="00D77DD3" w:rsidRDefault="00000000" w:rsidP="0089682E">
      <w:pPr>
        <w:pStyle w:val="Heading2"/>
        <w:spacing w:before="120" w:line="360" w:lineRule="auto"/>
        <w:jc w:val="both"/>
      </w:pPr>
      <w:bookmarkStart w:id="1" w:name="_5hrdoez1u8w3" w:colFirst="0" w:colLast="0"/>
      <w:bookmarkEnd w:id="1"/>
      <w:r w:rsidRPr="00D77DD3">
        <w:t>Reviewer #1:</w:t>
      </w:r>
    </w:p>
    <w:p w14:paraId="7B00C7CD" w14:textId="77777777" w:rsidR="00EF74BF" w:rsidRPr="00EF74BF"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manuscript addresses an important question about public preferences for funding high cost cancer medicines. The paper is clearly written and the literature review is strong. The topic fits the journal. However, the central claim is larger than the evidence can support.</w:t>
      </w:r>
    </w:p>
    <w:p w14:paraId="0000000A" w14:textId="61CC7065" w:rsidR="00B45748" w:rsidRPr="00D77DD3" w:rsidRDefault="00000000" w:rsidP="00EF74BF">
      <w:pPr>
        <w:spacing w:before="120" w:after="120" w:line="360" w:lineRule="auto"/>
        <w:ind w:left="720"/>
        <w:jc w:val="both"/>
        <w:rPr>
          <w:rFonts w:ascii="Calibri" w:eastAsia="Calibri" w:hAnsi="Calibri" w:cs="Calibri"/>
        </w:rPr>
      </w:pPr>
      <w:r w:rsidRPr="00D77DD3">
        <w:rPr>
          <w:rFonts w:ascii="Calibri" w:eastAsia="Calibri" w:hAnsi="Calibri" w:cs="Calibri"/>
          <w:color w:val="FF0000"/>
        </w:rPr>
        <w:t>We thank Reviewer 1 for their encouraging and positive comments above and the constructive comments below. We have endeavored to respond to these as best we can. Below, we respond to these comments one by one.</w:t>
      </w:r>
    </w:p>
    <w:p w14:paraId="7CDF265A" w14:textId="77777777" w:rsidR="00B67639" w:rsidRPr="00B67639"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main concern is that the central claim is not aligned with the experimental design. The manuscript argues that institutional insulation does not neutralize framing effects, but the experiment only varies the description of the funding decision. It does not vary who makes the decision or how the decision is institutionally justified. Respondents are not assigned to conditions in which the decision is made by politicians, an expert agency, an HTA body, or another public authority. They are also not told whether the decision is part of an insulated expert process. For this reason, the study can show that different descriptions affect stated funding preferences, but it cannot show whether institutional insulation moderates or fails to moderate framing effects.</w:t>
      </w:r>
    </w:p>
    <w:p w14:paraId="0555A822" w14:textId="173C3C39" w:rsidR="00D77DD3" w:rsidRDefault="00000000" w:rsidP="00B67639">
      <w:pPr>
        <w:spacing w:before="120" w:after="120" w:line="360" w:lineRule="auto"/>
        <w:ind w:left="720"/>
        <w:jc w:val="both"/>
        <w:rPr>
          <w:rFonts w:ascii="Calibri" w:eastAsia="Calibri" w:hAnsi="Calibri" w:cs="Calibri"/>
        </w:rPr>
      </w:pPr>
      <w:r w:rsidRPr="00D77DD3">
        <w:rPr>
          <w:rFonts w:ascii="Calibri" w:eastAsia="Calibri" w:hAnsi="Calibri" w:cs="Calibri"/>
          <w:color w:val="FF0000"/>
        </w:rPr>
        <w:t>We thank the reviewer for this comment. We agree with the comment and have made this distinction more clear throughout the manuscript. → Hector, please check this. Also in Discussion comment concerning 2nd paragraph of Discussion</w:t>
      </w:r>
      <w:r w:rsidR="00D77DD3">
        <w:rPr>
          <w:rFonts w:ascii="Calibri" w:eastAsia="Calibri" w:hAnsi="Calibri" w:cs="Calibri"/>
        </w:rPr>
        <w:t>.</w:t>
      </w:r>
    </w:p>
    <w:p w14:paraId="6C8DF9E8"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Highlights appear to belong to another version of the manuscript. They mention variables such as ideology and institutional trust, which are not measured in the study. This should be corrected before the manuscript can be evaluated further.</w:t>
      </w:r>
    </w:p>
    <w:p w14:paraId="7C42049E" w14:textId="6360F881" w:rsidR="00D77DD3" w:rsidRPr="00D77DD3" w:rsidRDefault="00000000" w:rsidP="005269BB">
      <w:pPr>
        <w:spacing w:before="120" w:after="120" w:line="360" w:lineRule="auto"/>
        <w:ind w:left="720"/>
        <w:jc w:val="both"/>
        <w:rPr>
          <w:rFonts w:ascii="Calibri" w:eastAsia="Calibri" w:hAnsi="Calibri" w:cs="Calibri"/>
        </w:rPr>
      </w:pPr>
      <w:r w:rsidRPr="00D77DD3">
        <w:rPr>
          <w:rFonts w:ascii="Calibri" w:eastAsia="Calibri" w:hAnsi="Calibri" w:cs="Calibri"/>
          <w:color w:val="FF0000"/>
        </w:rPr>
        <w:lastRenderedPageBreak/>
        <w:t>Thank you for this comment. We have completely rewritten the Highlights.</w:t>
      </w:r>
    </w:p>
    <w:p w14:paraId="5F451DF7"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treatment arms do not only use different frames. They also give respondents different information. The rescue arm adds information about limited treatment options. The health maximisation arm adds information about opportunity costs. Therefore, the estimated differences may reflect information effects, not only framing effects.</w:t>
      </w:r>
    </w:p>
    <w:p w14:paraId="096B65E4" w14:textId="5E04CF4F" w:rsidR="00D77DD3" w:rsidRDefault="00000000" w:rsidP="005269BB">
      <w:pPr>
        <w:spacing w:before="120" w:after="120" w:line="360" w:lineRule="auto"/>
        <w:ind w:left="720"/>
        <w:jc w:val="both"/>
        <w:rPr>
          <w:rFonts w:ascii="Calibri" w:eastAsia="Calibri" w:hAnsi="Calibri" w:cs="Calibri"/>
        </w:rPr>
      </w:pPr>
      <w:r w:rsidRPr="00D77DD3">
        <w:rPr>
          <w:rFonts w:ascii="Calibri" w:eastAsia="Calibri" w:hAnsi="Calibri" w:cs="Calibri"/>
          <w:color w:val="FF0000"/>
        </w:rPr>
        <w:t>Thank you for this comment. We have highlighted this in Section 3 when describing our frames (Table 1). This paper builds on previous public opinion research in which framing refers to the way information is presented or structured.</w:t>
      </w:r>
    </w:p>
    <w:p w14:paraId="54405E6D" w14:textId="77777777" w:rsidR="00D74FBB" w:rsidRPr="00D74F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two treatment arms may operate through different mechanisms. The rescue condition may increase support because it highlights patients with few remaining options. The health maximisation condition may reduce support because it highlights opportunity costs and cuts to other healthcare services. These mechanisms are not equivalent to a simple gain versus loss contrast. The manuscript should therefore be more cautious in attributing the full treatment difference to prospect theory.</w:t>
      </w:r>
    </w:p>
    <w:p w14:paraId="009D058B" w14:textId="77777777" w:rsidR="00812180" w:rsidRDefault="00000000" w:rsidP="00812180">
      <w:pPr>
        <w:spacing w:before="120" w:after="120" w:line="360" w:lineRule="auto"/>
        <w:ind w:left="720"/>
        <w:jc w:val="both"/>
        <w:rPr>
          <w:rFonts w:ascii="Calibri" w:eastAsia="Calibri" w:hAnsi="Calibri" w:cs="Calibri"/>
        </w:rPr>
      </w:pPr>
      <w:r w:rsidRPr="00D77DD3">
        <w:rPr>
          <w:rFonts w:ascii="Calibri" w:eastAsia="Calibri" w:hAnsi="Calibri" w:cs="Calibri"/>
          <w:color w:val="FF0000"/>
        </w:rPr>
        <w:t>We agree with the point raised by the reviewer. As described in Section 1.1., different frames are expected to revoke different values. The prospect theory presents only one plausible explanation, which we have now highlighted in Section 2.  → See, comment in Discussion. So, we should emphasise this in Discussion as well</w:t>
      </w:r>
    </w:p>
    <w:p w14:paraId="4A32875D" w14:textId="77777777" w:rsidR="00812180" w:rsidRDefault="00000000" w:rsidP="0089682E">
      <w:pPr>
        <w:numPr>
          <w:ilvl w:val="0"/>
          <w:numId w:val="1"/>
        </w:numPr>
        <w:spacing w:before="120" w:after="120" w:line="360" w:lineRule="auto"/>
        <w:jc w:val="both"/>
        <w:rPr>
          <w:rFonts w:ascii="Calibri" w:eastAsia="Calibri" w:hAnsi="Calibri" w:cs="Calibri"/>
        </w:rPr>
      </w:pPr>
      <w:r w:rsidRPr="00812180">
        <w:rPr>
          <w:rFonts w:ascii="Calibri" w:eastAsia="Calibri" w:hAnsi="Calibri" w:cs="Calibri"/>
          <w:color w:val="212121"/>
        </w:rPr>
        <w:t>The control condition is shorter than the two treatment conditions. This creates a possible text length and task difficulty problem. Both treatment arms increase Don't know responses. This pattern may reflect added information, increased complexity, or respondent uncertainty.</w:t>
      </w:r>
    </w:p>
    <w:p w14:paraId="6BCB2AF6" w14:textId="77777777" w:rsidR="00E842DD" w:rsidRDefault="00000000" w:rsidP="00E842DD">
      <w:pPr>
        <w:spacing w:before="120" w:after="120" w:line="360" w:lineRule="auto"/>
        <w:ind w:left="720"/>
        <w:jc w:val="both"/>
        <w:rPr>
          <w:rFonts w:ascii="Calibri" w:eastAsia="Calibri" w:hAnsi="Calibri" w:cs="Calibri"/>
        </w:rPr>
      </w:pPr>
      <w:r w:rsidRPr="00812180">
        <w:rPr>
          <w:rFonts w:ascii="Calibri" w:eastAsia="Calibri" w:hAnsi="Calibri" w:cs="Calibri"/>
          <w:color w:val="FF0000"/>
        </w:rPr>
        <w:t>Thank you for raising this concern. We agree that, because both treatments add framing text to the common vignette while the control adds no supplementary text, the design cannot separately identify the semantic effect of the frames from shared effects of additional information, processing demands, or uncertainty.</w:t>
      </w:r>
    </w:p>
    <w:p w14:paraId="3D2231BF" w14:textId="77777777" w:rsidR="00E842DD" w:rsidRDefault="00000000" w:rsidP="00E842DD">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now state this limitation explicitly:</w:t>
      </w:r>
    </w:p>
    <w:p w14:paraId="799F882E" w14:textId="77777777" w:rsidR="00E842DD" w:rsidRDefault="00000000" w:rsidP="00E842DD">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"Third, because both treatments added text while the control did not, we cannot separate framing effects from additional information or processing demands. Future studies should employ a length-matched neutral control to distinguish these mechanisms." (p. 15).</w:t>
      </w:r>
    </w:p>
    <w:p w14:paraId="785B959D" w14:textId="77777777" w:rsidR="00AE2DB0" w:rsidRDefault="00000000" w:rsidP="00AE2DB0">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lastRenderedPageBreak/>
        <w:t xml:space="preserve">We nevertheless retain the unframed condition because our estimand is the total effect of adding each justification to the common vignette. Consistent with Haaland, Roth, and Wohlfart’s (2023, p. 19) observation: “sometimes the policy-relevant question of interest is concerned with the effect of providing a particular piece of information compared to not providing this information” at all.  We now also justify the type of control used in our design ("pure control") in the Methods section of our paper: </w:t>
      </w:r>
    </w:p>
    <w:p w14:paraId="25856019" w14:textId="77777777" w:rsidR="00AE2DB0" w:rsidRDefault="00000000" w:rsidP="00AE2DB0">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“Following Haaland, Roth, and Wohlfart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 (p. 9)</w:t>
      </w:r>
    </w:p>
    <w:p w14:paraId="17C91053" w14:textId="77777777" w:rsidR="00AE2DB0" w:rsidRDefault="00000000" w:rsidP="00AE2DB0">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Accordingly, we have added this new reference to the Reference section.</w:t>
      </w:r>
    </w:p>
    <w:p w14:paraId="21690460" w14:textId="77777777" w:rsidR="00196463" w:rsidRDefault="00000000" w:rsidP="00196463">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Finally, and to directly address your issue (i.e., “task difficulty problem [increasing the] Don't know responses”), we now make the full-sample multinomial logit—including “I don’t know”—the paper’s primary model and report arm-specific predicted probabilities with 95% confidence intervals (effectively addressing your concern #9 too). The equivalent equation is specified in p. 10. This analysis treats the increase in “I don’t know” (as per your concern) as a substantive treatment response to be econometrically modeled, and incorporated into our analyses. Results remain unchanged. The ordinal model (excluding “I don’t know”) is now retained only as a sensitivity analysis. The new Figure 2 is the paper (p. X).</w:t>
      </w:r>
    </w:p>
    <w:p w14:paraId="326241F8" w14:textId="77777777" w:rsidR="0099138D"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authors should report full sample models that include Don't know responses. They should also report sensitivity analyses that show whether the main conclusions depend on excluding these respondents. The increase in Don't know responses should be discussed as a substantive result. It may show uncertainty, confusion, ambivalence, or lower confidence in the decision. It should not be treated only as a missing or unusable response.</w:t>
      </w:r>
    </w:p>
    <w:p w14:paraId="3BD48518" w14:textId="77777777" w:rsidR="00EC629F" w:rsidRDefault="00000000" w:rsidP="00EC629F">
      <w:pPr>
        <w:spacing w:before="120" w:after="120" w:line="360" w:lineRule="auto"/>
        <w:ind w:left="720"/>
        <w:jc w:val="both"/>
        <w:rPr>
          <w:rFonts w:ascii="Calibri" w:eastAsia="Calibri" w:hAnsi="Calibri" w:cs="Calibri"/>
          <w:color w:val="FF0000"/>
        </w:rPr>
      </w:pPr>
      <w:r w:rsidRPr="0099138D">
        <w:rPr>
          <w:rFonts w:ascii="Calibri" w:eastAsia="Calibri" w:hAnsi="Calibri" w:cs="Calibri"/>
          <w:color w:val="FF0000"/>
        </w:rPr>
        <w:t xml:space="preserve">We totally agree with this comment as well. Building on your suggestion #5 and our corresponding response to that suggestion, we have now (1) made the multinomial model (which does include the Don’t know) the main model of our paper (results remain unchanged). This is in Figure 2 (p. 12). Made explicit that (2)  Table 2 (p. 13) considers both the multinomial model (with Don’t knows) and ordered logit model (without the Don’t know). In addition, (3) we have added Figure OA1 into the Online Appendix (see below; p. 22 in the manuscript). The figure strongly suggests that point estimates are invariant to the addition of the Don’t know respondents. </w:t>
      </w:r>
    </w:p>
    <w:p w14:paraId="61AC2427" w14:textId="77777777" w:rsidR="00EC629F" w:rsidRDefault="00000000" w:rsidP="00EC629F">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lastRenderedPageBreak/>
        <w:t xml:space="preserve">Finally, (4) we have added the next sentences to the Discussion section (limitations, p. 13-14) to directly address your request of substantively address the Don’t know respondents: </w:t>
      </w:r>
    </w:p>
    <w:p w14:paraId="5091284B" w14:textId="77777777" w:rsidR="00EC629F" w:rsidRDefault="00000000" w:rsidP="00EC629F">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“Both frames increased “I don’t know” responses, a substantive pattern consistent with lower response confidence rather than unusable data (Graham 2021). This may reflect the additional complexity introduced by the framing information; future research should test this mechanism using length-matched conditions and direct measures of response confidence.”</w:t>
      </w:r>
    </w:p>
    <w:p w14:paraId="112A43A6" w14:textId="77777777" w:rsidR="00EC629F" w:rsidRDefault="00000000" w:rsidP="00EC629F">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believe that substantively addressing this Don’t know issue has made the paper stronger. We thank you for your suggestion.</w:t>
      </w:r>
    </w:p>
    <w:p w14:paraId="09F8AEF8" w14:textId="77777777" w:rsidR="00EC629F" w:rsidRPr="00EC629F" w:rsidRDefault="00000000" w:rsidP="0089682E">
      <w:pPr>
        <w:numPr>
          <w:ilvl w:val="0"/>
          <w:numId w:val="1"/>
        </w:numPr>
        <w:spacing w:before="120" w:after="120" w:line="360" w:lineRule="auto"/>
        <w:jc w:val="both"/>
        <w:rPr>
          <w:rFonts w:ascii="Calibri" w:eastAsia="Calibri" w:hAnsi="Calibri" w:cs="Calibri"/>
          <w:color w:val="FF0000"/>
        </w:rPr>
      </w:pPr>
      <w:r w:rsidRPr="00EC629F">
        <w:rPr>
          <w:rFonts w:ascii="Calibri" w:eastAsia="Calibri" w:hAnsi="Calibri" w:cs="Calibri"/>
          <w:color w:val="212121"/>
        </w:rPr>
        <w:t>The ordinal logit model assumes that each predictor has the same effect across the response thresholds. This assumption may not hold here because the frames may affect rejection, conditional funding, and unconditional funding in different ways. The authors should test the proportional odds assumption or use a model that relaxes it. Reporting a multinomial logit model is useful, but it does not by itself show that the ordinal logit assumption is valid.</w:t>
      </w:r>
    </w:p>
    <w:p w14:paraId="068F0726" w14:textId="77777777" w:rsidR="00EC629F" w:rsidRDefault="00000000" w:rsidP="00EC629F">
      <w:pPr>
        <w:spacing w:before="120" w:after="120" w:line="360" w:lineRule="auto"/>
        <w:ind w:left="720"/>
        <w:jc w:val="both"/>
        <w:rPr>
          <w:rFonts w:ascii="Calibri" w:eastAsia="Calibri" w:hAnsi="Calibri" w:cs="Calibri"/>
          <w:color w:val="FF0000"/>
        </w:rPr>
      </w:pPr>
      <w:r w:rsidRPr="00EC629F">
        <w:rPr>
          <w:rFonts w:ascii="Calibri" w:eastAsia="Calibri" w:hAnsi="Calibri" w:cs="Calibri"/>
          <w:color w:val="FF0000"/>
        </w:rPr>
        <w:t>Yes, another valid and important suggestion. The likelihood-ratio test actually rejects the proportional-odds assumption. Consequently, we have added the following sentence footnote 1, as well as recognizing your contribution:</w:t>
      </w:r>
    </w:p>
    <w:p w14:paraId="0C28190C"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 (we thank Reviewer 1 for this suggestion).” (Footnote #1, p. 10).</w:t>
      </w:r>
    </w:p>
    <w:p w14:paraId="65505B4C"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 xml:space="preserve">This is another reason why keeping the multinomial model as the main model of the paper is actually better (effectively following your advice of “[using] a[nother] model that relaxes [such assumption]”). </w:t>
      </w:r>
    </w:p>
    <w:p w14:paraId="662F41EE"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thank you for this suggestion too.</w:t>
      </w:r>
    </w:p>
    <w:p w14:paraId="3DF214DC" w14:textId="77777777" w:rsidR="00BC0A18"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manuscript should show the raw outcome distributions by experimental arm. Readers need to see the basic differences across groups before interpreting model based estimates.</w:t>
      </w:r>
    </w:p>
    <w:p w14:paraId="7E37694A" w14:textId="2ECF4AC6" w:rsidR="00786D46" w:rsidRDefault="00000000" w:rsidP="00786D46">
      <w:pPr>
        <w:spacing w:before="120" w:after="120" w:line="360" w:lineRule="auto"/>
        <w:ind w:left="720"/>
        <w:jc w:val="both"/>
        <w:rPr>
          <w:rFonts w:ascii="Calibri" w:eastAsia="Calibri" w:hAnsi="Calibri" w:cs="Calibri"/>
          <w:color w:val="FF0000"/>
        </w:rPr>
      </w:pPr>
      <w:r w:rsidRPr="00BC0A18">
        <w:rPr>
          <w:rFonts w:ascii="Calibri" w:eastAsia="Calibri" w:hAnsi="Calibri" w:cs="Calibri"/>
          <w:color w:val="FF0000"/>
        </w:rPr>
        <w:t xml:space="preserve">We agree and have added a new Figure 1 presenting the raw outcome distributions by experimental arm </w:t>
      </w:r>
      <w:r w:rsidRPr="00BC0A18">
        <w:rPr>
          <w:rFonts w:ascii="Calibri" w:eastAsia="Calibri" w:hAnsi="Calibri" w:cs="Calibri"/>
          <w:i/>
          <w:iCs/>
          <w:color w:val="FF0000"/>
        </w:rPr>
        <w:t>before</w:t>
      </w:r>
      <w:r w:rsidRPr="00BC0A18">
        <w:rPr>
          <w:rFonts w:ascii="Calibri" w:eastAsia="Calibri" w:hAnsi="Calibri" w:cs="Calibri"/>
          <w:color w:val="FF0000"/>
        </w:rPr>
        <w:t xml:space="preserve"> the model-based results (see p. 10). As requested, the figure reports </w:t>
      </w:r>
      <w:r w:rsidRPr="00BC0A18">
        <w:rPr>
          <w:rFonts w:ascii="Calibri" w:eastAsia="Calibri" w:hAnsi="Calibri" w:cs="Calibri"/>
          <w:color w:val="FF0000"/>
        </w:rPr>
        <w:lastRenderedPageBreak/>
        <w:t>within-arm percentages and cell counts for all four response categories, including “I don’t know,” allowing readers to assess the unadjusted differences across conditions directly.</w:t>
      </w:r>
    </w:p>
    <w:p w14:paraId="54A8C03C" w14:textId="77777777" w:rsidR="00D041B7"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regression reporting should be expanded. The full model table should include covariates, thresholds, sample sizes, fit statistics, weighting details, and confidence intervals. Figure 2 should be supported by a table with exact predicted probabilities and 95 percent confidence intervals.</w:t>
      </w:r>
    </w:p>
    <w:p w14:paraId="21D9EEC0" w14:textId="77777777" w:rsidR="00E81BAF" w:rsidRDefault="00000000" w:rsidP="00E81BAF">
      <w:pPr>
        <w:spacing w:before="120" w:after="120" w:line="360" w:lineRule="auto"/>
        <w:ind w:left="720"/>
        <w:jc w:val="both"/>
        <w:rPr>
          <w:rFonts w:ascii="Calibri" w:eastAsia="Calibri" w:hAnsi="Calibri" w:cs="Calibri"/>
          <w:color w:val="FF0000"/>
        </w:rPr>
      </w:pPr>
      <w:r w:rsidRPr="00D041B7">
        <w:rPr>
          <w:rFonts w:ascii="Calibri" w:eastAsia="Calibri" w:hAnsi="Calibri" w:cs="Calibri"/>
          <w:color w:val="FF0000"/>
        </w:rPr>
        <w:t xml:space="preserve">Thank you for this suggestion. We fully agree. Now the full model including all your suggestions is included in the regression table (Table 3 in the paper; p. 14-16). Since it is a large table, we omitted it here. Now the table also contains all “covariates, sample sizes, fit statistics, weighting details, and confidence intervals” as requested. Similarly, now Fig 2 is supported by a predicted probabilities table (now Table 2 in p. 14). </w:t>
      </w:r>
      <w:r w:rsidRPr="00D041B7">
        <w:rPr>
          <w:rFonts w:ascii="Times New Roman" w:eastAsia="Times New Roman" w:hAnsi="Times New Roman" w:cs="Times New Roman"/>
          <w:color w:val="FF0000"/>
        </w:rPr>
        <w:t>We thank you for this suggestion.</w:t>
      </w:r>
    </w:p>
    <w:p w14:paraId="3EBF505F" w14:textId="77777777" w:rsidR="00873C4D"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use of survey weights needs a clearer explanation. The sample comes from a non probability online panel with quota recruitment. Weights can improve balance with population margins, but they do not provide standard design based population inference. The authors should report unweighted results and soften claims about representativeness.</w:t>
      </w:r>
    </w:p>
    <w:p w14:paraId="21CB50A9" w14:textId="77777777" w:rsidR="00932F6B" w:rsidRDefault="00000000" w:rsidP="00932F6B">
      <w:pPr>
        <w:spacing w:before="120" w:after="120" w:line="360" w:lineRule="auto"/>
        <w:ind w:left="720"/>
        <w:jc w:val="both"/>
        <w:rPr>
          <w:rFonts w:ascii="Calibri" w:eastAsia="Calibri" w:hAnsi="Calibri" w:cs="Calibri"/>
          <w:color w:val="FF0000"/>
        </w:rPr>
      </w:pPr>
      <w:r w:rsidRPr="00873C4D">
        <w:rPr>
          <w:rFonts w:ascii="Calibri" w:eastAsia="Calibri" w:hAnsi="Calibri" w:cs="Calibri"/>
          <w:color w:val="FF0000"/>
        </w:rPr>
        <w:t xml:space="preserve">Yes, we totally agree with this comment as well. We now have added “Table OA1. Unweighted Multinomial and Ordinal Logit Models of Support for Funding a High-Cost.” We think this table could go into the Online Appendix, but if the reviewer(s)/Editor considers it relevant to include it in the paper’s main document, we would be happy to do so. Since this table is very long, we encourage the reviewer to refer to the main document (p. 29). </w:t>
      </w:r>
    </w:p>
    <w:p w14:paraId="02744B47" w14:textId="77777777" w:rsidR="00932F6B" w:rsidRDefault="00000000" w:rsidP="00932F6B">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The results are substantively comparable, but not identical:</w:t>
      </w:r>
    </w:p>
    <w:p w14:paraId="6E09DB7E" w14:textId="1106951E" w:rsidR="00932F6B" w:rsidRPr="00932F6B" w:rsidRDefault="00000000" w:rsidP="00932F6B">
      <w:pPr>
        <w:pStyle w:val="ListParagraph"/>
        <w:numPr>
          <w:ilvl w:val="0"/>
          <w:numId w:val="6"/>
        </w:numPr>
        <w:spacing w:before="120" w:after="120" w:line="360" w:lineRule="auto"/>
        <w:jc w:val="both"/>
        <w:rPr>
          <w:rFonts w:ascii="Calibri" w:eastAsia="Calibri" w:hAnsi="Calibri" w:cs="Calibri"/>
          <w:color w:val="FF0000"/>
        </w:rPr>
      </w:pPr>
      <w:r w:rsidRPr="00932F6B">
        <w:rPr>
          <w:rFonts w:ascii="Calibri" w:eastAsia="Calibri" w:hAnsi="Calibri" w:cs="Calibri"/>
          <w:color w:val="FF0000"/>
        </w:rPr>
        <w:t>All eight framing coefficients retain the same direction.</w:t>
      </w:r>
    </w:p>
    <w:p w14:paraId="234F3567" w14:textId="03DE0389" w:rsidR="00932F6B" w:rsidRPr="00932F6B" w:rsidRDefault="00000000" w:rsidP="00932F6B">
      <w:pPr>
        <w:pStyle w:val="ListParagraph"/>
        <w:numPr>
          <w:ilvl w:val="0"/>
          <w:numId w:val="6"/>
        </w:numPr>
        <w:spacing w:before="120" w:after="120" w:line="360" w:lineRule="auto"/>
        <w:jc w:val="both"/>
        <w:rPr>
          <w:rFonts w:ascii="Calibri" w:eastAsia="Calibri" w:hAnsi="Calibri" w:cs="Calibri"/>
          <w:color w:val="FF0000"/>
        </w:rPr>
      </w:pPr>
      <w:r w:rsidRPr="00932F6B">
        <w:rPr>
          <w:rFonts w:ascii="Calibri" w:eastAsia="Calibri" w:hAnsi="Calibri" w:cs="Calibri"/>
          <w:color w:val="FF0000"/>
        </w:rPr>
        <w:t>Every unweighted confidence interval overlaps its weighted counterpart.</w:t>
      </w:r>
    </w:p>
    <w:p w14:paraId="012B138B" w14:textId="20418B7B" w:rsidR="00932F6B" w:rsidRPr="00932F6B" w:rsidRDefault="00000000" w:rsidP="00932F6B">
      <w:pPr>
        <w:pStyle w:val="ListParagraph"/>
        <w:numPr>
          <w:ilvl w:val="0"/>
          <w:numId w:val="6"/>
        </w:numPr>
        <w:spacing w:before="120" w:after="120" w:line="360" w:lineRule="auto"/>
        <w:jc w:val="both"/>
        <w:rPr>
          <w:rFonts w:ascii="Calibri" w:eastAsia="Calibri" w:hAnsi="Calibri" w:cs="Calibri"/>
          <w:color w:val="FF0000"/>
        </w:rPr>
      </w:pPr>
      <w:r w:rsidRPr="00932F6B">
        <w:rPr>
          <w:rFonts w:ascii="Calibri" w:eastAsia="Calibri" w:hAnsi="Calibri" w:cs="Calibri"/>
          <w:color w:val="FF0000"/>
        </w:rPr>
        <w:t>The strongest results remain: the loss frame increases unconditional funding; both frames increase “I don’t know”; and the ordinal loss-frame effect remains positive.</w:t>
      </w:r>
    </w:p>
    <w:p w14:paraId="79EE4044" w14:textId="77777777" w:rsidR="00BF12C7" w:rsidRDefault="00000000" w:rsidP="00BF12C7">
      <w:pPr>
        <w:pStyle w:val="ListParagraph"/>
        <w:numPr>
          <w:ilvl w:val="0"/>
          <w:numId w:val="6"/>
        </w:numPr>
        <w:spacing w:before="120" w:after="120" w:line="360" w:lineRule="auto"/>
        <w:jc w:val="both"/>
        <w:rPr>
          <w:rFonts w:ascii="Calibri" w:eastAsia="Calibri" w:hAnsi="Calibri" w:cs="Calibri"/>
          <w:color w:val="FF0000"/>
        </w:rPr>
      </w:pPr>
      <w:r w:rsidRPr="00932F6B">
        <w:rPr>
          <w:rFonts w:ascii="Calibri" w:eastAsia="Calibri" w:hAnsi="Calibri" w:cs="Calibri"/>
          <w:color w:val="FF0000"/>
        </w:rPr>
        <w:t xml:space="preserve">Some contrasts become less precise without weights (loss versus control for conditional funding, gains versus control for unconditional funding, and the ordinal gains effect no longer excludes the null at 95%). </w:t>
      </w:r>
    </w:p>
    <w:p w14:paraId="00000049" w14:textId="469FC250" w:rsidR="00B45748" w:rsidRPr="00BF12C7" w:rsidRDefault="00000000" w:rsidP="00BF12C7">
      <w:pPr>
        <w:pStyle w:val="ListParagraph"/>
        <w:spacing w:before="120" w:after="120" w:line="360" w:lineRule="auto"/>
        <w:ind w:left="1080"/>
        <w:jc w:val="both"/>
        <w:rPr>
          <w:rFonts w:ascii="Calibri" w:eastAsia="Calibri" w:hAnsi="Calibri" w:cs="Calibri"/>
          <w:color w:val="FF0000"/>
        </w:rPr>
      </w:pPr>
      <w:r w:rsidRPr="00BF12C7">
        <w:rPr>
          <w:rFonts w:ascii="Calibri" w:eastAsia="Calibri" w:hAnsi="Calibri" w:cs="Calibri"/>
          <w:color w:val="FF0000"/>
        </w:rPr>
        <w:t>We also have taken measures to “soften claims about representativeness”, as per R1’s suggestion. In those regards, we have:</w:t>
      </w:r>
    </w:p>
    <w:p w14:paraId="0000004B" w14:textId="77777777" w:rsidR="00B45748" w:rsidRPr="00BF12C7" w:rsidRDefault="00000000" w:rsidP="00BF12C7">
      <w:pPr>
        <w:pStyle w:val="ListParagraph"/>
        <w:numPr>
          <w:ilvl w:val="0"/>
          <w:numId w:val="6"/>
        </w:numPr>
        <w:spacing w:before="120" w:after="120" w:line="360" w:lineRule="auto"/>
        <w:jc w:val="both"/>
        <w:rPr>
          <w:rFonts w:ascii="Calibri" w:eastAsia="Calibri" w:hAnsi="Calibri" w:cs="Calibri"/>
          <w:color w:val="FF0000"/>
        </w:rPr>
      </w:pPr>
      <w:r w:rsidRPr="00BF12C7">
        <w:rPr>
          <w:rFonts w:ascii="Calibri" w:eastAsia="Calibri" w:hAnsi="Calibri" w:cs="Calibri"/>
          <w:color w:val="FF0000"/>
        </w:rPr>
        <w:lastRenderedPageBreak/>
        <w:t>Edited the methods section. Now it reads: “</w:t>
      </w:r>
      <w:r w:rsidRPr="00BF12C7">
        <w:rPr>
          <w:rFonts w:ascii="Times New Roman" w:eastAsia="Times New Roman" w:hAnsi="Times New Roman" w:cs="Times New Roman"/>
          <w:color w:val="FF0000"/>
        </w:rPr>
        <w:t>Because respondents were recruited from a non-probability online panel, these quotas can improve alignment on observed characteristics but do not eliminate selection bias or support design-based inference to the Finnish adult population”</w:t>
      </w:r>
    </w:p>
    <w:p w14:paraId="0000004C" w14:textId="77777777" w:rsidR="00B45748" w:rsidRPr="00BF12C7" w:rsidRDefault="00000000" w:rsidP="00BF12C7">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Edited the Abstract, and replaced “a population-based survey experiment” for “a survey experiment.”</w:t>
      </w:r>
    </w:p>
    <w:p w14:paraId="0000004D" w14:textId="77777777" w:rsidR="00B45748" w:rsidRPr="00BF12C7" w:rsidRDefault="00000000" w:rsidP="00BF12C7">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To add more substantive discussion to the issue of weights, we have added FN #1 (p. 9) that compares the weighted and unweighted results: “Unweighted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p>
    <w:p w14:paraId="0000004E" w14:textId="77777777" w:rsidR="00B45748" w:rsidRPr="00BF12C7" w:rsidRDefault="00000000" w:rsidP="00BF12C7">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Softening the tone. We have replaced "All models are estimated with survey weights to preserve population representativeness" with "The main models apply the supplied calibration weight to improve alignment with available population margins. Because recruitment was non-probabilistic, these weights do not permit design-based population inference (corresponding unweighted estimates are reported in Table 1OA)" in the Methods section (p. 11).</w:t>
      </w:r>
    </w:p>
    <w:p w14:paraId="0000004F" w14:textId="77777777" w:rsidR="00B45748" w:rsidRPr="00BF12C7" w:rsidRDefault="00000000" w:rsidP="00BF12C7">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In the Discussion section, we have changed "Using a population-based survey experiment" for "Using a survey experiment" (p. 17).</w:t>
      </w:r>
    </w:p>
    <w:p w14:paraId="49C9EED5" w14:textId="77777777" w:rsidR="00BF12C7" w:rsidRDefault="00000000" w:rsidP="0089682E">
      <w:pPr>
        <w:pStyle w:val="ListParagraph"/>
        <w:numPr>
          <w:ilvl w:val="0"/>
          <w:numId w:val="6"/>
        </w:numPr>
        <w:spacing w:before="120" w:after="120" w:line="360" w:lineRule="auto"/>
        <w:jc w:val="both"/>
        <w:rPr>
          <w:rFonts w:ascii="Times New Roman" w:eastAsia="Times New Roman" w:hAnsi="Times New Roman" w:cs="Times New Roman"/>
          <w:color w:val="FF0000"/>
        </w:rPr>
      </w:pPr>
      <w:r w:rsidRPr="00BF12C7">
        <w:rPr>
          <w:rFonts w:ascii="Times New Roman" w:eastAsia="Times New Roman" w:hAnsi="Times New Roman" w:cs="Times New Roman"/>
          <w:color w:val="FF0000"/>
        </w:rPr>
        <w:t xml:space="preserve">We have added a fifth limitation: “Fifth, recruitment from a non-probability online panel further limits population generalizability: calibration weights improve balance on observed margins but cannot correct unobserved selection into the panel.” In the Discussion section, where we discuss our work’s limitations (p. 20). </w:t>
      </w:r>
    </w:p>
    <w:p w14:paraId="00000052" w14:textId="45D9A634" w:rsidR="00B45748" w:rsidRPr="00BF12C7" w:rsidRDefault="00000000" w:rsidP="00BF12C7">
      <w:pPr>
        <w:pStyle w:val="ListParagraph"/>
        <w:spacing w:before="120" w:after="120" w:line="360" w:lineRule="auto"/>
        <w:ind w:left="1080"/>
        <w:jc w:val="both"/>
        <w:rPr>
          <w:rFonts w:ascii="Times New Roman" w:eastAsia="Times New Roman" w:hAnsi="Times New Roman" w:cs="Times New Roman"/>
          <w:color w:val="FF0000"/>
        </w:rPr>
      </w:pPr>
      <w:r w:rsidRPr="00BF12C7">
        <w:rPr>
          <w:rFonts w:ascii="Calibri" w:eastAsia="Calibri" w:hAnsi="Calibri" w:cs="Calibri"/>
          <w:color w:val="FF0000"/>
        </w:rPr>
        <w:t>With these, we truly hope to have answered R1. Many thanks for these suggestions.</w:t>
      </w:r>
    </w:p>
    <w:p w14:paraId="19D60FFF" w14:textId="77777777" w:rsidR="00B2727F" w:rsidRPr="00B2727F" w:rsidRDefault="00000000" w:rsidP="0089682E">
      <w:pPr>
        <w:numPr>
          <w:ilvl w:val="0"/>
          <w:numId w:val="1"/>
        </w:numPr>
        <w:spacing w:before="120" w:after="120" w:line="360" w:lineRule="auto"/>
        <w:jc w:val="both"/>
        <w:rPr>
          <w:rFonts w:ascii="Calibri" w:eastAsia="Calibri" w:hAnsi="Calibri" w:cs="Calibri"/>
          <w:color w:val="FF0000"/>
        </w:rPr>
      </w:pPr>
      <w:r w:rsidRPr="00B2727F">
        <w:rPr>
          <w:rFonts w:ascii="Calibri" w:eastAsia="Calibri" w:hAnsi="Calibri" w:cs="Calibri"/>
          <w:color w:val="212121"/>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03C27BF9" w14:textId="77777777" w:rsidR="00850170" w:rsidRDefault="00000000" w:rsidP="00850170">
      <w:pPr>
        <w:spacing w:before="120" w:after="120" w:line="360" w:lineRule="auto"/>
        <w:ind w:left="720"/>
        <w:jc w:val="both"/>
        <w:rPr>
          <w:rFonts w:ascii="Calibri" w:eastAsia="Calibri" w:hAnsi="Calibri" w:cs="Calibri"/>
          <w:color w:val="FF0000"/>
        </w:rPr>
      </w:pPr>
      <w:commentRangeStart w:id="2"/>
      <w:r w:rsidRPr="00B2727F">
        <w:rPr>
          <w:rFonts w:ascii="Calibri" w:eastAsia="Calibri" w:hAnsi="Calibri" w:cs="Calibri"/>
          <w:color w:val="FF0000"/>
        </w:rPr>
        <w:t>This should be taken into account perhaps already in Introduction, but also in Section 1.1; see the comment in the manuscript</w:t>
      </w:r>
      <w:r w:rsidR="00850170">
        <w:rPr>
          <w:rFonts w:ascii="Calibri" w:eastAsia="Calibri" w:hAnsi="Calibri" w:cs="Calibri"/>
          <w:color w:val="FF0000"/>
        </w:rPr>
        <w:t>.</w:t>
      </w:r>
      <w:commentRangeEnd w:id="2"/>
      <w:r w:rsidR="00850170">
        <w:rPr>
          <w:rStyle w:val="CommentReference"/>
          <w:rFonts w:ascii="Calibri" w:eastAsia="Calibri" w:hAnsi="Calibri" w:cs="Calibri"/>
          <w:color w:val="FF0000"/>
          <w:sz w:val="22"/>
          <w:szCs w:val="22"/>
        </w:rPr>
        <w:commentReference w:id="2"/>
      </w:r>
    </w:p>
    <w:p w14:paraId="7BBB0F48"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lastRenderedPageBreak/>
        <w:t>The response scale may channel different views into the conditional funding category. Some respondents may choose it because they support price negotiation. Others may choose it because they are uncertain, because they want to avoid denying treatment, or because they view unconditional funding as too permissive. These are substantively different reasons, but the current measure cannot distinguish them. The manuscript should therefore discuss the modal conditional funding result as a possible measurement issue and should be cautious in drawing policy implications from it.</w:t>
      </w:r>
    </w:p>
    <w:p w14:paraId="1277A255" w14:textId="77777777" w:rsidR="00E74AA9" w:rsidRDefault="00000000" w:rsidP="00E74AA9">
      <w:pPr>
        <w:spacing w:before="120" w:after="120" w:line="360" w:lineRule="auto"/>
        <w:ind w:left="720"/>
        <w:jc w:val="both"/>
        <w:rPr>
          <w:rFonts w:ascii="Calibri" w:eastAsia="Calibri" w:hAnsi="Calibri" w:cs="Calibri"/>
          <w:color w:val="212121"/>
        </w:rPr>
      </w:pPr>
      <w:commentRangeStart w:id="3"/>
      <w:r w:rsidRPr="00D77DD3">
        <w:rPr>
          <w:rFonts w:ascii="Calibri" w:eastAsia="Calibri" w:hAnsi="Calibri" w:cs="Calibri"/>
          <w:color w:val="FF0000"/>
        </w:rPr>
        <w:t>Let’s discuss this when we discuss limitations of the study in Discussion</w:t>
      </w:r>
      <w:commentRangeEnd w:id="3"/>
      <w:r w:rsidR="00E74AA9">
        <w:rPr>
          <w:rStyle w:val="CommentReference"/>
          <w:rFonts w:ascii="Calibri" w:eastAsia="Calibri" w:hAnsi="Calibri" w:cs="Calibri"/>
          <w:color w:val="212121"/>
          <w:sz w:val="22"/>
          <w:szCs w:val="22"/>
        </w:rPr>
        <w:commentReference w:id="3"/>
      </w:r>
    </w:p>
    <w:p w14:paraId="007CFBE9"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Several parts of the Discussion go beyond the evidence. The manuscript discusses political trust, ideology, system satisfaction, industry lobbying, patient organisations, and patient influencers. These topics are relevant to the broader policy area, but most are not measured in this study. The Discussion should be shortened and tied more closely to the results.</w:t>
      </w:r>
    </w:p>
    <w:p w14:paraId="5AC201F2" w14:textId="77777777" w:rsidR="00350EC0" w:rsidRDefault="00000000" w:rsidP="00350EC0">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See also ref 1 comment 4. Plus see Katri’s &amp; Mikko’s comment concerning 2nd paragraph of Discussion</w:t>
      </w:r>
    </w:p>
    <w:p w14:paraId="11E51273" w14:textId="77777777" w:rsidR="00350EC0" w:rsidRPr="00350EC0" w:rsidRDefault="00000000" w:rsidP="00350EC0">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vignette wording needs clarification. The phrase about laboratory evidence destroying cancer cells may lead respondents to infer stronger clinical benefit than intended. The authors should clarify the source and meaning of this wording.</w:t>
      </w:r>
    </w:p>
    <w:p w14:paraId="09F2D068" w14:textId="77777777" w:rsidR="00DD0FEB" w:rsidRDefault="00000000" w:rsidP="00DD0FEB">
      <w:pPr>
        <w:spacing w:before="120" w:after="120" w:line="360" w:lineRule="auto"/>
        <w:ind w:left="720"/>
        <w:jc w:val="both"/>
        <w:rPr>
          <w:rFonts w:ascii="Calibri" w:eastAsia="Calibri" w:hAnsi="Calibri" w:cs="Calibri"/>
          <w:color w:val="212121"/>
        </w:rPr>
      </w:pPr>
      <w:r w:rsidRPr="00D77DD3">
        <w:rPr>
          <w:rFonts w:ascii="Calibri" w:eastAsia="Calibri" w:hAnsi="Calibri" w:cs="Calibri"/>
          <w:color w:val="FF0000"/>
        </w:rPr>
        <w:t xml:space="preserve">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w:t>
      </w:r>
    </w:p>
    <w:p w14:paraId="053D358A" w14:textId="77777777" w:rsidR="00855FF5"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The manuscript does not include manipulation checks or mechanism measures. The authors interpret the treatment effects as evidence of loss avoidance, gain preservation, and the rule of rescue, but the survey does not measure whether respondents actually perceived the treatments in these terms. It does not measure perceived patient loss, perceived opportunity cost, perceived absence of alternatives, or perceived moral obligation. The evidence therefore supports a treatment effect on stated funding preferences, but it does not identify the psychological mechanism behind that effect. The mechanism claims should be softened unless additional evidence is provided.</w:t>
      </w:r>
    </w:p>
    <w:p w14:paraId="00DC2A87" w14:textId="77777777" w:rsidR="00026433" w:rsidRDefault="00000000" w:rsidP="00026433">
      <w:pPr>
        <w:spacing w:before="120" w:after="120" w:line="360" w:lineRule="auto"/>
        <w:ind w:left="720"/>
        <w:jc w:val="both"/>
        <w:rPr>
          <w:rFonts w:ascii="Calibri" w:eastAsia="Calibri" w:hAnsi="Calibri" w:cs="Calibri"/>
          <w:color w:val="212121"/>
        </w:rPr>
      </w:pPr>
      <w:r w:rsidRPr="00855FF5">
        <w:rPr>
          <w:rFonts w:ascii="Calibri" w:eastAsia="Calibri" w:hAnsi="Calibri" w:cs="Calibri"/>
          <w:color w:val="FF0000"/>
        </w:rPr>
        <w:lastRenderedPageBreak/>
        <w:t xml:space="preserve">Thank you. We agree that the experiment identifies the causal effects of the assigned frames on stated funding preferences but does not identify the intervening psychological mechanism. As requested, we have softened our claims, while retaining prospect theory and the rule of rescue as the ex ante theoretical account. </w:t>
      </w:r>
      <w:r w:rsidRPr="00D77DD3">
        <w:rPr>
          <w:rFonts w:ascii="Calibri" w:eastAsia="Calibri" w:hAnsi="Calibri" w:cs="Calibri"/>
          <w:color w:val="FF0000"/>
        </w:rPr>
        <w:t>Specifically, we made the following revisions:</w:t>
      </w:r>
    </w:p>
    <w:p w14:paraId="570868BE" w14:textId="77777777" w:rsidR="00026433" w:rsidRDefault="00000000" w:rsidP="00026433">
      <w:pPr>
        <w:spacing w:before="120" w:after="120" w:line="360" w:lineRule="auto"/>
        <w:ind w:left="720"/>
        <w:jc w:val="both"/>
        <w:rPr>
          <w:rFonts w:ascii="Calibri" w:eastAsia="Calibri" w:hAnsi="Calibri" w:cs="Calibri"/>
          <w:color w:val="212121"/>
        </w:rPr>
      </w:pPr>
      <w:r w:rsidRPr="00026433">
        <w:rPr>
          <w:rFonts w:ascii="Calibri" w:eastAsia="Calibri" w:hAnsi="Calibri" w:cs="Calibri"/>
          <w:b/>
          <w:bCs/>
          <w:color w:val="FF0000"/>
        </w:rPr>
        <w:t>Abstract</w:t>
      </w:r>
      <w:r w:rsidRPr="00D77DD3">
        <w:rPr>
          <w:rFonts w:ascii="Calibri" w:eastAsia="Calibri" w:hAnsi="Calibri" w:cs="Calibri"/>
          <w:color w:val="FF0000"/>
        </w:rPr>
        <w:t>. We changed “Support for funding rises under loss-avoidance framing and falls under gain-preservation framing” to “Despite identical policy content, support for funding rises under the rescue-oriented frame and falls under the resource-preservation frame.” This avoids describing the intended psychological mechanisms as directly observed outcomes.</w:t>
      </w:r>
    </w:p>
    <w:p w14:paraId="66BE9DAE" w14:textId="77777777" w:rsidR="00026433" w:rsidRDefault="00000000" w:rsidP="00026433">
      <w:pPr>
        <w:spacing w:before="120" w:after="120" w:line="360" w:lineRule="auto"/>
        <w:ind w:left="720"/>
        <w:jc w:val="both"/>
        <w:rPr>
          <w:rFonts w:ascii="Calibri" w:eastAsia="Calibri" w:hAnsi="Calibri" w:cs="Calibri"/>
          <w:color w:val="212121"/>
        </w:rPr>
      </w:pPr>
      <w:r w:rsidRPr="00026433">
        <w:rPr>
          <w:rFonts w:ascii="Calibri" w:eastAsia="Calibri" w:hAnsi="Calibri" w:cs="Calibri"/>
          <w:b/>
          <w:bCs/>
          <w:color w:val="FF0000"/>
        </w:rPr>
        <w:t>Introduction</w:t>
      </w:r>
      <w:r w:rsidRPr="00D77DD3">
        <w:rPr>
          <w:rFonts w:ascii="Calibri" w:eastAsia="Calibri" w:hAnsi="Calibri" w:cs="Calibri"/>
          <w:color w:val="FF0000"/>
        </w:rPr>
        <w:t>. We changed “institutional insulation does not neutralise framing effects in mass preferences because it does not alter the cognitive mechanisms through which citizens evaluate distributive trade-offs” to “institutional insulation need not neutralise framing effects in mass preferences because citizens may still interpret distributive trade-offs through competing reference points.” We also changed the claim that the frame “sets the reference point” to the more appropriately qualified claim that it “may make different reference points salient.”</w:t>
      </w:r>
    </w:p>
    <w:p w14:paraId="7F26FF02" w14:textId="77777777" w:rsidR="008678C5" w:rsidRDefault="00000000" w:rsidP="008678C5">
      <w:pPr>
        <w:spacing w:before="120" w:after="120" w:line="360" w:lineRule="auto"/>
        <w:ind w:left="720"/>
        <w:jc w:val="both"/>
        <w:rPr>
          <w:rFonts w:ascii="Calibri" w:eastAsia="Calibri" w:hAnsi="Calibri" w:cs="Calibri"/>
          <w:color w:val="212121"/>
        </w:rPr>
      </w:pPr>
      <w:r w:rsidRPr="00026433">
        <w:rPr>
          <w:rFonts w:ascii="Calibri" w:eastAsia="Calibri" w:hAnsi="Calibri" w:cs="Calibri"/>
          <w:b/>
          <w:bCs/>
          <w:color w:val="FF0000"/>
        </w:rPr>
        <w:t>Theory</w:t>
      </w:r>
      <w:r w:rsidRPr="00D77DD3">
        <w:rPr>
          <w:rFonts w:ascii="Calibri" w:eastAsia="Calibri" w:hAnsi="Calibri" w:cs="Calibri"/>
          <w:color w:val="FF0000"/>
        </w:rPr>
        <w:t>. We changed the claim that rescue-oriented frames place citizens in the loss domain, “thereby activating” loss aversion, to state that these frames are “designed to make a loss-domain interpretation more salient and may therefore elicit” the dynamics predicted by prospect theory. We also added: “These propositions specify the mechanisms motivating our directional hypotheses; the experiment tests their observable implications for funding choices rather than directly measuring respondents’ perceptions or the intervening psychological process.”</w:t>
      </w:r>
    </w:p>
    <w:p w14:paraId="13211A58" w14:textId="77777777" w:rsidR="008678C5" w:rsidRDefault="00000000" w:rsidP="008678C5">
      <w:pPr>
        <w:spacing w:before="120" w:after="120" w:line="360" w:lineRule="auto"/>
        <w:ind w:left="720"/>
        <w:jc w:val="both"/>
        <w:rPr>
          <w:rFonts w:ascii="Calibri" w:eastAsia="Calibri" w:hAnsi="Calibri" w:cs="Calibri"/>
          <w:color w:val="212121"/>
        </w:rPr>
      </w:pPr>
      <w:r w:rsidRPr="008678C5">
        <w:rPr>
          <w:rFonts w:ascii="Calibri" w:eastAsia="Calibri" w:hAnsi="Calibri" w:cs="Calibri"/>
          <w:b/>
          <w:bCs/>
          <w:color w:val="FF0000"/>
        </w:rPr>
        <w:t>Outcome interpretation</w:t>
      </w:r>
      <w:r w:rsidRPr="00D77DD3">
        <w:rPr>
          <w:rFonts w:ascii="Calibri" w:eastAsia="Calibri" w:hAnsi="Calibri" w:cs="Calibri"/>
          <w:color w:val="FF0000"/>
        </w:rPr>
        <w:t>. We removed the characterization of unconditional funding, conditional funding, and rejection as direct indicators of risk-seeking and risk-averse preferences. The revised text orders these responses according to their restrictiveness and explicitly states that the outcome “does not itself measure respondents’ perceptions of gains, losses, opportunity costs, or moral obligation.”</w:t>
      </w:r>
    </w:p>
    <w:p w14:paraId="57AC39AC" w14:textId="77777777" w:rsidR="00545D88" w:rsidRDefault="00000000" w:rsidP="00545D88">
      <w:pPr>
        <w:spacing w:before="120" w:after="120" w:line="360" w:lineRule="auto"/>
        <w:ind w:left="720"/>
        <w:jc w:val="both"/>
        <w:rPr>
          <w:rFonts w:ascii="Calibri" w:eastAsia="Calibri" w:hAnsi="Calibri" w:cs="Calibri"/>
          <w:color w:val="212121"/>
        </w:rPr>
      </w:pPr>
      <w:r w:rsidRPr="008678C5">
        <w:rPr>
          <w:rFonts w:ascii="Calibri" w:eastAsia="Calibri" w:hAnsi="Calibri" w:cs="Calibri"/>
          <w:b/>
          <w:bCs/>
          <w:color w:val="FF0000"/>
        </w:rPr>
        <w:t>Results</w:t>
      </w:r>
      <w:r w:rsidRPr="00D77DD3">
        <w:rPr>
          <w:rFonts w:ascii="Calibri" w:eastAsia="Calibri" w:hAnsi="Calibri" w:cs="Calibri"/>
          <w:color w:val="FF0000"/>
        </w:rPr>
        <w:t>. We replaced claims that the treatments produced risk-seeking or risk-averse responses with descriptions of the observed movements between less and more restrictive funding positions. We now state that the direction of these shifts is “consistent with expectations derived from prospect theory and the rule of rescue,” rather than treating the results as direct evidence that these psychological processes occurred.</w:t>
      </w:r>
    </w:p>
    <w:p w14:paraId="55F2D082" w14:textId="77777777" w:rsidR="000A68A8" w:rsidRDefault="00000000" w:rsidP="000A68A8">
      <w:pPr>
        <w:spacing w:before="120" w:after="120" w:line="360" w:lineRule="auto"/>
        <w:ind w:left="720"/>
        <w:jc w:val="both"/>
        <w:rPr>
          <w:rFonts w:ascii="Calibri" w:eastAsia="Calibri" w:hAnsi="Calibri" w:cs="Calibri"/>
          <w:color w:val="212121"/>
        </w:rPr>
      </w:pPr>
      <w:r w:rsidRPr="00545D88">
        <w:rPr>
          <w:rFonts w:ascii="Calibri" w:eastAsia="Calibri" w:hAnsi="Calibri" w:cs="Calibri"/>
          <w:b/>
          <w:bCs/>
          <w:color w:val="FF0000"/>
        </w:rPr>
        <w:lastRenderedPageBreak/>
        <w:t>Mechanism interpretation</w:t>
      </w:r>
      <w:r w:rsidRPr="00D77DD3">
        <w:rPr>
          <w:rFonts w:ascii="Calibri" w:eastAsia="Calibri" w:hAnsi="Calibri" w:cs="Calibri"/>
          <w:color w:val="FF0000"/>
        </w:rPr>
        <w:t>. We added the following qualification to the Results: “Because the survey did not include manipulation checks or measures of perceived patient loss, opportunity cost, absence of alternatives, or moral obligation, however, the results do not establish which psychological process generated these effects.”</w:t>
      </w:r>
    </w:p>
    <w:p w14:paraId="1485F76A" w14:textId="77777777" w:rsidR="00C22D9D" w:rsidRDefault="00000000" w:rsidP="00C22D9D">
      <w:pPr>
        <w:spacing w:before="120" w:after="120" w:line="360" w:lineRule="auto"/>
        <w:ind w:left="720"/>
        <w:jc w:val="both"/>
        <w:rPr>
          <w:rFonts w:ascii="Calibri" w:eastAsia="Calibri" w:hAnsi="Calibri" w:cs="Calibri"/>
          <w:color w:val="212121"/>
        </w:rPr>
      </w:pPr>
      <w:r w:rsidRPr="000A68A8">
        <w:rPr>
          <w:rFonts w:ascii="Calibri" w:eastAsia="Calibri" w:hAnsi="Calibri" w:cs="Calibri"/>
          <w:b/>
          <w:bCs/>
          <w:color w:val="FF0000"/>
        </w:rPr>
        <w:t>Discussion</w:t>
      </w:r>
      <w:r w:rsidRPr="00D77DD3">
        <w:rPr>
          <w:rFonts w:ascii="Calibri" w:eastAsia="Calibri" w:hAnsi="Calibri" w:cs="Calibri"/>
          <w:color w:val="FF0000"/>
        </w:rPr>
        <w:t>. We changed “These findings support our theoretical claim that technocratic delegation does not neutralize framing effects because framing operates through cognitive evaluation” to: “These findings support the more limited claim that technocratic delegation does not prevent experimentally varied justifications from shifting stated funding preferences.” We further clarify that the findings are compatible with a reference-dependent account but do not show that respondents actually construed the treatments as losses, gains, or rescue obligations.</w:t>
      </w:r>
    </w:p>
    <w:p w14:paraId="4EE7DE65" w14:textId="77777777" w:rsidR="00981138" w:rsidRDefault="00000000" w:rsidP="00981138">
      <w:pPr>
        <w:spacing w:before="120" w:after="120" w:line="360" w:lineRule="auto"/>
        <w:ind w:left="720"/>
        <w:jc w:val="both"/>
        <w:rPr>
          <w:rFonts w:ascii="Calibri" w:eastAsia="Calibri" w:hAnsi="Calibri" w:cs="Calibri"/>
          <w:color w:val="212121"/>
        </w:rPr>
      </w:pPr>
      <w:r w:rsidRPr="00C22D9D">
        <w:rPr>
          <w:rFonts w:ascii="Calibri" w:eastAsia="Calibri" w:hAnsi="Calibri" w:cs="Calibri"/>
          <w:b/>
          <w:bCs/>
          <w:color w:val="FF0000"/>
        </w:rPr>
        <w:t>Limitations and future research</w:t>
      </w:r>
      <w:r w:rsidRPr="00D77DD3">
        <w:rPr>
          <w:rFonts w:ascii="Calibri" w:eastAsia="Calibri" w:hAnsi="Calibri" w:cs="Calibri"/>
          <w:color w:val="FF0000"/>
        </w:rPr>
        <w:t>. We now state explicitly that the survey included neither manipulation checks nor direct mechanism measures and that the study identifies effects of the assigned frames, not the psychological processes producing those effects. We also add that future studies should incorporate manipulation checks and preregistered measures of perceived loss, opportunity cost, absence of alternatives, and moral obligation.</w:t>
      </w:r>
    </w:p>
    <w:p w14:paraId="59EA27B6" w14:textId="77777777" w:rsidR="00981138" w:rsidRDefault="00000000" w:rsidP="00981138">
      <w:pPr>
        <w:spacing w:before="120" w:after="120" w:line="360" w:lineRule="auto"/>
        <w:ind w:left="720"/>
        <w:jc w:val="both"/>
        <w:rPr>
          <w:rFonts w:ascii="Calibri" w:eastAsia="Calibri" w:hAnsi="Calibri" w:cs="Calibri"/>
          <w:color w:val="212121"/>
        </w:rPr>
      </w:pPr>
      <w:r w:rsidRPr="00981138">
        <w:rPr>
          <w:rFonts w:ascii="Calibri" w:eastAsia="Calibri" w:hAnsi="Calibri" w:cs="Calibri"/>
          <w:b/>
          <w:bCs/>
          <w:color w:val="FF0000"/>
        </w:rPr>
        <w:t>Conclusion</w:t>
      </w:r>
      <w:r w:rsidRPr="00D77DD3">
        <w:rPr>
          <w:rFonts w:ascii="Calibri" w:eastAsia="Calibri" w:hAnsi="Calibri" w:cs="Calibri"/>
          <w:color w:val="FF0000"/>
        </w:rPr>
        <w:t>. We changed the conclusion from claiming that citizens “evaluate” reimbursement decisions through reference-dependent frames to stating that experimentally varied justifications shift stated funding preferences and that the direction of these effects is consistent with reference-dependent interpretation. The revised conclusion explicitly notes that the present design does not identify the underlying cognitive or moral mechanism.</w:t>
      </w:r>
    </w:p>
    <w:p w14:paraId="2FF21FEE" w14:textId="77777777" w:rsidR="0057708E" w:rsidRDefault="00000000" w:rsidP="0057708E">
      <w:pPr>
        <w:spacing w:before="120" w:after="120" w:line="360" w:lineRule="auto"/>
        <w:ind w:left="720"/>
        <w:jc w:val="both"/>
        <w:rPr>
          <w:rFonts w:ascii="Calibri" w:eastAsia="Calibri" w:hAnsi="Calibri" w:cs="Calibri"/>
          <w:color w:val="212121"/>
        </w:rPr>
      </w:pPr>
      <w:r w:rsidRPr="00D77DD3">
        <w:rPr>
          <w:rFonts w:ascii="Calibri" w:eastAsia="Calibri" w:hAnsi="Calibri" w:cs="Calibri"/>
          <w:color w:val="FF0000"/>
        </w:rPr>
        <w:t>These revisions preserve the paper’s theoretical framework and directional hypotheses while ensuring that the empirical claims do not exceed what the experimental design and measured outcomes can establish.</w:t>
      </w:r>
    </w:p>
    <w:p w14:paraId="5D02456C" w14:textId="77777777" w:rsidR="0057708E"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Overall, the manuscript has potential as a focused survey experiment on framing and public preferences for high cost cancer medicine funding. The key tasks are to correct the Highlights, narrow the central claim, address the framing and information confound, reanalyse Don't know responses, and improve statistical reporting.</w:t>
      </w:r>
    </w:p>
    <w:p w14:paraId="011CEE9D" w14:textId="77777777" w:rsidR="007D6157" w:rsidRDefault="00000000" w:rsidP="0057708E">
      <w:pPr>
        <w:spacing w:before="120" w:after="120" w:line="360" w:lineRule="auto"/>
        <w:ind w:left="720"/>
        <w:jc w:val="both"/>
        <w:rPr>
          <w:rFonts w:ascii="Calibri" w:eastAsia="Calibri" w:hAnsi="Calibri" w:cs="Calibri"/>
          <w:color w:val="FF0000"/>
        </w:rPr>
      </w:pPr>
      <w:r w:rsidRPr="0057708E">
        <w:rPr>
          <w:rFonts w:ascii="Calibri" w:eastAsia="Calibri" w:hAnsi="Calibri" w:cs="Calibri"/>
          <w:color w:val="FF0000"/>
        </w:rPr>
        <w:t>We are very grateful for the constructive comments we have received.</w:t>
      </w:r>
      <w:r w:rsidRPr="0057708E">
        <w:rPr>
          <w:rFonts w:ascii="Calibri" w:eastAsia="Calibri" w:hAnsi="Calibri" w:cs="Calibri"/>
        </w:rPr>
        <w:t xml:space="preserve"> </w:t>
      </w:r>
      <w:r w:rsidRPr="0057708E">
        <w:rPr>
          <w:rFonts w:ascii="Calibri" w:eastAsia="Calibri" w:hAnsi="Calibri" w:cs="Calibri"/>
          <w:color w:val="FF0000"/>
        </w:rPr>
        <w:t>We believe that taking the comments into account has significantly improved the manuscript.</w:t>
      </w:r>
    </w:p>
    <w:p w14:paraId="0B8FB5F8" w14:textId="19CE974B" w:rsidR="007D6157" w:rsidRDefault="00432027" w:rsidP="0057708E">
      <w:pPr>
        <w:spacing w:before="120" w:after="120" w:line="360" w:lineRule="auto"/>
        <w:ind w:left="720"/>
        <w:jc w:val="both"/>
        <w:rPr>
          <w:rFonts w:ascii="Calibri" w:eastAsia="Calibri" w:hAnsi="Calibri" w:cs="Calibri"/>
          <w:color w:val="FF0000"/>
        </w:rPr>
      </w:pPr>
      <w:r>
        <w:rPr>
          <w:noProof/>
        </w:rPr>
      </w:r>
      <w:r>
        <w:pict w14:anchorId="1ACF604B">
          <v:rect id="Horizontal Line 1" o:spid="_x0000_s1026"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" filled="f">
            <o:lock v:ext="edit" rotation="t" aspectratio="t" verticies="t" text="t" shapetype="t"/>
            <w10:anchorlock/>
          </v:rect>
        </w:pict>
      </w:r>
    </w:p>
    <w:p w14:paraId="00000079" w14:textId="2712CF17" w:rsidR="00B45748" w:rsidRPr="007D6157" w:rsidRDefault="00000000" w:rsidP="007D6157">
      <w:pPr>
        <w:pStyle w:val="Heading2"/>
        <w:spacing w:before="120" w:line="360" w:lineRule="auto"/>
        <w:jc w:val="both"/>
      </w:pPr>
      <w:r w:rsidRPr="007D6157">
        <w:lastRenderedPageBreak/>
        <w:t>Reviewer #2:</w:t>
      </w:r>
    </w:p>
    <w:p w14:paraId="5BB62D48" w14:textId="77777777" w:rsidR="00C441C0" w:rsidRDefault="00000000" w:rsidP="0089682E">
      <w:pPr>
        <w:pStyle w:val="ListParagraph"/>
        <w:numPr>
          <w:ilvl w:val="0"/>
          <w:numId w:val="7"/>
        </w:numPr>
        <w:spacing w:before="120" w:after="120" w:line="360" w:lineRule="auto"/>
        <w:jc w:val="both"/>
        <w:rPr>
          <w:rFonts w:ascii="Calibri" w:eastAsia="Calibri" w:hAnsi="Calibri" w:cs="Calibri"/>
          <w:color w:val="212121"/>
        </w:rPr>
      </w:pPr>
      <w:r w:rsidRPr="00C441C0">
        <w:rPr>
          <w:rFonts w:ascii="Calibri" w:eastAsia="Calibri" w:hAnsi="Calibri" w:cs="Calibri"/>
          <w:color w:val="212121"/>
        </w:rPr>
        <w:t>This appears to me to be a well constructed piece of research, which will contribute to the ongoing discussion between what you refer to as the 'rescue' vs 'health maximisation' approach. One major point I feel you have misjudged is that cancer treatment today is often, and in some types of cancers, almost always about extending life rather than 'curing' the disease.</w:t>
      </w:r>
    </w:p>
    <w:p w14:paraId="65AD06A4" w14:textId="77777777" w:rsidR="00885794" w:rsidRDefault="00000000" w:rsidP="00C441C0">
      <w:pPr>
        <w:pStyle w:val="ListParagraph"/>
        <w:spacing w:before="120" w:after="120" w:line="360" w:lineRule="auto"/>
        <w:jc w:val="both"/>
        <w:rPr>
          <w:rFonts w:ascii="Calibri" w:eastAsia="Calibri" w:hAnsi="Calibri" w:cs="Calibri"/>
          <w:color w:val="FF0000"/>
        </w:rPr>
      </w:pPr>
      <w:r w:rsidRPr="00C441C0">
        <w:rPr>
          <w:rFonts w:ascii="Calibri" w:eastAsia="Calibri" w:hAnsi="Calibri" w:cs="Calibri"/>
          <w:color w:val="FF0000"/>
        </w:rPr>
        <w:t>We thank the Reviewer for raising this important point. This issue is one of the main motivations for the study and is reflected in the choice of the vignette and the policy implications of the findings. To make this more explicit, we have also highlighted this point in the first paragraph of the Introduction.</w:t>
      </w:r>
    </w:p>
    <w:p w14:paraId="05B4AD03" w14:textId="77777777" w:rsidR="004E5B7F" w:rsidRPr="004E5B7F" w:rsidRDefault="00000000" w:rsidP="0089682E">
      <w:pPr>
        <w:pStyle w:val="ListParagraph"/>
        <w:numPr>
          <w:ilvl w:val="0"/>
          <w:numId w:val="7"/>
        </w:numPr>
        <w:spacing w:before="120" w:after="120" w:line="360" w:lineRule="auto"/>
        <w:jc w:val="both"/>
        <w:rPr>
          <w:rFonts w:ascii="Calibri" w:eastAsia="Calibri" w:hAnsi="Calibri" w:cs="Calibri"/>
          <w:color w:val="FF0000"/>
        </w:rPr>
      </w:pPr>
      <w:r w:rsidRPr="004E5B7F">
        <w:rPr>
          <w:rFonts w:ascii="Calibri" w:eastAsia="Calibri" w:hAnsi="Calibri" w:cs="Calibri"/>
          <w:color w:val="212121"/>
        </w:rPr>
        <w:t>A very minor point: you use 'should' on a couple of occasions, I believe a less normative word of words would be better e.g. 'would' or 'probably.'</w:t>
      </w:r>
    </w:p>
    <w:p w14:paraId="00000081" w14:textId="4C41CE67" w:rsidR="00B45748" w:rsidRDefault="00000000" w:rsidP="009661B9">
      <w:pPr>
        <w:pStyle w:val="ListParagraph"/>
        <w:spacing w:before="120" w:after="120" w:line="360" w:lineRule="auto"/>
        <w:jc w:val="both"/>
      </w:pPr>
      <w:r w:rsidRPr="004E5B7F">
        <w:rPr>
          <w:rFonts w:ascii="Calibri" w:eastAsia="Calibri" w:hAnsi="Calibri" w:cs="Calibri"/>
          <w:color w:val="FF0000"/>
        </w:rPr>
        <w:t xml:space="preserve">We thank Reviewer 2 for this proposition. We have revised the text accordingly. </w:t>
      </w:r>
    </w:p>
    <w:sectPr w:rsidR="00B4574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Héctor Bahamonde" w:date="2026-09-15T10:39:00Z" w:initials="HB">
    <w:p w14:paraId="3BEBBA75" w14:textId="77777777" w:rsidR="00850170" w:rsidRDefault="00850170" w:rsidP="00850170">
      <w:r>
        <w:rPr>
          <w:rStyle w:val="CommentReference"/>
        </w:rPr>
        <w:annotationRef/>
      </w:r>
      <w:r>
        <w:rPr>
          <w:sz w:val="20"/>
          <w:szCs w:val="20"/>
        </w:rPr>
        <w:t>?</w:t>
      </w:r>
    </w:p>
  </w:comment>
  <w:comment w:id="3" w:author="Héctor Bahamonde" w:date="2026-09-15T10:40:00Z" w:initials="HB">
    <w:p w14:paraId="5965A0AB" w14:textId="77777777" w:rsidR="00E74AA9" w:rsidRDefault="00E74AA9" w:rsidP="00E74AA9">
      <w:r>
        <w:rPr>
          <w:rStyle w:val="CommentReference"/>
        </w:rPr>
        <w:annotationRef/>
      </w:r>
      <w:r>
        <w:rPr>
          <w:sz w:val="20"/>
          <w:szCs w:val="20"/>
        </w:rPr>
        <w:t>?</w:t>
      </w:r>
    </w:p>
    <w:p w14:paraId="52464886" w14:textId="77777777" w:rsidR="00E74AA9" w:rsidRDefault="00E74AA9" w:rsidP="00E74AA9"/>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BEBBA75" w15:done="0"/>
  <w15:commentEx w15:paraId="524648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30D17DF" w16cex:dateUtc="2026-09-15T08:39:00Z"/>
  <w16cex:commentExtensible w16cex:durableId="6876C1AC" w16cex:dateUtc="2026-09-15T08: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BEBBA75" w16cid:durableId="230D17DF"/>
  <w16cid:commentId w16cid:paraId="52464886" w16cid:durableId="6876C1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FE196E1-6115-C84A-86BE-3786CCF545AB}"/>
    <w:embedBold r:id="rId2" w:fontKey="{9E35955C-DED2-1044-8D57-D2EE7BCC57E6}"/>
  </w:font>
  <w:font w:name="Calibri">
    <w:panose1 w:val="020F0502020204030204"/>
    <w:charset w:val="00"/>
    <w:family w:val="swiss"/>
    <w:pitch w:val="variable"/>
    <w:sig w:usb0="E0002AFF" w:usb1="C000247B" w:usb2="00000009" w:usb3="00000000" w:csb0="000001FF" w:csb1="00000000"/>
    <w:embedRegular r:id="rId3" w:fontKey="{07D41C73-FF5A-6443-AFC1-A36EABEE97A2}"/>
    <w:embedBold r:id="rId4" w:fontKey="{281011C8-867F-4A43-94CA-503AD2D377CB}"/>
    <w:embedItalic r:id="rId5" w:fontKey="{01D2D8BD-A421-144B-8BB3-487A420EFD1B}"/>
  </w:font>
  <w:font w:name="Courier New">
    <w:panose1 w:val="02070309020205020404"/>
    <w:charset w:val="00"/>
    <w:family w:val="modern"/>
    <w:pitch w:val="fixed"/>
    <w:sig w:usb0="E0002AFF" w:usb1="C0007843" w:usb2="00000009" w:usb3="00000000" w:csb0="000001FF" w:csb1="00000000"/>
    <w:embedRegular r:id="rId6" w:fontKey="{7B52BA07-8FA6-C544-970B-F490E2059AB4}"/>
  </w:font>
  <w:font w:name="Wingdings">
    <w:panose1 w:val="05000000000000000000"/>
    <w:charset w:val="4D"/>
    <w:family w:val="decorative"/>
    <w:pitch w:val="variable"/>
    <w:sig w:usb0="00000003" w:usb1="00000000" w:usb2="00000000" w:usb3="00000000" w:csb0="80000001" w:csb1="00000000"/>
    <w:embedRegular r:id="rId7" w:fontKey="{0C566281-D266-6749-8B4C-C90669C0A72E}"/>
  </w:font>
  <w:font w:name="Symbol">
    <w:panose1 w:val="05050102010706020507"/>
    <w:charset w:val="02"/>
    <w:family w:val="roman"/>
    <w:pitch w:val="default"/>
    <w:sig w:usb0="00000000" w:usb1="10000000" w:usb2="00000000" w:usb3="00000000" w:csb0="80000000" w:csb1="00000000"/>
    <w:embedRegular r:id="rId8" w:fontKey="{3C69292F-069C-6A46-8F9B-23FC7C78AE86}"/>
  </w:font>
  <w:font w:name="Arial">
    <w:panose1 w:val="020B0604020202020204"/>
    <w:charset w:val="00"/>
    <w:family w:val="swiss"/>
    <w:pitch w:val="variable"/>
    <w:sig w:usb0="E0002AFF" w:usb1="C0007843" w:usb2="00000009" w:usb3="00000000" w:csb0="000001FF" w:csb1="00000000"/>
    <w:embedRegular r:id="rId9" w:fontKey="{DF28CB6D-3C88-6C45-BDE5-35E98B919939}"/>
    <w:embedBold r:id="rId10" w:fontKey="{45166FED-AF6B-7340-BC3F-4AE6C48F479B}"/>
    <w:embedItalic r:id="rId11" w:fontKey="{6A0D405C-636B-7345-994B-371C44873E5A}"/>
  </w:font>
  <w:font w:name="Cambria">
    <w:panose1 w:val="02040503050406030204"/>
    <w:charset w:val="00"/>
    <w:family w:val="roman"/>
    <w:notTrueType/>
    <w:pitch w:val="default"/>
    <w:embedRegular r:id="rId12" w:fontKey="{70DE0289-E28F-3B4A-AF48-C1114F4AA48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6220F"/>
    <w:multiLevelType w:val="hybridMultilevel"/>
    <w:tmpl w:val="4D9475BC"/>
    <w:lvl w:ilvl="0" w:tplc="355A4E06">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759AE"/>
    <w:multiLevelType w:val="multilevel"/>
    <w:tmpl w:val="A71C6208"/>
    <w:lvl w:ilvl="0">
      <w:start w:val="1"/>
      <w:numFmt w:val="decimal"/>
      <w:lvlText w:val="%1."/>
      <w:lvlJc w:val="left"/>
      <w:pPr>
        <w:ind w:left="720" w:hanging="360"/>
      </w:pPr>
      <w:rPr>
        <w:color w:val="auto"/>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67D8E"/>
    <w:multiLevelType w:val="hybridMultilevel"/>
    <w:tmpl w:val="1062D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1A6CBD"/>
    <w:multiLevelType w:val="multilevel"/>
    <w:tmpl w:val="9A227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16708B1"/>
    <w:multiLevelType w:val="hybridMultilevel"/>
    <w:tmpl w:val="1700A122"/>
    <w:lvl w:ilvl="0" w:tplc="7F96030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88D7E43"/>
    <w:multiLevelType w:val="hybridMultilevel"/>
    <w:tmpl w:val="570A8A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8B34871"/>
    <w:multiLevelType w:val="hybridMultilevel"/>
    <w:tmpl w:val="CDC0CF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199204851">
    <w:abstractNumId w:val="1"/>
  </w:num>
  <w:num w:numId="2" w16cid:durableId="261647963">
    <w:abstractNumId w:val="3"/>
  </w:num>
  <w:num w:numId="3" w16cid:durableId="82380019">
    <w:abstractNumId w:val="2"/>
  </w:num>
  <w:num w:numId="4" w16cid:durableId="1884827423">
    <w:abstractNumId w:val="6"/>
  </w:num>
  <w:num w:numId="5" w16cid:durableId="1757940252">
    <w:abstractNumId w:val="5"/>
  </w:num>
  <w:num w:numId="6" w16cid:durableId="2067290549">
    <w:abstractNumId w:val="4"/>
  </w:num>
  <w:num w:numId="7" w16cid:durableId="17866541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éctor Bahamonde">
    <w15:presenceInfo w15:providerId="AD" w15:userId="S::hibano@utu.fi::ecb50e0b-e343-4ba5-bd40-e9b2004cf17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748"/>
    <w:rsid w:val="00026433"/>
    <w:rsid w:val="000A68A8"/>
    <w:rsid w:val="00163304"/>
    <w:rsid w:val="00196463"/>
    <w:rsid w:val="00285277"/>
    <w:rsid w:val="00350EC0"/>
    <w:rsid w:val="00432027"/>
    <w:rsid w:val="004E5B7F"/>
    <w:rsid w:val="005269BB"/>
    <w:rsid w:val="00545D88"/>
    <w:rsid w:val="0057708E"/>
    <w:rsid w:val="00786D46"/>
    <w:rsid w:val="007D6157"/>
    <w:rsid w:val="00812180"/>
    <w:rsid w:val="00850170"/>
    <w:rsid w:val="00855FF5"/>
    <w:rsid w:val="008678C5"/>
    <w:rsid w:val="00873C4D"/>
    <w:rsid w:val="00885794"/>
    <w:rsid w:val="0089682E"/>
    <w:rsid w:val="00932F6B"/>
    <w:rsid w:val="00941B39"/>
    <w:rsid w:val="009661B9"/>
    <w:rsid w:val="00981138"/>
    <w:rsid w:val="0099138D"/>
    <w:rsid w:val="00AE2DB0"/>
    <w:rsid w:val="00B2727F"/>
    <w:rsid w:val="00B45748"/>
    <w:rsid w:val="00B67639"/>
    <w:rsid w:val="00BC0A18"/>
    <w:rsid w:val="00BF12C7"/>
    <w:rsid w:val="00C22D9D"/>
    <w:rsid w:val="00C441C0"/>
    <w:rsid w:val="00D041B7"/>
    <w:rsid w:val="00D623CF"/>
    <w:rsid w:val="00D74FBB"/>
    <w:rsid w:val="00D77DD3"/>
    <w:rsid w:val="00DD0FEB"/>
    <w:rsid w:val="00E74AA9"/>
    <w:rsid w:val="00E81BAF"/>
    <w:rsid w:val="00E842DD"/>
    <w:rsid w:val="00EC629F"/>
    <w:rsid w:val="00EF7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F6E86A0"/>
  <w15:docId w15:val="{D57C65CC-44D7-3849-8055-88074E674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12180"/>
    <w:pPr>
      <w:ind w:left="720"/>
      <w:contextualSpacing/>
    </w:pPr>
  </w:style>
  <w:style w:type="character" w:styleId="CommentReference">
    <w:name w:val="annotation reference"/>
    <w:basedOn w:val="DefaultParagraphFont"/>
    <w:uiPriority w:val="99"/>
    <w:semiHidden/>
    <w:unhideWhenUsed/>
    <w:rsid w:val="00850170"/>
    <w:rPr>
      <w:sz w:val="16"/>
      <w:szCs w:val="16"/>
    </w:rPr>
  </w:style>
  <w:style w:type="paragraph" w:styleId="CommentText">
    <w:name w:val="annotation text"/>
    <w:basedOn w:val="Normal"/>
    <w:link w:val="CommentTextChar"/>
    <w:uiPriority w:val="99"/>
    <w:semiHidden/>
    <w:unhideWhenUsed/>
    <w:rsid w:val="00850170"/>
    <w:pPr>
      <w:spacing w:line="240" w:lineRule="auto"/>
    </w:pPr>
    <w:rPr>
      <w:sz w:val="20"/>
      <w:szCs w:val="20"/>
    </w:rPr>
  </w:style>
  <w:style w:type="character" w:customStyle="1" w:styleId="CommentTextChar">
    <w:name w:val="Comment Text Char"/>
    <w:basedOn w:val="DefaultParagraphFont"/>
    <w:link w:val="CommentText"/>
    <w:uiPriority w:val="99"/>
    <w:semiHidden/>
    <w:rsid w:val="00850170"/>
    <w:rPr>
      <w:sz w:val="20"/>
      <w:szCs w:val="20"/>
    </w:rPr>
  </w:style>
  <w:style w:type="paragraph" w:styleId="CommentSubject">
    <w:name w:val="annotation subject"/>
    <w:basedOn w:val="CommentText"/>
    <w:next w:val="CommentText"/>
    <w:link w:val="CommentSubjectChar"/>
    <w:uiPriority w:val="99"/>
    <w:semiHidden/>
    <w:unhideWhenUsed/>
    <w:rsid w:val="00850170"/>
    <w:rPr>
      <w:b/>
      <w:bCs/>
    </w:rPr>
  </w:style>
  <w:style w:type="character" w:customStyle="1" w:styleId="CommentSubjectChar">
    <w:name w:val="Comment Subject Char"/>
    <w:basedOn w:val="CommentTextChar"/>
    <w:link w:val="CommentSubject"/>
    <w:uiPriority w:val="99"/>
    <w:semiHidden/>
    <w:rsid w:val="008501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10</Pages>
  <Words>3433</Words>
  <Characters>19572</Characters>
  <Application>Microsoft Office Word</Application>
  <DocSecurity>0</DocSecurity>
  <Lines>163</Lines>
  <Paragraphs>45</Paragraphs>
  <ScaleCrop>false</ScaleCrop>
  <Company/>
  <LinksUpToDate>false</LinksUpToDate>
  <CharactersWithSpaces>22960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44</cp:revision>
  <dcterms:created xsi:type="dcterms:W3CDTF">2026-09-15T08:20:00Z</dcterms:created>
  <dcterms:modified xsi:type="dcterms:W3CDTF">2026-09-15T08:46:00Z</dcterms:modified>
</cp:coreProperties>
</file>