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000001" w14:textId="77777777" w:rsidR="00B45748" w:rsidRPr="00D77DD3" w:rsidRDefault="00000000" w:rsidP="0089682E">
      <w:pPr>
        <w:pStyle w:val="Title"/>
        <w:spacing w:before="120" w:after="120" w:line="360" w:lineRule="auto"/>
        <w:jc w:val="both"/>
      </w:pPr>
      <w:bookmarkStart w:id="0" w:name="_4eq5zuq1n74n" w:colFirst="0" w:colLast="0"/>
      <w:bookmarkEnd w:id="0"/>
      <w:r w:rsidRPr="00D77DD3">
        <w:t>Response to Reviewers:</w:t>
      </w:r>
    </w:p>
    <w:p w14:paraId="00000003" w14:textId="77777777" w:rsidR="00B45748" w:rsidRPr="00D77DD3" w:rsidRDefault="00000000" w:rsidP="0089682E">
      <w:pPr>
        <w:spacing w:before="120" w:after="120" w:line="360" w:lineRule="auto"/>
        <w:jc w:val="both"/>
        <w:rPr>
          <w:rFonts w:ascii="Calibri" w:eastAsia="Calibri" w:hAnsi="Calibri" w:cs="Calibri"/>
        </w:rPr>
      </w:pPr>
      <w:r w:rsidRPr="00D77DD3">
        <w:rPr>
          <w:rFonts w:ascii="Calibri" w:eastAsia="Calibri" w:hAnsi="Calibri" w:cs="Calibri"/>
        </w:rPr>
        <w:t>Dear Editors and Reviewers,</w:t>
      </w:r>
    </w:p>
    <w:p w14:paraId="00000005" w14:textId="346EA497" w:rsidR="00B45748" w:rsidRPr="00D77DD3" w:rsidRDefault="00000000" w:rsidP="0089682E">
      <w:pPr>
        <w:spacing w:before="120" w:after="120" w:line="360" w:lineRule="auto"/>
        <w:jc w:val="both"/>
        <w:rPr>
          <w:rFonts w:ascii="Calibri" w:eastAsia="Calibri" w:hAnsi="Calibri" w:cs="Calibri"/>
        </w:rPr>
      </w:pPr>
      <w:r w:rsidRPr="00D77DD3">
        <w:rPr>
          <w:rFonts w:ascii="Calibri" w:eastAsia="Calibri" w:hAnsi="Calibri" w:cs="Calibri"/>
        </w:rPr>
        <w:t xml:space="preserve">We thank the Editor and the Reviewers for their careful evaluation and important comments that have helped us to improve the manuscript. Please find below our response to Reviewers in point-by-point fashions (our answers are indicated with red </w:t>
      </w:r>
      <w:r w:rsidR="0089682E" w:rsidRPr="00D77DD3">
        <w:rPr>
          <w:rFonts w:ascii="Calibri" w:eastAsia="Calibri" w:hAnsi="Calibri" w:cs="Calibri"/>
        </w:rPr>
        <w:t>color</w:t>
      </w:r>
      <w:r w:rsidRPr="00D77DD3">
        <w:rPr>
          <w:rFonts w:ascii="Calibri" w:eastAsia="Calibri" w:hAnsi="Calibri" w:cs="Calibri"/>
        </w:rPr>
        <w:t>).</w:t>
      </w:r>
    </w:p>
    <w:p w14:paraId="00000006" w14:textId="77777777" w:rsidR="00B45748" w:rsidRPr="00D77DD3" w:rsidRDefault="001B5B41" w:rsidP="0089682E">
      <w:pPr>
        <w:spacing w:before="120" w:after="120" w:line="360" w:lineRule="auto"/>
        <w:jc w:val="both"/>
        <w:rPr>
          <w:rFonts w:ascii="Calibri" w:eastAsia="Calibri" w:hAnsi="Calibri" w:cs="Calibri"/>
        </w:rPr>
      </w:pPr>
      <w:r>
        <w:rPr>
          <w:noProof/>
        </w:rPr>
      </w:r>
      <w:r>
        <w:pict w14:anchorId="35279BDC">
          <v:rect id="Horizontal Line 1" o:spid="_x0000_s1027" style="width:431.9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" filled="f">
            <o:lock v:ext="edit" rotation="t" aspectratio="t" verticies="t" text="t" shapetype="t"/>
            <w10:anchorlock/>
          </v:rect>
        </w:pict>
      </w:r>
    </w:p>
    <w:p w14:paraId="00000008" w14:textId="77777777" w:rsidR="00B45748" w:rsidRPr="00D77DD3" w:rsidRDefault="00000000" w:rsidP="0089682E">
      <w:pPr>
        <w:pStyle w:val="Heading2"/>
        <w:spacing w:before="120" w:line="360" w:lineRule="auto"/>
        <w:jc w:val="both"/>
      </w:pPr>
      <w:bookmarkStart w:id="1" w:name="_5hrdoez1u8w3" w:colFirst="0" w:colLast="0"/>
      <w:bookmarkEnd w:id="1"/>
      <w:r w:rsidRPr="00D77DD3">
        <w:t>Reviewer #1:</w:t>
      </w:r>
    </w:p>
    <w:p w14:paraId="7B00C7CD" w14:textId="0F31982F" w:rsidR="00EF74BF" w:rsidRPr="00EF74BF" w:rsidRDefault="00000000" w:rsidP="0089682E">
      <w:pPr>
        <w:numPr>
          <w:ilvl w:val="0"/>
          <w:numId w:val="1"/>
        </w:numPr>
        <w:spacing w:before="120" w:after="120" w:line="360" w:lineRule="auto"/>
        <w:jc w:val="both"/>
        <w:rPr>
          <w:rFonts w:ascii="Calibri" w:eastAsia="Calibri" w:hAnsi="Calibri" w:cs="Calibri"/>
        </w:rPr>
      </w:pPr>
      <w:r w:rsidRPr="00D77DD3">
        <w:rPr>
          <w:rFonts w:ascii="Calibri" w:eastAsia="Calibri" w:hAnsi="Calibri" w:cs="Calibri"/>
          <w:color w:val="212121"/>
        </w:rPr>
        <w:t xml:space="preserve">The manuscript addresses an important question about public preferences for funding high cost cancer medicines. The paper is clearly </w:t>
      </w:r>
      <w:r w:rsidR="005F5C6A" w:rsidRPr="00D77DD3">
        <w:rPr>
          <w:rFonts w:ascii="Calibri" w:eastAsia="Calibri" w:hAnsi="Calibri" w:cs="Calibri"/>
          <w:color w:val="212121"/>
        </w:rPr>
        <w:t>written,</w:t>
      </w:r>
      <w:r w:rsidRPr="00D77DD3">
        <w:rPr>
          <w:rFonts w:ascii="Calibri" w:eastAsia="Calibri" w:hAnsi="Calibri" w:cs="Calibri"/>
          <w:color w:val="212121"/>
        </w:rPr>
        <w:t xml:space="preserve"> and the literature review is strong. The topic fits the journal. However, the central claim is larger than the evidence can support.</w:t>
      </w:r>
    </w:p>
    <w:p w14:paraId="0000000A" w14:textId="43142956" w:rsidR="00B45748" w:rsidRPr="00D77DD3" w:rsidRDefault="00000000" w:rsidP="00EF74BF">
      <w:pPr>
        <w:spacing w:before="120" w:after="120" w:line="360" w:lineRule="auto"/>
        <w:ind w:left="720"/>
        <w:jc w:val="both"/>
        <w:rPr>
          <w:rFonts w:ascii="Calibri" w:eastAsia="Calibri" w:hAnsi="Calibri" w:cs="Calibri"/>
        </w:rPr>
      </w:pPr>
      <w:r w:rsidRPr="00D77DD3">
        <w:rPr>
          <w:rFonts w:ascii="Calibri" w:eastAsia="Calibri" w:hAnsi="Calibri" w:cs="Calibri"/>
          <w:color w:val="FF0000"/>
        </w:rPr>
        <w:t>We thank Reviewer 1 for their encouraging and positive comments above</w:t>
      </w:r>
      <w:r w:rsidR="005F5C6A">
        <w:rPr>
          <w:rFonts w:ascii="Calibri" w:eastAsia="Calibri" w:hAnsi="Calibri" w:cs="Calibri"/>
          <w:color w:val="FF0000"/>
        </w:rPr>
        <w:t>,</w:t>
      </w:r>
      <w:r w:rsidRPr="00D77DD3">
        <w:rPr>
          <w:rFonts w:ascii="Calibri" w:eastAsia="Calibri" w:hAnsi="Calibri" w:cs="Calibri"/>
          <w:color w:val="FF0000"/>
        </w:rPr>
        <w:t xml:space="preserve"> and the constructive comments below. We have endeavored to respond to </w:t>
      </w:r>
      <w:r w:rsidR="005F5C6A">
        <w:rPr>
          <w:rFonts w:ascii="Calibri" w:eastAsia="Calibri" w:hAnsi="Calibri" w:cs="Calibri"/>
          <w:color w:val="FF0000"/>
        </w:rPr>
        <w:t>all of them</w:t>
      </w:r>
      <w:r w:rsidRPr="00D77DD3">
        <w:rPr>
          <w:rFonts w:ascii="Calibri" w:eastAsia="Calibri" w:hAnsi="Calibri" w:cs="Calibri"/>
          <w:color w:val="FF0000"/>
        </w:rPr>
        <w:t xml:space="preserve"> as best </w:t>
      </w:r>
      <w:r w:rsidR="005F5C6A">
        <w:rPr>
          <w:rFonts w:ascii="Calibri" w:eastAsia="Calibri" w:hAnsi="Calibri" w:cs="Calibri"/>
          <w:color w:val="FF0000"/>
        </w:rPr>
        <w:t xml:space="preserve">as </w:t>
      </w:r>
      <w:r w:rsidRPr="00D77DD3">
        <w:rPr>
          <w:rFonts w:ascii="Calibri" w:eastAsia="Calibri" w:hAnsi="Calibri" w:cs="Calibri"/>
          <w:color w:val="FF0000"/>
        </w:rPr>
        <w:t xml:space="preserve">we </w:t>
      </w:r>
      <w:r w:rsidR="005F5C6A">
        <w:rPr>
          <w:rFonts w:ascii="Calibri" w:eastAsia="Calibri" w:hAnsi="Calibri" w:cs="Calibri"/>
          <w:color w:val="FF0000"/>
        </w:rPr>
        <w:t>could</w:t>
      </w:r>
      <w:r w:rsidRPr="00D77DD3">
        <w:rPr>
          <w:rFonts w:ascii="Calibri" w:eastAsia="Calibri" w:hAnsi="Calibri" w:cs="Calibri"/>
          <w:color w:val="FF0000"/>
        </w:rPr>
        <w:t>. Below, we respond to these comments one by one.</w:t>
      </w:r>
    </w:p>
    <w:p w14:paraId="7CDF265A" w14:textId="77777777" w:rsidR="00B67639" w:rsidRPr="00B67639" w:rsidRDefault="00000000" w:rsidP="0089682E">
      <w:pPr>
        <w:numPr>
          <w:ilvl w:val="0"/>
          <w:numId w:val="1"/>
        </w:numPr>
        <w:spacing w:before="120" w:after="120" w:line="360" w:lineRule="auto"/>
        <w:jc w:val="both"/>
        <w:rPr>
          <w:rFonts w:ascii="Calibri" w:eastAsia="Calibri" w:hAnsi="Calibri" w:cs="Calibri"/>
        </w:rPr>
      </w:pPr>
      <w:r w:rsidRPr="00D77DD3">
        <w:rPr>
          <w:rFonts w:ascii="Calibri" w:eastAsia="Calibri" w:hAnsi="Calibri" w:cs="Calibri"/>
          <w:color w:val="212121"/>
        </w:rPr>
        <w:t>The main concern is that the central claim is not aligned with the experimental design. The manuscript argues that institutional insulation does not neutralize framing effects, but the experiment only varies the description of the funding decision. It does not vary who makes the decision or how the decision is institutionally justified. Respondents are not assigned to conditions in which the decision is made by politicians, an expert agency, an HTA body, or another public authority. They are also not told whether the decision is part of an insulated expert process. For this reason, the study can show that different descriptions affect stated funding preferences, but it cannot show whether institutional insulation moderates or fails to moderate framing effects.</w:t>
      </w:r>
    </w:p>
    <w:p w14:paraId="0555A822" w14:textId="52839474" w:rsidR="00D77DD3" w:rsidRDefault="006B33FB" w:rsidP="00B67639">
      <w:pPr>
        <w:spacing w:before="120" w:after="120" w:line="360" w:lineRule="auto"/>
        <w:ind w:left="720"/>
        <w:jc w:val="both"/>
        <w:rPr>
          <w:rFonts w:ascii="Calibri" w:eastAsia="Calibri" w:hAnsi="Calibri" w:cs="Calibri"/>
        </w:rPr>
      </w:pPr>
      <w:r w:rsidRPr="006B33FB">
        <w:rPr>
          <w:rFonts w:ascii="Calibri" w:eastAsia="Calibri" w:hAnsi="Calibri" w:cs="Calibri"/>
          <w:color w:val="FF0000"/>
          <w:highlight w:val="yellow"/>
        </w:rPr>
        <w:t xml:space="preserve">Thank you. We agree that the experiment does not manipulate institutional insulation and therefore cannot establish whether insulation moderates, attenuates, or neutralises framing effects. We have revised the Abstract, Introduction, Discussion, and Conclusion to define the study’s estimand more precisely: the effect of the assigned rescue-oriented and resource-preservation justifications on stated funding preferences within Finland’s delegated reimbursement setting. Institutional insulation is now treated as the policy context rather than as </w:t>
      </w:r>
      <w:r w:rsidRPr="006B33FB">
        <w:rPr>
          <w:rFonts w:ascii="Calibri" w:eastAsia="Calibri" w:hAnsi="Calibri" w:cs="Calibri"/>
          <w:color w:val="FF0000"/>
          <w:highlight w:val="yellow"/>
        </w:rPr>
        <w:lastRenderedPageBreak/>
        <w:t>an experimental condition, and we no longer interpret the results as evidence about the moderating effect of delegation itself</w:t>
      </w:r>
      <w:r w:rsidR="00D77DD3">
        <w:rPr>
          <w:rFonts w:ascii="Calibri" w:eastAsia="Calibri" w:hAnsi="Calibri" w:cs="Calibri"/>
        </w:rPr>
        <w:t>.</w:t>
      </w:r>
    </w:p>
    <w:p w14:paraId="6C8DF9E8" w14:textId="77777777" w:rsidR="005269BB" w:rsidRPr="005269BB" w:rsidRDefault="00000000" w:rsidP="0089682E">
      <w:pPr>
        <w:numPr>
          <w:ilvl w:val="0"/>
          <w:numId w:val="1"/>
        </w:numPr>
        <w:spacing w:before="120" w:after="120" w:line="360" w:lineRule="auto"/>
        <w:jc w:val="both"/>
        <w:rPr>
          <w:rFonts w:ascii="Calibri" w:eastAsia="Calibri" w:hAnsi="Calibri" w:cs="Calibri"/>
        </w:rPr>
      </w:pPr>
      <w:r w:rsidRPr="00D77DD3">
        <w:rPr>
          <w:rFonts w:ascii="Calibri" w:eastAsia="Calibri" w:hAnsi="Calibri" w:cs="Calibri"/>
          <w:color w:val="212121"/>
        </w:rPr>
        <w:t>The Highlights appear to belong to another version of the manuscript. They mention variables such as ideology and institutional trust, which are not measured in the study. This should be corrected before the manuscript can be evaluated further.</w:t>
      </w:r>
    </w:p>
    <w:p w14:paraId="7C42049E" w14:textId="6360F881" w:rsidR="00D77DD3" w:rsidRPr="00D77DD3" w:rsidRDefault="00000000" w:rsidP="005269BB">
      <w:pPr>
        <w:spacing w:before="120" w:after="120" w:line="360" w:lineRule="auto"/>
        <w:ind w:left="720"/>
        <w:jc w:val="both"/>
        <w:rPr>
          <w:rFonts w:ascii="Calibri" w:eastAsia="Calibri" w:hAnsi="Calibri" w:cs="Calibri"/>
        </w:rPr>
      </w:pPr>
      <w:r w:rsidRPr="00D77DD3">
        <w:rPr>
          <w:rFonts w:ascii="Calibri" w:eastAsia="Calibri" w:hAnsi="Calibri" w:cs="Calibri"/>
          <w:color w:val="FF0000"/>
        </w:rPr>
        <w:t>Thank you for this comment. We have completely rewritten the Highlights.</w:t>
      </w:r>
    </w:p>
    <w:p w14:paraId="5F451DF7" w14:textId="77777777" w:rsidR="005269BB" w:rsidRPr="005269BB" w:rsidRDefault="00000000" w:rsidP="0089682E">
      <w:pPr>
        <w:numPr>
          <w:ilvl w:val="0"/>
          <w:numId w:val="1"/>
        </w:numPr>
        <w:spacing w:before="120" w:after="120" w:line="360" w:lineRule="auto"/>
        <w:jc w:val="both"/>
        <w:rPr>
          <w:rFonts w:ascii="Calibri" w:eastAsia="Calibri" w:hAnsi="Calibri" w:cs="Calibri"/>
        </w:rPr>
      </w:pPr>
      <w:r w:rsidRPr="00D77DD3">
        <w:rPr>
          <w:rFonts w:ascii="Calibri" w:eastAsia="Calibri" w:hAnsi="Calibri" w:cs="Calibri"/>
          <w:color w:val="212121"/>
        </w:rPr>
        <w:t>The treatment arms do not only use different frames. They also give respondents different information. The rescue arm adds information about limited treatment options. The health maximisation arm adds information about opportunity costs. Therefore, the estimated differences may reflect information effects, not only framing effects.</w:t>
      </w:r>
    </w:p>
    <w:p w14:paraId="096B65E4" w14:textId="265D5210" w:rsidR="00D77DD3" w:rsidRPr="005F6E9E" w:rsidRDefault="005F6E9E" w:rsidP="005269BB">
      <w:pPr>
        <w:spacing w:before="120" w:after="120" w:line="360" w:lineRule="auto"/>
        <w:ind w:left="720"/>
        <w:jc w:val="both"/>
        <w:rPr>
          <w:rFonts w:ascii="Calibri" w:eastAsia="Calibri" w:hAnsi="Calibri" w:cs="Calibri"/>
          <w:color w:val="FF0000"/>
          <w:highlight w:val="yellow"/>
        </w:rPr>
      </w:pPr>
      <w:r w:rsidRPr="005F6E9E">
        <w:rPr>
          <w:rFonts w:ascii="Calibri" w:eastAsia="Calibri" w:hAnsi="Calibri" w:cs="Calibri"/>
          <w:color w:val="FF0000"/>
          <w:highlight w:val="yellow"/>
        </w:rPr>
        <w:t>Thank you. We agree that the treatments vary not only presentation but also the substantive consideration made salient. We have clarified this in Section 3, Method, in the paragraph immediately preceding Table 1, where we explain that framing may operate “by giving different information or emphasizing certain aspects over others.” Table 1 now allows readers to compare the common clinical vignette with the arm-specific additions: limited remaining treatment options in the rescue condition and opportunity costs in the health-maximisation condition. We also address the resulting limitation in Section 5, Discussion, in the limitations paragraph beginning “Several limitations qualify these conclusions,” where we state: “Third, because both treatments added text while the control did not, we cannot separate framing effects from additional information or processing demands.” Accordingly, we interpret the estimates as the total effects of the assigned informational justifications and do not attribute them exclusively to framing.</w:t>
      </w:r>
    </w:p>
    <w:p w14:paraId="54405E6D" w14:textId="77777777" w:rsidR="00D74FBB" w:rsidRPr="00D74FBB" w:rsidRDefault="00000000" w:rsidP="0089682E">
      <w:pPr>
        <w:numPr>
          <w:ilvl w:val="0"/>
          <w:numId w:val="1"/>
        </w:numPr>
        <w:spacing w:before="120" w:after="120" w:line="360" w:lineRule="auto"/>
        <w:jc w:val="both"/>
        <w:rPr>
          <w:rFonts w:ascii="Calibri" w:eastAsia="Calibri" w:hAnsi="Calibri" w:cs="Calibri"/>
        </w:rPr>
      </w:pPr>
      <w:r w:rsidRPr="00D77DD3">
        <w:rPr>
          <w:rFonts w:ascii="Calibri" w:eastAsia="Calibri" w:hAnsi="Calibri" w:cs="Calibri"/>
          <w:color w:val="212121"/>
        </w:rPr>
        <w:t>The two treatment arms may operate through different mechanisms. The rescue condition may increase support because it highlights patients with few remaining options. The health maximisation condition may reduce support because it highlights opportunity costs and cuts to other healthcare services. These mechanisms are not equivalent to a simple gain versus loss contrast. The manuscript should therefore be more cautious in attributing the full treatment difference to prospect theory.</w:t>
      </w:r>
    </w:p>
    <w:p w14:paraId="3371BFDC" w14:textId="77777777" w:rsidR="000620B1" w:rsidRPr="000620B1" w:rsidRDefault="000620B1" w:rsidP="00EB6CC7">
      <w:pPr>
        <w:spacing w:before="120" w:after="120" w:line="360" w:lineRule="auto"/>
        <w:ind w:left="720"/>
        <w:jc w:val="both"/>
        <w:rPr>
          <w:rFonts w:ascii="Calibri" w:eastAsia="Calibri" w:hAnsi="Calibri" w:cs="Calibri"/>
        </w:rPr>
      </w:pPr>
      <w:r w:rsidRPr="000620B1">
        <w:rPr>
          <w:rFonts w:ascii="Calibri" w:eastAsia="Calibri" w:hAnsi="Calibri" w:cs="Calibri"/>
          <w:color w:val="FF0000"/>
        </w:rPr>
        <w:t xml:space="preserve">We agree. The revised manuscript now explicitly recognizes that the two treatments may operate through distinct processes: limited remaining treatment options in the rescue condition and salient opportunity costs in the health-maximisation condition. We accordingly present prospect </w:t>
      </w:r>
      <w:r w:rsidRPr="000620B1">
        <w:rPr>
          <w:rFonts w:ascii="Calibri" w:eastAsia="Calibri" w:hAnsi="Calibri" w:cs="Calibri"/>
          <w:color w:val="FF0000"/>
        </w:rPr>
        <w:lastRenderedPageBreak/>
        <w:t>theory as one plausible theoretical account of the directional pattern, rather than attributing the entire treatment difference to a common gain–loss mechanism. This qualification is stated in both the Discussion and the limitations concerning the absence of mechanism measures.</w:t>
      </w:r>
    </w:p>
    <w:p w14:paraId="4A32875D" w14:textId="0E2819C8" w:rsidR="00812180" w:rsidRDefault="00000000" w:rsidP="0089682E">
      <w:pPr>
        <w:numPr>
          <w:ilvl w:val="0"/>
          <w:numId w:val="1"/>
        </w:numPr>
        <w:spacing w:before="120" w:after="120" w:line="360" w:lineRule="auto"/>
        <w:jc w:val="both"/>
        <w:rPr>
          <w:rFonts w:ascii="Calibri" w:eastAsia="Calibri" w:hAnsi="Calibri" w:cs="Calibri"/>
        </w:rPr>
      </w:pPr>
      <w:r w:rsidRPr="00812180">
        <w:rPr>
          <w:rFonts w:ascii="Calibri" w:eastAsia="Calibri" w:hAnsi="Calibri" w:cs="Calibri"/>
          <w:color w:val="212121"/>
        </w:rPr>
        <w:t>The control condition is shorter than the two treatment conditions. This creates a possible text length and task difficulty problem. Both treatment arms increase Don't know responses. This pattern may reflect added information, increased complexity, or respondent uncertainty.</w:t>
      </w:r>
    </w:p>
    <w:p w14:paraId="6BCB2AF6" w14:textId="77777777" w:rsidR="00E842DD" w:rsidRDefault="00000000" w:rsidP="00E842DD">
      <w:pPr>
        <w:spacing w:before="120" w:after="120" w:line="360" w:lineRule="auto"/>
        <w:ind w:left="720"/>
        <w:jc w:val="both"/>
        <w:rPr>
          <w:rFonts w:ascii="Calibri" w:eastAsia="Calibri" w:hAnsi="Calibri" w:cs="Calibri"/>
        </w:rPr>
      </w:pPr>
      <w:r w:rsidRPr="00812180">
        <w:rPr>
          <w:rFonts w:ascii="Calibri" w:eastAsia="Calibri" w:hAnsi="Calibri" w:cs="Calibri"/>
          <w:color w:val="FF0000"/>
        </w:rPr>
        <w:t>Thank you for raising this concern. We agree that, because both treatments add framing text to the common vignette while the control adds no supplementary text, the design cannot separately identify the semantic effect of the frames from shared effects of additional information, processing demands, or uncertainty.</w:t>
      </w:r>
    </w:p>
    <w:p w14:paraId="3D2231BF" w14:textId="77777777" w:rsidR="00E842DD" w:rsidRDefault="00000000" w:rsidP="00E842DD">
      <w:pPr>
        <w:spacing w:before="120" w:after="120" w:line="360" w:lineRule="auto"/>
        <w:ind w:left="720"/>
        <w:jc w:val="both"/>
        <w:rPr>
          <w:rFonts w:ascii="Calibri" w:eastAsia="Calibri" w:hAnsi="Calibri" w:cs="Calibri"/>
          <w:color w:val="FF0000"/>
        </w:rPr>
      </w:pPr>
      <w:r w:rsidRPr="00D77DD3">
        <w:rPr>
          <w:rFonts w:ascii="Calibri" w:eastAsia="Calibri" w:hAnsi="Calibri" w:cs="Calibri"/>
          <w:color w:val="FF0000"/>
        </w:rPr>
        <w:t>We now state this limitation explicitly:</w:t>
      </w:r>
    </w:p>
    <w:p w14:paraId="799F882E" w14:textId="77777777" w:rsidR="00E842DD" w:rsidRDefault="00000000" w:rsidP="00E842DD">
      <w:pPr>
        <w:spacing w:before="120" w:after="120" w:line="360" w:lineRule="auto"/>
        <w:ind w:left="720"/>
        <w:jc w:val="both"/>
        <w:rPr>
          <w:rFonts w:ascii="Calibri" w:eastAsia="Calibri" w:hAnsi="Calibri" w:cs="Calibri"/>
          <w:color w:val="FF0000"/>
        </w:rPr>
      </w:pPr>
      <w:r w:rsidRPr="00D77DD3">
        <w:rPr>
          <w:rFonts w:ascii="Calibri" w:eastAsia="Calibri" w:hAnsi="Calibri" w:cs="Calibri"/>
          <w:color w:val="FF0000"/>
        </w:rPr>
        <w:t>"Third, because both treatments added text while the control did not, we cannot separate framing effects from additional information or processing demands. Future studies should employ a length-matched neutral control to distinguish these mechanisms." (p. 15).</w:t>
      </w:r>
    </w:p>
    <w:p w14:paraId="785B959D" w14:textId="77777777" w:rsidR="00AE2DB0" w:rsidRDefault="00000000" w:rsidP="00AE2DB0">
      <w:pPr>
        <w:spacing w:before="120" w:after="120" w:line="360" w:lineRule="auto"/>
        <w:ind w:left="720"/>
        <w:jc w:val="both"/>
        <w:rPr>
          <w:rFonts w:ascii="Calibri" w:eastAsia="Calibri" w:hAnsi="Calibri" w:cs="Calibri"/>
          <w:color w:val="FF0000"/>
        </w:rPr>
      </w:pPr>
      <w:r w:rsidRPr="00D77DD3">
        <w:rPr>
          <w:rFonts w:ascii="Calibri" w:eastAsia="Calibri" w:hAnsi="Calibri" w:cs="Calibri"/>
          <w:color w:val="FF0000"/>
        </w:rPr>
        <w:t xml:space="preserve">We nevertheless retain the unframed condition because our estimand is the total effect of adding each justification to the common vignette. Consistent with Haaland, Roth, and Wohlfart’s (2023, p. 19) observation: “sometimes the policy-relevant question of interest is concerned with the effect of providing a particular piece of information compared to not providing this information” at all.  We now also justify the type of control used in our design ("pure control") in the Methods section of our paper: </w:t>
      </w:r>
    </w:p>
    <w:p w14:paraId="25856019" w14:textId="77777777" w:rsidR="00AE2DB0" w:rsidRDefault="00000000" w:rsidP="00AE2DB0">
      <w:pPr>
        <w:spacing w:before="120" w:after="120" w:line="360" w:lineRule="auto"/>
        <w:ind w:left="720"/>
        <w:jc w:val="both"/>
        <w:rPr>
          <w:rFonts w:ascii="Calibri" w:eastAsia="Calibri" w:hAnsi="Calibri" w:cs="Calibri"/>
          <w:color w:val="FF0000"/>
        </w:rPr>
      </w:pPr>
      <w:r w:rsidRPr="00D77DD3">
        <w:rPr>
          <w:rFonts w:ascii="Calibri" w:eastAsia="Calibri" w:hAnsi="Calibri" w:cs="Calibri"/>
          <w:color w:val="FF0000"/>
        </w:rPr>
        <w:t>“Following Haaland, Roth, and Wohlfart (2023), we use a “pure control,” a design suited to assessing the effect of adding particular information relative to providing no additional information. Accordingly, respondents in the control condition received the common clinical vignette but no supplementary framing or justification." (p. 9)</w:t>
      </w:r>
    </w:p>
    <w:p w14:paraId="17C91053" w14:textId="77777777" w:rsidR="00AE2DB0" w:rsidRDefault="00000000" w:rsidP="00AE2DB0">
      <w:pPr>
        <w:spacing w:before="120" w:after="120" w:line="360" w:lineRule="auto"/>
        <w:ind w:left="720"/>
        <w:jc w:val="both"/>
        <w:rPr>
          <w:rFonts w:ascii="Calibri" w:eastAsia="Calibri" w:hAnsi="Calibri" w:cs="Calibri"/>
          <w:color w:val="FF0000"/>
        </w:rPr>
      </w:pPr>
      <w:r w:rsidRPr="00D77DD3">
        <w:rPr>
          <w:rFonts w:ascii="Calibri" w:eastAsia="Calibri" w:hAnsi="Calibri" w:cs="Calibri"/>
          <w:color w:val="FF0000"/>
        </w:rPr>
        <w:t>Accordingly, we have added this new reference to the Reference section.</w:t>
      </w:r>
    </w:p>
    <w:p w14:paraId="21690460" w14:textId="77777777" w:rsidR="00196463" w:rsidRDefault="00000000" w:rsidP="00196463">
      <w:pPr>
        <w:spacing w:before="120" w:after="120" w:line="360" w:lineRule="auto"/>
        <w:ind w:left="720"/>
        <w:jc w:val="both"/>
        <w:rPr>
          <w:rFonts w:ascii="Calibri" w:eastAsia="Calibri" w:hAnsi="Calibri" w:cs="Calibri"/>
          <w:color w:val="FF0000"/>
        </w:rPr>
      </w:pPr>
      <w:r w:rsidRPr="00D77DD3">
        <w:rPr>
          <w:rFonts w:ascii="Calibri" w:eastAsia="Calibri" w:hAnsi="Calibri" w:cs="Calibri"/>
          <w:color w:val="FF0000"/>
        </w:rPr>
        <w:t xml:space="preserve">Finally, and to directly address your issue (i.e., “task difficulty problem [increasing the] Don't know responses”), we now make the full-sample multinomial logit—including “I don’t know”—the paper’s primary model and report arm-specific predicted probabilities with 95% confidence intervals (effectively addressing your concern #9 too). The equivalent equation is specified in p. 10. This analysis treats the increase in “I don’t know” (as per your concern) as a substantive </w:t>
      </w:r>
      <w:r w:rsidRPr="00D77DD3">
        <w:rPr>
          <w:rFonts w:ascii="Calibri" w:eastAsia="Calibri" w:hAnsi="Calibri" w:cs="Calibri"/>
          <w:color w:val="FF0000"/>
        </w:rPr>
        <w:lastRenderedPageBreak/>
        <w:t>treatment response to be econometrically modeled, and incorporated into our analyses. Results remain unchanged. The ordinal model (excluding “I don’t know”) is now retained only as a sensitivity analysis. The new Figure 2 is the paper (p. X).</w:t>
      </w:r>
    </w:p>
    <w:p w14:paraId="326241F8" w14:textId="77777777" w:rsidR="0099138D" w:rsidRDefault="00000000" w:rsidP="0089682E">
      <w:pPr>
        <w:numPr>
          <w:ilvl w:val="0"/>
          <w:numId w:val="1"/>
        </w:numPr>
        <w:spacing w:before="120" w:after="120" w:line="360" w:lineRule="auto"/>
        <w:jc w:val="both"/>
        <w:rPr>
          <w:rFonts w:ascii="Calibri" w:eastAsia="Calibri" w:hAnsi="Calibri" w:cs="Calibri"/>
          <w:color w:val="FF0000"/>
        </w:rPr>
      </w:pPr>
      <w:r w:rsidRPr="00D77DD3">
        <w:rPr>
          <w:rFonts w:ascii="Calibri" w:eastAsia="Calibri" w:hAnsi="Calibri" w:cs="Calibri"/>
          <w:color w:val="212121"/>
        </w:rPr>
        <w:t>The authors should report full sample models that include Don't know responses. They should also report sensitivity analyses that show whether the main conclusions depend on excluding these respondents. The increase in Don't know responses should be discussed as a substantive result. It may show uncertainty, confusion, ambivalence, or lower confidence in the decision. It should not be treated only as a missing or unusable response.</w:t>
      </w:r>
    </w:p>
    <w:p w14:paraId="3BD48518" w14:textId="77777777" w:rsidR="00EC629F" w:rsidRDefault="00000000" w:rsidP="00EC629F">
      <w:pPr>
        <w:spacing w:before="120" w:after="120" w:line="360" w:lineRule="auto"/>
        <w:ind w:left="720"/>
        <w:jc w:val="both"/>
        <w:rPr>
          <w:rFonts w:ascii="Calibri" w:eastAsia="Calibri" w:hAnsi="Calibri" w:cs="Calibri"/>
          <w:color w:val="FF0000"/>
        </w:rPr>
      </w:pPr>
      <w:r w:rsidRPr="0099138D">
        <w:rPr>
          <w:rFonts w:ascii="Calibri" w:eastAsia="Calibri" w:hAnsi="Calibri" w:cs="Calibri"/>
          <w:color w:val="FF0000"/>
        </w:rPr>
        <w:t xml:space="preserve">We totally agree with this comment as well. Building on your suggestion #5 and our corresponding response to that suggestion, we have now (1) made the multinomial model (which does include the Don’t know) the main model of our paper (results remain unchanged). This is in Figure 2 (p. 12). Made explicit that (2)  Table 2 (p. 13) considers both the multinomial model (with Don’t knows) and ordered logit model (without the Don’t know). In addition, (3) we have added Figure OA1 into the Online Appendix (see below; p. 22 in the manuscript). The figure strongly suggests that point estimates are invariant to the addition of the Don’t know respondents. </w:t>
      </w:r>
    </w:p>
    <w:p w14:paraId="61AC2427" w14:textId="77777777" w:rsidR="00EC629F" w:rsidRDefault="00000000" w:rsidP="00EC629F">
      <w:pPr>
        <w:spacing w:before="120" w:after="120" w:line="360" w:lineRule="auto"/>
        <w:ind w:left="720"/>
        <w:jc w:val="both"/>
        <w:rPr>
          <w:rFonts w:ascii="Calibri" w:eastAsia="Calibri" w:hAnsi="Calibri" w:cs="Calibri"/>
          <w:color w:val="FF0000"/>
        </w:rPr>
      </w:pPr>
      <w:r w:rsidRPr="00D77DD3">
        <w:rPr>
          <w:rFonts w:ascii="Calibri" w:eastAsia="Calibri" w:hAnsi="Calibri" w:cs="Calibri"/>
          <w:color w:val="FF0000"/>
        </w:rPr>
        <w:t xml:space="preserve">Finally, (4) we have added the next sentences to the Discussion section (limitations, p. 13-14) to directly address your request of substantively address the Don’t know respondents: </w:t>
      </w:r>
    </w:p>
    <w:p w14:paraId="5091284B" w14:textId="77777777" w:rsidR="00EC629F" w:rsidRDefault="00000000" w:rsidP="00EC629F">
      <w:pPr>
        <w:spacing w:before="120" w:after="120" w:line="360" w:lineRule="auto"/>
        <w:ind w:left="720"/>
        <w:jc w:val="both"/>
        <w:rPr>
          <w:rFonts w:ascii="Calibri" w:eastAsia="Calibri" w:hAnsi="Calibri" w:cs="Calibri"/>
          <w:color w:val="FF0000"/>
        </w:rPr>
      </w:pPr>
      <w:r w:rsidRPr="00D77DD3">
        <w:rPr>
          <w:rFonts w:ascii="Calibri" w:eastAsia="Calibri" w:hAnsi="Calibri" w:cs="Calibri"/>
          <w:color w:val="FF0000"/>
        </w:rPr>
        <w:t>“Both frames increased “I don’t know” responses, a substantive pattern consistent with lower response confidence rather than unusable data (Graham 2021). This may reflect the additional complexity introduced by the framing information; future research should test this mechanism using length-matched conditions and direct measures of response confidence.”</w:t>
      </w:r>
    </w:p>
    <w:p w14:paraId="112A43A6" w14:textId="77777777" w:rsidR="00EC629F" w:rsidRDefault="00000000" w:rsidP="00EC629F">
      <w:pPr>
        <w:spacing w:before="120" w:after="120" w:line="360" w:lineRule="auto"/>
        <w:ind w:left="720"/>
        <w:jc w:val="both"/>
        <w:rPr>
          <w:rFonts w:ascii="Calibri" w:eastAsia="Calibri" w:hAnsi="Calibri" w:cs="Calibri"/>
          <w:color w:val="FF0000"/>
        </w:rPr>
      </w:pPr>
      <w:r w:rsidRPr="00D77DD3">
        <w:rPr>
          <w:rFonts w:ascii="Calibri" w:eastAsia="Calibri" w:hAnsi="Calibri" w:cs="Calibri"/>
          <w:color w:val="FF0000"/>
        </w:rPr>
        <w:t>We believe that substantively addressing this Don’t know issue has made the paper stronger. We thank you for your suggestion.</w:t>
      </w:r>
    </w:p>
    <w:p w14:paraId="09F8AEF8" w14:textId="77777777" w:rsidR="00EC629F" w:rsidRPr="00EC629F" w:rsidRDefault="00000000" w:rsidP="0089682E">
      <w:pPr>
        <w:numPr>
          <w:ilvl w:val="0"/>
          <w:numId w:val="1"/>
        </w:numPr>
        <w:spacing w:before="120" w:after="120" w:line="360" w:lineRule="auto"/>
        <w:jc w:val="both"/>
        <w:rPr>
          <w:rFonts w:ascii="Calibri" w:eastAsia="Calibri" w:hAnsi="Calibri" w:cs="Calibri"/>
          <w:color w:val="FF0000"/>
        </w:rPr>
      </w:pPr>
      <w:r w:rsidRPr="00EC629F">
        <w:rPr>
          <w:rFonts w:ascii="Calibri" w:eastAsia="Calibri" w:hAnsi="Calibri" w:cs="Calibri"/>
          <w:color w:val="212121"/>
        </w:rPr>
        <w:t>The ordinal logit model assumes that each predictor has the same effect across the response thresholds. This assumption may not hold here because the frames may affect rejection, conditional funding, and unconditional funding in different ways. The authors should test the proportional odds assumption or use a model that relaxes it. Reporting a multinomial logit model is useful, but it does not by itself show that the ordinal logit assumption is valid.</w:t>
      </w:r>
    </w:p>
    <w:p w14:paraId="068F0726" w14:textId="77777777" w:rsidR="00EC629F" w:rsidRDefault="00000000" w:rsidP="00EC629F">
      <w:pPr>
        <w:spacing w:before="120" w:after="120" w:line="360" w:lineRule="auto"/>
        <w:ind w:left="720"/>
        <w:jc w:val="both"/>
        <w:rPr>
          <w:rFonts w:ascii="Calibri" w:eastAsia="Calibri" w:hAnsi="Calibri" w:cs="Calibri"/>
          <w:color w:val="FF0000"/>
        </w:rPr>
      </w:pPr>
      <w:r w:rsidRPr="00EC629F">
        <w:rPr>
          <w:rFonts w:ascii="Calibri" w:eastAsia="Calibri" w:hAnsi="Calibri" w:cs="Calibri"/>
          <w:color w:val="FF0000"/>
        </w:rPr>
        <w:lastRenderedPageBreak/>
        <w:t>Yes, another valid and important suggestion. The likelihood-ratio test actually rejects the proportional-odds assumption. Consequently, we have added the following sentence footnote 1, as well as recognizing your contribution:</w:t>
      </w:r>
    </w:p>
    <w:p w14:paraId="0C28190C" w14:textId="77777777" w:rsidR="00285277" w:rsidRDefault="00000000" w:rsidP="00285277">
      <w:pPr>
        <w:spacing w:before="120" w:after="120" w:line="360" w:lineRule="auto"/>
        <w:ind w:left="720"/>
        <w:jc w:val="both"/>
        <w:rPr>
          <w:rFonts w:ascii="Calibri" w:eastAsia="Calibri" w:hAnsi="Calibri" w:cs="Calibri"/>
          <w:color w:val="FF0000"/>
        </w:rPr>
      </w:pPr>
      <w:r w:rsidRPr="00D77DD3">
        <w:rPr>
          <w:rFonts w:ascii="Calibri" w:eastAsia="Calibri" w:hAnsi="Calibri" w:cs="Calibri"/>
          <w:color w:val="FF0000"/>
        </w:rPr>
        <w:t>“A likelihood-ratio test rejects the proportional-odds restriction for the framing variable, χ²(2) = 7.36, p = .025; the restriction is also rejected for several covariates. Accordingly, we use the multinomial logit as the main specification and report the ordered logit only as a sensitivity analysis (we thank Reviewer 1 for this suggestion).” (Footnote #1, p. 10).</w:t>
      </w:r>
    </w:p>
    <w:p w14:paraId="65505B4C" w14:textId="77777777" w:rsidR="00285277" w:rsidRDefault="00000000" w:rsidP="00285277">
      <w:pPr>
        <w:spacing w:before="120" w:after="120" w:line="360" w:lineRule="auto"/>
        <w:ind w:left="720"/>
        <w:jc w:val="both"/>
        <w:rPr>
          <w:rFonts w:ascii="Calibri" w:eastAsia="Calibri" w:hAnsi="Calibri" w:cs="Calibri"/>
          <w:color w:val="FF0000"/>
        </w:rPr>
      </w:pPr>
      <w:r w:rsidRPr="00D77DD3">
        <w:rPr>
          <w:rFonts w:ascii="Calibri" w:eastAsia="Calibri" w:hAnsi="Calibri" w:cs="Calibri"/>
          <w:color w:val="FF0000"/>
        </w:rPr>
        <w:t xml:space="preserve">This is another reason why keeping the multinomial model as the main model of the paper is actually better (effectively following your advice of “[using] a[nother] model that relaxes [such assumption]”). </w:t>
      </w:r>
    </w:p>
    <w:p w14:paraId="662F41EE" w14:textId="77777777" w:rsidR="00285277" w:rsidRDefault="00000000" w:rsidP="00285277">
      <w:pPr>
        <w:spacing w:before="120" w:after="120" w:line="360" w:lineRule="auto"/>
        <w:ind w:left="720"/>
        <w:jc w:val="both"/>
        <w:rPr>
          <w:rFonts w:ascii="Calibri" w:eastAsia="Calibri" w:hAnsi="Calibri" w:cs="Calibri"/>
          <w:color w:val="FF0000"/>
        </w:rPr>
      </w:pPr>
      <w:r w:rsidRPr="00D77DD3">
        <w:rPr>
          <w:rFonts w:ascii="Calibri" w:eastAsia="Calibri" w:hAnsi="Calibri" w:cs="Calibri"/>
          <w:color w:val="FF0000"/>
        </w:rPr>
        <w:t>We thank you for this suggestion too.</w:t>
      </w:r>
    </w:p>
    <w:p w14:paraId="3DF214DC" w14:textId="77777777" w:rsidR="00BC0A18" w:rsidRDefault="00000000" w:rsidP="0089682E">
      <w:pPr>
        <w:numPr>
          <w:ilvl w:val="0"/>
          <w:numId w:val="1"/>
        </w:numPr>
        <w:spacing w:before="120" w:after="120" w:line="360" w:lineRule="auto"/>
        <w:jc w:val="both"/>
        <w:rPr>
          <w:rFonts w:ascii="Calibri" w:eastAsia="Calibri" w:hAnsi="Calibri" w:cs="Calibri"/>
          <w:color w:val="FF0000"/>
        </w:rPr>
      </w:pPr>
      <w:r w:rsidRPr="00D77DD3">
        <w:rPr>
          <w:rFonts w:ascii="Calibri" w:eastAsia="Calibri" w:hAnsi="Calibri" w:cs="Calibri"/>
          <w:color w:val="212121"/>
        </w:rPr>
        <w:t>The manuscript should show the raw outcome distributions by experimental arm. Readers need to see the basic differences across groups before interpreting model based estimates.</w:t>
      </w:r>
    </w:p>
    <w:p w14:paraId="7E37694A" w14:textId="2ECF4AC6" w:rsidR="00786D46" w:rsidRDefault="00000000" w:rsidP="00786D46">
      <w:pPr>
        <w:spacing w:before="120" w:after="120" w:line="360" w:lineRule="auto"/>
        <w:ind w:left="720"/>
        <w:jc w:val="both"/>
        <w:rPr>
          <w:rFonts w:ascii="Calibri" w:eastAsia="Calibri" w:hAnsi="Calibri" w:cs="Calibri"/>
          <w:color w:val="FF0000"/>
        </w:rPr>
      </w:pPr>
      <w:r w:rsidRPr="00BC0A18">
        <w:rPr>
          <w:rFonts w:ascii="Calibri" w:eastAsia="Calibri" w:hAnsi="Calibri" w:cs="Calibri"/>
          <w:color w:val="FF0000"/>
        </w:rPr>
        <w:t xml:space="preserve">We agree and have added a new Figure 1 presenting the raw outcome distributions by experimental arm </w:t>
      </w:r>
      <w:r w:rsidRPr="00BC0A18">
        <w:rPr>
          <w:rFonts w:ascii="Calibri" w:eastAsia="Calibri" w:hAnsi="Calibri" w:cs="Calibri"/>
          <w:i/>
          <w:iCs/>
          <w:color w:val="FF0000"/>
        </w:rPr>
        <w:t>before</w:t>
      </w:r>
      <w:r w:rsidRPr="00BC0A18">
        <w:rPr>
          <w:rFonts w:ascii="Calibri" w:eastAsia="Calibri" w:hAnsi="Calibri" w:cs="Calibri"/>
          <w:color w:val="FF0000"/>
        </w:rPr>
        <w:t xml:space="preserve"> the model-based results (see p. 10). As requested, the figure reports within-arm percentages and cell counts for all four response categories, including “I don’t know,” allowing readers to assess the unadjusted differences across conditions directly.</w:t>
      </w:r>
    </w:p>
    <w:p w14:paraId="54A8C03C" w14:textId="77777777" w:rsidR="00D041B7" w:rsidRDefault="00000000" w:rsidP="0089682E">
      <w:pPr>
        <w:numPr>
          <w:ilvl w:val="0"/>
          <w:numId w:val="1"/>
        </w:numPr>
        <w:spacing w:before="120" w:after="120" w:line="360" w:lineRule="auto"/>
        <w:jc w:val="both"/>
        <w:rPr>
          <w:rFonts w:ascii="Calibri" w:eastAsia="Calibri" w:hAnsi="Calibri" w:cs="Calibri"/>
          <w:color w:val="FF0000"/>
        </w:rPr>
      </w:pPr>
      <w:r w:rsidRPr="00D77DD3">
        <w:rPr>
          <w:rFonts w:ascii="Calibri" w:eastAsia="Calibri" w:hAnsi="Calibri" w:cs="Calibri"/>
          <w:color w:val="212121"/>
        </w:rPr>
        <w:t>The regression reporting should be expanded. The full model table should include covariates, thresholds, sample sizes, fit statistics, weighting details, and confidence intervals. Figure 2 should be supported by a table with exact predicted probabilities and 95 percent confidence intervals.</w:t>
      </w:r>
    </w:p>
    <w:p w14:paraId="21D9EEC0" w14:textId="77777777" w:rsidR="00E81BAF" w:rsidRDefault="00000000" w:rsidP="00E81BAF">
      <w:pPr>
        <w:spacing w:before="120" w:after="120" w:line="360" w:lineRule="auto"/>
        <w:ind w:left="720"/>
        <w:jc w:val="both"/>
        <w:rPr>
          <w:rFonts w:ascii="Calibri" w:eastAsia="Calibri" w:hAnsi="Calibri" w:cs="Calibri"/>
          <w:color w:val="FF0000"/>
        </w:rPr>
      </w:pPr>
      <w:r w:rsidRPr="00D041B7">
        <w:rPr>
          <w:rFonts w:ascii="Calibri" w:eastAsia="Calibri" w:hAnsi="Calibri" w:cs="Calibri"/>
          <w:color w:val="FF0000"/>
        </w:rPr>
        <w:t xml:space="preserve">Thank you for this suggestion. We fully agree. Now the full model including all your suggestions is included in the regression table (Table 3 in the paper; p. 14-16). Since it is a large table, we omitted it here. Now the table also contains all “covariates, sample sizes, fit statistics, weighting details, and confidence intervals” as requested. Similarly, now Fig 2 is supported by a predicted probabilities table (now Table 2 in p. 14). </w:t>
      </w:r>
      <w:r w:rsidRPr="00D041B7">
        <w:rPr>
          <w:rFonts w:ascii="Times New Roman" w:eastAsia="Times New Roman" w:hAnsi="Times New Roman" w:cs="Times New Roman"/>
          <w:color w:val="FF0000"/>
        </w:rPr>
        <w:t>We thank you for this suggestion.</w:t>
      </w:r>
    </w:p>
    <w:p w14:paraId="3EBF505F" w14:textId="77777777" w:rsidR="00873C4D" w:rsidRDefault="00000000" w:rsidP="0089682E">
      <w:pPr>
        <w:numPr>
          <w:ilvl w:val="0"/>
          <w:numId w:val="1"/>
        </w:numPr>
        <w:spacing w:before="120" w:after="120" w:line="360" w:lineRule="auto"/>
        <w:jc w:val="both"/>
        <w:rPr>
          <w:rFonts w:ascii="Calibri" w:eastAsia="Calibri" w:hAnsi="Calibri" w:cs="Calibri"/>
          <w:color w:val="FF0000"/>
        </w:rPr>
      </w:pPr>
      <w:r w:rsidRPr="00D77DD3">
        <w:rPr>
          <w:rFonts w:ascii="Calibri" w:eastAsia="Calibri" w:hAnsi="Calibri" w:cs="Calibri"/>
          <w:color w:val="212121"/>
        </w:rPr>
        <w:t>The use of survey weights needs a clearer explanation. The sample comes from a non probability online panel with quota recruitment. Weights can improve balance with population margins, but they do not provide standard design based population inference. The authors should report unweighted results and soften claims about representativeness.</w:t>
      </w:r>
    </w:p>
    <w:p w14:paraId="21CB50A9" w14:textId="77777777" w:rsidR="00932F6B" w:rsidRDefault="00000000" w:rsidP="00932F6B">
      <w:pPr>
        <w:spacing w:before="120" w:after="120" w:line="360" w:lineRule="auto"/>
        <w:ind w:left="720"/>
        <w:jc w:val="both"/>
        <w:rPr>
          <w:rFonts w:ascii="Calibri" w:eastAsia="Calibri" w:hAnsi="Calibri" w:cs="Calibri"/>
          <w:color w:val="FF0000"/>
        </w:rPr>
      </w:pPr>
      <w:r w:rsidRPr="00873C4D">
        <w:rPr>
          <w:rFonts w:ascii="Calibri" w:eastAsia="Calibri" w:hAnsi="Calibri" w:cs="Calibri"/>
          <w:color w:val="FF0000"/>
        </w:rPr>
        <w:lastRenderedPageBreak/>
        <w:t xml:space="preserve">Yes, we totally agree with this comment as well. We now have added “Table OA1. Unweighted Multinomial and Ordinal Logit Models of Support for Funding a High-Cost.” We think this table could go into the Online Appendix, but if the reviewer(s)/Editor considers it relevant to include it in the paper’s main document, we would be happy to do so. Since this table is very long, we encourage the reviewer to refer to the main document (p. 29). </w:t>
      </w:r>
    </w:p>
    <w:p w14:paraId="02744B47" w14:textId="77777777" w:rsidR="00932F6B" w:rsidRDefault="00000000" w:rsidP="00932F6B">
      <w:pPr>
        <w:spacing w:before="120" w:after="120" w:line="360" w:lineRule="auto"/>
        <w:ind w:left="720"/>
        <w:jc w:val="both"/>
        <w:rPr>
          <w:rFonts w:ascii="Calibri" w:eastAsia="Calibri" w:hAnsi="Calibri" w:cs="Calibri"/>
          <w:color w:val="FF0000"/>
        </w:rPr>
      </w:pPr>
      <w:r w:rsidRPr="00D77DD3">
        <w:rPr>
          <w:rFonts w:ascii="Calibri" w:eastAsia="Calibri" w:hAnsi="Calibri" w:cs="Calibri"/>
          <w:color w:val="FF0000"/>
        </w:rPr>
        <w:t>The results are substantively comparable, but not identical:</w:t>
      </w:r>
    </w:p>
    <w:p w14:paraId="6E09DB7E" w14:textId="1106951E" w:rsidR="00932F6B" w:rsidRPr="00932F6B" w:rsidRDefault="00000000" w:rsidP="00932F6B">
      <w:pPr>
        <w:pStyle w:val="ListParagraph"/>
        <w:numPr>
          <w:ilvl w:val="0"/>
          <w:numId w:val="6"/>
        </w:numPr>
        <w:spacing w:before="120" w:after="120" w:line="360" w:lineRule="auto"/>
        <w:jc w:val="both"/>
        <w:rPr>
          <w:rFonts w:ascii="Calibri" w:eastAsia="Calibri" w:hAnsi="Calibri" w:cs="Calibri"/>
          <w:color w:val="FF0000"/>
        </w:rPr>
      </w:pPr>
      <w:r w:rsidRPr="00932F6B">
        <w:rPr>
          <w:rFonts w:ascii="Calibri" w:eastAsia="Calibri" w:hAnsi="Calibri" w:cs="Calibri"/>
          <w:color w:val="FF0000"/>
        </w:rPr>
        <w:t>All eight framing coefficients retain the same direction.</w:t>
      </w:r>
    </w:p>
    <w:p w14:paraId="234F3567" w14:textId="03DE0389" w:rsidR="00932F6B" w:rsidRPr="00932F6B" w:rsidRDefault="00000000" w:rsidP="00932F6B">
      <w:pPr>
        <w:pStyle w:val="ListParagraph"/>
        <w:numPr>
          <w:ilvl w:val="0"/>
          <w:numId w:val="6"/>
        </w:numPr>
        <w:spacing w:before="120" w:after="120" w:line="360" w:lineRule="auto"/>
        <w:jc w:val="both"/>
        <w:rPr>
          <w:rFonts w:ascii="Calibri" w:eastAsia="Calibri" w:hAnsi="Calibri" w:cs="Calibri"/>
          <w:color w:val="FF0000"/>
        </w:rPr>
      </w:pPr>
      <w:r w:rsidRPr="00932F6B">
        <w:rPr>
          <w:rFonts w:ascii="Calibri" w:eastAsia="Calibri" w:hAnsi="Calibri" w:cs="Calibri"/>
          <w:color w:val="FF0000"/>
        </w:rPr>
        <w:t>Every unweighted confidence interval overlaps its weighted counterpart.</w:t>
      </w:r>
    </w:p>
    <w:p w14:paraId="012B138B" w14:textId="20418B7B" w:rsidR="00932F6B" w:rsidRPr="00932F6B" w:rsidRDefault="00000000" w:rsidP="00932F6B">
      <w:pPr>
        <w:pStyle w:val="ListParagraph"/>
        <w:numPr>
          <w:ilvl w:val="0"/>
          <w:numId w:val="6"/>
        </w:numPr>
        <w:spacing w:before="120" w:after="120" w:line="360" w:lineRule="auto"/>
        <w:jc w:val="both"/>
        <w:rPr>
          <w:rFonts w:ascii="Calibri" w:eastAsia="Calibri" w:hAnsi="Calibri" w:cs="Calibri"/>
          <w:color w:val="FF0000"/>
        </w:rPr>
      </w:pPr>
      <w:r w:rsidRPr="00932F6B">
        <w:rPr>
          <w:rFonts w:ascii="Calibri" w:eastAsia="Calibri" w:hAnsi="Calibri" w:cs="Calibri"/>
          <w:color w:val="FF0000"/>
        </w:rPr>
        <w:t>The strongest results remain: the loss frame increases unconditional funding; both frames increase “I don’t know”; and the ordinal loss-frame effect remains positive.</w:t>
      </w:r>
    </w:p>
    <w:p w14:paraId="79EE4044" w14:textId="77777777" w:rsidR="00BF12C7" w:rsidRDefault="00000000" w:rsidP="00BF12C7">
      <w:pPr>
        <w:pStyle w:val="ListParagraph"/>
        <w:numPr>
          <w:ilvl w:val="0"/>
          <w:numId w:val="6"/>
        </w:numPr>
        <w:spacing w:before="120" w:after="120" w:line="360" w:lineRule="auto"/>
        <w:jc w:val="both"/>
        <w:rPr>
          <w:rFonts w:ascii="Calibri" w:eastAsia="Calibri" w:hAnsi="Calibri" w:cs="Calibri"/>
          <w:color w:val="FF0000"/>
        </w:rPr>
      </w:pPr>
      <w:r w:rsidRPr="00932F6B">
        <w:rPr>
          <w:rFonts w:ascii="Calibri" w:eastAsia="Calibri" w:hAnsi="Calibri" w:cs="Calibri"/>
          <w:color w:val="FF0000"/>
        </w:rPr>
        <w:t xml:space="preserve">Some contrasts become less precise without weights (loss versus control for conditional funding, gains versus control for unconditional funding, and the ordinal gains effect no longer excludes the null at 95%). </w:t>
      </w:r>
    </w:p>
    <w:p w14:paraId="00000049" w14:textId="469FC250" w:rsidR="00B45748" w:rsidRPr="00BF12C7" w:rsidRDefault="00000000" w:rsidP="00BF12C7">
      <w:pPr>
        <w:pStyle w:val="ListParagraph"/>
        <w:spacing w:before="120" w:after="120" w:line="360" w:lineRule="auto"/>
        <w:ind w:left="1080"/>
        <w:jc w:val="both"/>
        <w:rPr>
          <w:rFonts w:ascii="Calibri" w:eastAsia="Calibri" w:hAnsi="Calibri" w:cs="Calibri"/>
          <w:color w:val="FF0000"/>
        </w:rPr>
      </w:pPr>
      <w:r w:rsidRPr="00BF12C7">
        <w:rPr>
          <w:rFonts w:ascii="Calibri" w:eastAsia="Calibri" w:hAnsi="Calibri" w:cs="Calibri"/>
          <w:color w:val="FF0000"/>
        </w:rPr>
        <w:t>We also have taken measures to “soften claims about representativeness”, as per R1’s suggestion. In those regards, we have:</w:t>
      </w:r>
    </w:p>
    <w:p w14:paraId="0000004B" w14:textId="77777777" w:rsidR="00B45748" w:rsidRPr="00BF12C7" w:rsidRDefault="00000000" w:rsidP="00BF12C7">
      <w:pPr>
        <w:pStyle w:val="ListParagraph"/>
        <w:numPr>
          <w:ilvl w:val="0"/>
          <w:numId w:val="6"/>
        </w:numPr>
        <w:spacing w:before="120" w:after="120" w:line="360" w:lineRule="auto"/>
        <w:jc w:val="both"/>
        <w:rPr>
          <w:rFonts w:ascii="Calibri" w:eastAsia="Calibri" w:hAnsi="Calibri" w:cs="Calibri"/>
          <w:color w:val="FF0000"/>
        </w:rPr>
      </w:pPr>
      <w:r w:rsidRPr="00BF12C7">
        <w:rPr>
          <w:rFonts w:ascii="Calibri" w:eastAsia="Calibri" w:hAnsi="Calibri" w:cs="Calibri"/>
          <w:color w:val="FF0000"/>
        </w:rPr>
        <w:t>Edited the methods section. Now it reads: “</w:t>
      </w:r>
      <w:r w:rsidRPr="00BF12C7">
        <w:rPr>
          <w:rFonts w:ascii="Times New Roman" w:eastAsia="Times New Roman" w:hAnsi="Times New Roman" w:cs="Times New Roman"/>
          <w:color w:val="FF0000"/>
        </w:rPr>
        <w:t>Because respondents were recruited from a non-probability online panel, these quotas can improve alignment on observed characteristics but do not eliminate selection bias or support design-based inference to the Finnish adult population”</w:t>
      </w:r>
    </w:p>
    <w:p w14:paraId="0000004C" w14:textId="77777777" w:rsidR="00B45748" w:rsidRPr="00BF12C7" w:rsidRDefault="00000000" w:rsidP="00BF12C7">
      <w:pPr>
        <w:pStyle w:val="ListParagraph"/>
        <w:numPr>
          <w:ilvl w:val="0"/>
          <w:numId w:val="6"/>
        </w:numPr>
        <w:spacing w:before="120" w:after="120" w:line="360" w:lineRule="auto"/>
        <w:jc w:val="both"/>
        <w:rPr>
          <w:rFonts w:ascii="Times New Roman" w:eastAsia="Times New Roman" w:hAnsi="Times New Roman" w:cs="Times New Roman"/>
          <w:color w:val="FF0000"/>
        </w:rPr>
      </w:pPr>
      <w:r w:rsidRPr="00BF12C7">
        <w:rPr>
          <w:rFonts w:ascii="Times New Roman" w:eastAsia="Times New Roman" w:hAnsi="Times New Roman" w:cs="Times New Roman"/>
          <w:color w:val="FF0000"/>
        </w:rPr>
        <w:t>Edited the Abstract, and replaced “a population-based survey experiment” for “a survey experiment.”</w:t>
      </w:r>
    </w:p>
    <w:p w14:paraId="0000004D" w14:textId="77777777" w:rsidR="00B45748" w:rsidRPr="00BF12C7" w:rsidRDefault="00000000" w:rsidP="00BF12C7">
      <w:pPr>
        <w:pStyle w:val="ListParagraph"/>
        <w:numPr>
          <w:ilvl w:val="0"/>
          <w:numId w:val="6"/>
        </w:numPr>
        <w:spacing w:before="120" w:after="120" w:line="360" w:lineRule="auto"/>
        <w:jc w:val="both"/>
        <w:rPr>
          <w:rFonts w:ascii="Times New Roman" w:eastAsia="Times New Roman" w:hAnsi="Times New Roman" w:cs="Times New Roman"/>
          <w:color w:val="FF0000"/>
        </w:rPr>
      </w:pPr>
      <w:r w:rsidRPr="00BF12C7">
        <w:rPr>
          <w:rFonts w:ascii="Times New Roman" w:eastAsia="Times New Roman" w:hAnsi="Times New Roman" w:cs="Times New Roman"/>
          <w:color w:val="FF0000"/>
        </w:rPr>
        <w:t>To add more substantive discussion to the issue of weights, we have added FN #1 (p. 9) that compares the weighted and unweighted results: “Unweighted models reported in Table 1OA preserve the direction of all eight framing coefficients, and their 95% confidence intervals overlap the corresponding weighted estimates in Table 3. The loss-frame effect on unconditional funding, both frame effects on “I don’t know,” and the ordered-logit loss effect remain statistically distinguishable from the null. The loss-frame contrast for conditional funding, the gains-frame contrast for unconditional funding, and the ordered-logit gains effect no longer exclude the null without weights; thus, weighting affects precision for some contrasts but not the overall directional pattern.”</w:t>
      </w:r>
    </w:p>
    <w:p w14:paraId="0000004E" w14:textId="77777777" w:rsidR="00B45748" w:rsidRPr="00BF12C7" w:rsidRDefault="00000000" w:rsidP="00BF12C7">
      <w:pPr>
        <w:pStyle w:val="ListParagraph"/>
        <w:numPr>
          <w:ilvl w:val="0"/>
          <w:numId w:val="6"/>
        </w:numPr>
        <w:spacing w:before="120" w:after="120" w:line="360" w:lineRule="auto"/>
        <w:jc w:val="both"/>
        <w:rPr>
          <w:rFonts w:ascii="Times New Roman" w:eastAsia="Times New Roman" w:hAnsi="Times New Roman" w:cs="Times New Roman"/>
          <w:color w:val="FF0000"/>
        </w:rPr>
      </w:pPr>
      <w:r w:rsidRPr="00BF12C7">
        <w:rPr>
          <w:rFonts w:ascii="Times New Roman" w:eastAsia="Times New Roman" w:hAnsi="Times New Roman" w:cs="Times New Roman"/>
          <w:color w:val="FF0000"/>
        </w:rPr>
        <w:t xml:space="preserve">Softening the tone. We have replaced "All models are estimated with survey weights to preserve population representativeness" with "The main models apply the supplied calibration </w:t>
      </w:r>
      <w:r w:rsidRPr="00BF12C7">
        <w:rPr>
          <w:rFonts w:ascii="Times New Roman" w:eastAsia="Times New Roman" w:hAnsi="Times New Roman" w:cs="Times New Roman"/>
          <w:color w:val="FF0000"/>
        </w:rPr>
        <w:lastRenderedPageBreak/>
        <w:t>weight to improve alignment with available population margins. Because recruitment was non-probabilistic, these weights do not permit design-based population inference (corresponding unweighted estimates are reported in Table 1OA)" in the Methods section (p. 11).</w:t>
      </w:r>
    </w:p>
    <w:p w14:paraId="0000004F" w14:textId="77777777" w:rsidR="00B45748" w:rsidRPr="00BF12C7" w:rsidRDefault="00000000" w:rsidP="00BF12C7">
      <w:pPr>
        <w:pStyle w:val="ListParagraph"/>
        <w:numPr>
          <w:ilvl w:val="0"/>
          <w:numId w:val="6"/>
        </w:numPr>
        <w:spacing w:before="120" w:after="120" w:line="360" w:lineRule="auto"/>
        <w:jc w:val="both"/>
        <w:rPr>
          <w:rFonts w:ascii="Times New Roman" w:eastAsia="Times New Roman" w:hAnsi="Times New Roman" w:cs="Times New Roman"/>
          <w:color w:val="FF0000"/>
        </w:rPr>
      </w:pPr>
      <w:r w:rsidRPr="00BF12C7">
        <w:rPr>
          <w:rFonts w:ascii="Times New Roman" w:eastAsia="Times New Roman" w:hAnsi="Times New Roman" w:cs="Times New Roman"/>
          <w:color w:val="FF0000"/>
        </w:rPr>
        <w:t>In the Discussion section, we have changed "Using a population-based survey experiment" for "Using a survey experiment" (p. 17).</w:t>
      </w:r>
    </w:p>
    <w:p w14:paraId="49C9EED5" w14:textId="77777777" w:rsidR="00BF12C7" w:rsidRDefault="00000000" w:rsidP="0089682E">
      <w:pPr>
        <w:pStyle w:val="ListParagraph"/>
        <w:numPr>
          <w:ilvl w:val="0"/>
          <w:numId w:val="6"/>
        </w:numPr>
        <w:spacing w:before="120" w:after="120" w:line="360" w:lineRule="auto"/>
        <w:jc w:val="both"/>
        <w:rPr>
          <w:rFonts w:ascii="Times New Roman" w:eastAsia="Times New Roman" w:hAnsi="Times New Roman" w:cs="Times New Roman"/>
          <w:color w:val="FF0000"/>
        </w:rPr>
      </w:pPr>
      <w:r w:rsidRPr="00BF12C7">
        <w:rPr>
          <w:rFonts w:ascii="Times New Roman" w:eastAsia="Times New Roman" w:hAnsi="Times New Roman" w:cs="Times New Roman"/>
          <w:color w:val="FF0000"/>
        </w:rPr>
        <w:t xml:space="preserve">We have added a fifth limitation: “Fifth, recruitment from a non-probability online panel further limits population generalizability: calibration weights improve balance on observed margins but cannot correct unobserved selection into the panel.” In the Discussion section, where we discuss our work’s limitations (p. 20). </w:t>
      </w:r>
    </w:p>
    <w:p w14:paraId="00000052" w14:textId="45D9A634" w:rsidR="00B45748" w:rsidRPr="00BF12C7" w:rsidRDefault="00000000" w:rsidP="00BF12C7">
      <w:pPr>
        <w:pStyle w:val="ListParagraph"/>
        <w:spacing w:before="120" w:after="120" w:line="360" w:lineRule="auto"/>
        <w:ind w:left="1080"/>
        <w:jc w:val="both"/>
        <w:rPr>
          <w:rFonts w:ascii="Times New Roman" w:eastAsia="Times New Roman" w:hAnsi="Times New Roman" w:cs="Times New Roman"/>
          <w:color w:val="FF0000"/>
        </w:rPr>
      </w:pPr>
      <w:r w:rsidRPr="00BF12C7">
        <w:rPr>
          <w:rFonts w:ascii="Calibri" w:eastAsia="Calibri" w:hAnsi="Calibri" w:cs="Calibri"/>
          <w:color w:val="FF0000"/>
        </w:rPr>
        <w:t>With these, we truly hope to have answered R1. Many thanks for these suggestions.</w:t>
      </w:r>
    </w:p>
    <w:p w14:paraId="19D60FFF" w14:textId="77777777" w:rsidR="00B2727F" w:rsidRPr="00B2727F" w:rsidRDefault="00000000" w:rsidP="0089682E">
      <w:pPr>
        <w:numPr>
          <w:ilvl w:val="0"/>
          <w:numId w:val="1"/>
        </w:numPr>
        <w:spacing w:before="120" w:after="120" w:line="360" w:lineRule="auto"/>
        <w:jc w:val="both"/>
        <w:rPr>
          <w:rFonts w:ascii="Calibri" w:eastAsia="Calibri" w:hAnsi="Calibri" w:cs="Calibri"/>
          <w:color w:val="FF0000"/>
        </w:rPr>
      </w:pPr>
      <w:r w:rsidRPr="00B2727F">
        <w:rPr>
          <w:rFonts w:ascii="Calibri" w:eastAsia="Calibri" w:hAnsi="Calibri" w:cs="Calibri"/>
          <w:color w:val="212121"/>
        </w:rPr>
        <w:t>The contribution to the existing literature needs to be clearer. Prior studies have already examined framing, opportunity costs, and public preferences in priority setting. Since this study does not test institutional insulation, the authors should explain its contribution as a focused framing study.</w:t>
      </w:r>
    </w:p>
    <w:p w14:paraId="03C27BF9" w14:textId="7CCD096D" w:rsidR="00850170" w:rsidRDefault="003A4B1A" w:rsidP="00850170">
      <w:pPr>
        <w:spacing w:before="120" w:after="120" w:line="360" w:lineRule="auto"/>
        <w:ind w:left="720"/>
        <w:jc w:val="both"/>
        <w:rPr>
          <w:rFonts w:ascii="Calibri" w:eastAsia="Calibri" w:hAnsi="Calibri" w:cs="Calibri"/>
          <w:color w:val="FF0000"/>
        </w:rPr>
      </w:pPr>
      <w:r w:rsidRPr="002B15EF">
        <w:rPr>
          <w:rFonts w:ascii="Calibri" w:eastAsia="Calibri" w:hAnsi="Calibri" w:cs="Calibri"/>
          <w:color w:val="FF0000"/>
          <w:highlight w:val="yellow"/>
        </w:rPr>
        <w:t>Thank you. We agree that the contribution should be presented as a focused framing study rather than as a test of institutional insulation. We have revised the Introduction to acknowledge the prior literature on framing, opportunity-cost salience, and public preferences in priority setting. We now define our narrower contribution as estimating how rescue-oriented and resource-preservation justifications redistribute stated support across several funding options—including uncertainty—within the Finnish reimbursement context; institutional delegation is treated as the setting rather than the manipulated explanatory variable</w:t>
      </w:r>
      <w:r w:rsidR="00850170" w:rsidRPr="002B15EF">
        <w:rPr>
          <w:rFonts w:ascii="Calibri" w:eastAsia="Calibri" w:hAnsi="Calibri" w:cs="Calibri"/>
          <w:color w:val="FF0000"/>
          <w:highlight w:val="yellow"/>
        </w:rPr>
        <w:t>.</w:t>
      </w:r>
    </w:p>
    <w:p w14:paraId="7BBB0F48" w14:textId="77777777" w:rsidR="00E74AA9" w:rsidRPr="00E74AA9" w:rsidRDefault="00000000" w:rsidP="00E74AA9">
      <w:pPr>
        <w:numPr>
          <w:ilvl w:val="0"/>
          <w:numId w:val="1"/>
        </w:numPr>
        <w:spacing w:before="120" w:after="120" w:line="360" w:lineRule="auto"/>
        <w:jc w:val="both"/>
        <w:rPr>
          <w:rFonts w:ascii="Calibri" w:eastAsia="Calibri" w:hAnsi="Calibri" w:cs="Calibri"/>
          <w:color w:val="FF0000"/>
        </w:rPr>
      </w:pPr>
      <w:r w:rsidRPr="00D77DD3">
        <w:rPr>
          <w:rFonts w:ascii="Calibri" w:eastAsia="Calibri" w:hAnsi="Calibri" w:cs="Calibri"/>
          <w:color w:val="212121"/>
        </w:rPr>
        <w:t>The response scale may channel different views into the conditional funding category. Some respondents may choose it because they support price negotiation. Others may choose it because they are uncertain, because they want to avoid denying treatment, or because they view unconditional funding as too permissive. These are substantively different reasons, but the current measure cannot distinguish them. The manuscript should therefore discuss the modal conditional funding result as a possible measurement issue and should be cautious in drawing policy implications from it.</w:t>
      </w:r>
    </w:p>
    <w:p w14:paraId="1277A255" w14:textId="51A173DD" w:rsidR="00E74AA9" w:rsidRDefault="00FF4424" w:rsidP="00E74AA9">
      <w:pPr>
        <w:spacing w:before="120" w:after="120" w:line="360" w:lineRule="auto"/>
        <w:ind w:left="720"/>
        <w:jc w:val="both"/>
        <w:rPr>
          <w:rFonts w:ascii="Calibri" w:eastAsia="Calibri" w:hAnsi="Calibri" w:cs="Calibri"/>
          <w:color w:val="212121"/>
        </w:rPr>
      </w:pPr>
      <w:r w:rsidRPr="005648DA">
        <w:rPr>
          <w:rFonts w:ascii="Calibri" w:eastAsia="Calibri" w:hAnsi="Calibri" w:cs="Calibri"/>
          <w:color w:val="FF0000"/>
          <w:highlight w:val="yellow"/>
        </w:rPr>
        <w:t xml:space="preserve">Thank you. We agree that the conditional-funding category may pool several substantively different considerations. We now state explicitly that respondents may have selected it because they favored price negotiation, were uncertain, wished to avoid denying treatment, or regarded </w:t>
      </w:r>
      <w:r w:rsidRPr="005648DA">
        <w:rPr>
          <w:rFonts w:ascii="Calibri" w:eastAsia="Calibri" w:hAnsi="Calibri" w:cs="Calibri"/>
          <w:color w:val="FF0000"/>
          <w:highlight w:val="yellow"/>
        </w:rPr>
        <w:lastRenderedPageBreak/>
        <w:t>unconditional payment as too permissive. Rather than treating its modal status as evidence of a shared normative rationale, we now present normative attraction, status quo bias, and institutional framing as possible interpretations that the present measure cannot distinguish. We also identify follow-up measures capable of distinguishing these motivations as a priority for future research</w:t>
      </w:r>
      <w:r w:rsidR="00841821" w:rsidRPr="005648DA">
        <w:rPr>
          <w:rFonts w:ascii="Calibri" w:eastAsia="Calibri" w:hAnsi="Calibri" w:cs="Calibri"/>
          <w:color w:val="FF0000"/>
          <w:highlight w:val="yellow"/>
        </w:rPr>
        <w:t>.</w:t>
      </w:r>
    </w:p>
    <w:p w14:paraId="007CFBE9" w14:textId="77777777" w:rsidR="00E74AA9" w:rsidRPr="00E74AA9" w:rsidRDefault="00000000" w:rsidP="00E74AA9">
      <w:pPr>
        <w:numPr>
          <w:ilvl w:val="0"/>
          <w:numId w:val="1"/>
        </w:numPr>
        <w:spacing w:before="120" w:after="120" w:line="360" w:lineRule="auto"/>
        <w:jc w:val="both"/>
        <w:rPr>
          <w:rFonts w:ascii="Calibri" w:eastAsia="Calibri" w:hAnsi="Calibri" w:cs="Calibri"/>
          <w:color w:val="FF0000"/>
        </w:rPr>
      </w:pPr>
      <w:r w:rsidRPr="00D77DD3">
        <w:rPr>
          <w:rFonts w:ascii="Calibri" w:eastAsia="Calibri" w:hAnsi="Calibri" w:cs="Calibri"/>
          <w:color w:val="212121"/>
        </w:rPr>
        <w:t>Several parts of the Discussion go beyond the evidence. The manuscript discusses political trust, ideology, system satisfaction, industry lobbying, patient organisations, and patient influencers. These topics are relevant to the broader policy area, but most are not measured in this study. The Discussion should be shortened and tied more closely to the results.</w:t>
      </w:r>
    </w:p>
    <w:p w14:paraId="56CA295C" w14:textId="77777777" w:rsidR="001914D9" w:rsidRDefault="001914D9" w:rsidP="001914D9">
      <w:pPr>
        <w:spacing w:before="120" w:after="120" w:line="360" w:lineRule="auto"/>
        <w:ind w:left="720"/>
        <w:jc w:val="both"/>
        <w:rPr>
          <w:rFonts w:ascii="Calibri" w:eastAsia="Calibri" w:hAnsi="Calibri" w:cs="Calibri"/>
          <w:color w:val="FF0000"/>
        </w:rPr>
      </w:pPr>
      <w:r w:rsidRPr="001914D9">
        <w:rPr>
          <w:rFonts w:ascii="Calibri" w:eastAsia="Calibri" w:hAnsi="Calibri" w:cs="Calibri"/>
          <w:color w:val="FF0000"/>
          <w:highlight w:val="yellow"/>
        </w:rPr>
        <w:t>Thank you. We agree and have shortened and refocused the Discussion. We removed or qualified claims concerning political trust, system satisfaction, organized advocacy, and other consequences not measured in the survey. The broader literature on expertise and delegation is retained only to situate the implications of the observed framing effects, and we now state explicitly that the experiment does not measure effects on legitimacy, accountability, or the influence of organized actors. The revised Discussion therefore distinguishes more clearly between the study’s findings and their possible broader implications.</w:t>
      </w:r>
    </w:p>
    <w:p w14:paraId="11E51273" w14:textId="388EBBDF" w:rsidR="00350EC0" w:rsidRPr="00350EC0" w:rsidRDefault="00000000" w:rsidP="00350EC0">
      <w:pPr>
        <w:numPr>
          <w:ilvl w:val="0"/>
          <w:numId w:val="1"/>
        </w:numPr>
        <w:spacing w:before="120" w:after="120" w:line="360" w:lineRule="auto"/>
        <w:jc w:val="both"/>
        <w:rPr>
          <w:rFonts w:ascii="Calibri" w:eastAsia="Calibri" w:hAnsi="Calibri" w:cs="Calibri"/>
          <w:color w:val="FF0000"/>
        </w:rPr>
      </w:pPr>
      <w:r w:rsidRPr="00D77DD3">
        <w:rPr>
          <w:rFonts w:ascii="Calibri" w:eastAsia="Calibri" w:hAnsi="Calibri" w:cs="Calibri"/>
          <w:color w:val="212121"/>
        </w:rPr>
        <w:t>The vignette wording needs clarification. The phrase about laboratory evidence destroying cancer cells may lead respondents to infer stronger clinical benefit than intended. The authors should clarify the source and meaning of this wording.</w:t>
      </w:r>
    </w:p>
    <w:p w14:paraId="09F2D068" w14:textId="77777777" w:rsidR="00DD0FEB" w:rsidRDefault="00000000" w:rsidP="00DD0FEB">
      <w:pPr>
        <w:spacing w:before="120" w:after="120" w:line="360" w:lineRule="auto"/>
        <w:ind w:left="720"/>
        <w:jc w:val="both"/>
        <w:rPr>
          <w:rFonts w:ascii="Calibri" w:eastAsia="Calibri" w:hAnsi="Calibri" w:cs="Calibri"/>
          <w:color w:val="212121"/>
        </w:rPr>
      </w:pPr>
      <w:r w:rsidRPr="00D77DD3">
        <w:rPr>
          <w:rFonts w:ascii="Calibri" w:eastAsia="Calibri" w:hAnsi="Calibri" w:cs="Calibri"/>
          <w:color w:val="FF0000"/>
        </w:rPr>
        <w:t xml:space="preserve">We thank the Reviewer for this important comment. We acknowledge that communicating highly technical clinical study outcomes to the general population can be challenging. In this respect, the vignette reflects the complexities of real-world health communication. Nevertheless, any effect of the wording is likely to have been similar across study arms, as all respondents received the same vignette. We have now explained this in more detail in the manuscript. </w:t>
      </w:r>
    </w:p>
    <w:p w14:paraId="053D358A" w14:textId="77777777" w:rsidR="00855FF5" w:rsidRDefault="00000000" w:rsidP="0089682E">
      <w:pPr>
        <w:numPr>
          <w:ilvl w:val="0"/>
          <w:numId w:val="1"/>
        </w:numPr>
        <w:spacing w:before="120" w:after="120" w:line="360" w:lineRule="auto"/>
        <w:jc w:val="both"/>
        <w:rPr>
          <w:rFonts w:ascii="Calibri" w:eastAsia="Calibri" w:hAnsi="Calibri" w:cs="Calibri"/>
          <w:color w:val="212121"/>
        </w:rPr>
      </w:pPr>
      <w:r w:rsidRPr="00D77DD3">
        <w:rPr>
          <w:rFonts w:ascii="Calibri" w:eastAsia="Calibri" w:hAnsi="Calibri" w:cs="Calibri"/>
          <w:color w:val="212121"/>
        </w:rPr>
        <w:t xml:space="preserve">The manuscript does not include manipulation checks or mechanism measures. The authors interpret the treatment effects as evidence of loss avoidance, gain preservation, and the rule of rescue, but the survey does not measure whether respondents actually perceived the treatments in these terms. It does not measure perceived patient loss, perceived opportunity cost, perceived absence of alternatives, or perceived moral obligation. The evidence therefore supports a treatment effect on stated funding preferences, but it does not identify the psychological </w:t>
      </w:r>
      <w:r w:rsidRPr="00D77DD3">
        <w:rPr>
          <w:rFonts w:ascii="Calibri" w:eastAsia="Calibri" w:hAnsi="Calibri" w:cs="Calibri"/>
          <w:color w:val="212121"/>
        </w:rPr>
        <w:lastRenderedPageBreak/>
        <w:t>mechanism behind that effect. The mechanism claims should be softened unless additional evidence is provided.</w:t>
      </w:r>
    </w:p>
    <w:p w14:paraId="00DC2A87" w14:textId="77777777" w:rsidR="00026433" w:rsidRDefault="00000000" w:rsidP="00026433">
      <w:pPr>
        <w:spacing w:before="120" w:after="120" w:line="360" w:lineRule="auto"/>
        <w:ind w:left="720"/>
        <w:jc w:val="both"/>
        <w:rPr>
          <w:rFonts w:ascii="Calibri" w:eastAsia="Calibri" w:hAnsi="Calibri" w:cs="Calibri"/>
          <w:color w:val="212121"/>
        </w:rPr>
      </w:pPr>
      <w:r w:rsidRPr="00855FF5">
        <w:rPr>
          <w:rFonts w:ascii="Calibri" w:eastAsia="Calibri" w:hAnsi="Calibri" w:cs="Calibri"/>
          <w:color w:val="FF0000"/>
        </w:rPr>
        <w:t xml:space="preserve">Thank you. We agree that the experiment identifies the causal effects of the assigned frames on stated funding preferences but does not identify the intervening psychological mechanism. As requested, we have softened our claims, while retaining prospect theory and the rule of rescue as the ex ante theoretical account. </w:t>
      </w:r>
      <w:r w:rsidRPr="00D77DD3">
        <w:rPr>
          <w:rFonts w:ascii="Calibri" w:eastAsia="Calibri" w:hAnsi="Calibri" w:cs="Calibri"/>
          <w:color w:val="FF0000"/>
        </w:rPr>
        <w:t>Specifically, we made the following revisions:</w:t>
      </w:r>
    </w:p>
    <w:p w14:paraId="570868BE" w14:textId="77777777" w:rsidR="00026433" w:rsidRDefault="00000000" w:rsidP="00026433">
      <w:pPr>
        <w:spacing w:before="120" w:after="120" w:line="360" w:lineRule="auto"/>
        <w:ind w:left="720"/>
        <w:jc w:val="both"/>
        <w:rPr>
          <w:rFonts w:ascii="Calibri" w:eastAsia="Calibri" w:hAnsi="Calibri" w:cs="Calibri"/>
          <w:color w:val="212121"/>
        </w:rPr>
      </w:pPr>
      <w:r w:rsidRPr="00026433">
        <w:rPr>
          <w:rFonts w:ascii="Calibri" w:eastAsia="Calibri" w:hAnsi="Calibri" w:cs="Calibri"/>
          <w:b/>
          <w:bCs/>
          <w:color w:val="FF0000"/>
        </w:rPr>
        <w:t>Abstract</w:t>
      </w:r>
      <w:r w:rsidRPr="00D77DD3">
        <w:rPr>
          <w:rFonts w:ascii="Calibri" w:eastAsia="Calibri" w:hAnsi="Calibri" w:cs="Calibri"/>
          <w:color w:val="FF0000"/>
        </w:rPr>
        <w:t>. We changed “Support for funding rises under loss-avoidance framing and falls under gain-preservation framing” to “Despite identical policy content, support for funding rises under the rescue-oriented frame and falls under the resource-preservation frame.” This avoids describing the intended psychological mechanisms as directly observed outcomes.</w:t>
      </w:r>
    </w:p>
    <w:p w14:paraId="66BE9DAE" w14:textId="77777777" w:rsidR="00026433" w:rsidRDefault="00000000" w:rsidP="00026433">
      <w:pPr>
        <w:spacing w:before="120" w:after="120" w:line="360" w:lineRule="auto"/>
        <w:ind w:left="720"/>
        <w:jc w:val="both"/>
        <w:rPr>
          <w:rFonts w:ascii="Calibri" w:eastAsia="Calibri" w:hAnsi="Calibri" w:cs="Calibri"/>
          <w:color w:val="212121"/>
        </w:rPr>
      </w:pPr>
      <w:r w:rsidRPr="00026433">
        <w:rPr>
          <w:rFonts w:ascii="Calibri" w:eastAsia="Calibri" w:hAnsi="Calibri" w:cs="Calibri"/>
          <w:b/>
          <w:bCs/>
          <w:color w:val="FF0000"/>
        </w:rPr>
        <w:t>Introduction</w:t>
      </w:r>
      <w:r w:rsidRPr="00D77DD3">
        <w:rPr>
          <w:rFonts w:ascii="Calibri" w:eastAsia="Calibri" w:hAnsi="Calibri" w:cs="Calibri"/>
          <w:color w:val="FF0000"/>
        </w:rPr>
        <w:t>. We changed “institutional insulation does not neutralise framing effects in mass preferences because it does not alter the cognitive mechanisms through which citizens evaluate distributive trade-offs” to “institutional insulation need not neutralise framing effects in mass preferences because citizens may still interpret distributive trade-offs through competing reference points.” We also changed the claim that the frame “sets the reference point” to the more appropriately qualified claim that it “may make different reference points salient.”</w:t>
      </w:r>
    </w:p>
    <w:p w14:paraId="7F26FF02" w14:textId="77777777" w:rsidR="008678C5" w:rsidRDefault="00000000" w:rsidP="008678C5">
      <w:pPr>
        <w:spacing w:before="120" w:after="120" w:line="360" w:lineRule="auto"/>
        <w:ind w:left="720"/>
        <w:jc w:val="both"/>
        <w:rPr>
          <w:rFonts w:ascii="Calibri" w:eastAsia="Calibri" w:hAnsi="Calibri" w:cs="Calibri"/>
          <w:color w:val="212121"/>
        </w:rPr>
      </w:pPr>
      <w:r w:rsidRPr="00026433">
        <w:rPr>
          <w:rFonts w:ascii="Calibri" w:eastAsia="Calibri" w:hAnsi="Calibri" w:cs="Calibri"/>
          <w:b/>
          <w:bCs/>
          <w:color w:val="FF0000"/>
        </w:rPr>
        <w:t>Theory</w:t>
      </w:r>
      <w:r w:rsidRPr="00D77DD3">
        <w:rPr>
          <w:rFonts w:ascii="Calibri" w:eastAsia="Calibri" w:hAnsi="Calibri" w:cs="Calibri"/>
          <w:color w:val="FF0000"/>
        </w:rPr>
        <w:t>. We changed the claim that rescue-oriented frames place citizens in the loss domain, “thereby activating” loss aversion, to state that these frames are “designed to make a loss-domain interpretation more salient and may therefore elicit” the dynamics predicted by prospect theory. We also added: “These propositions specify the mechanisms motivating our directional hypotheses; the experiment tests their observable implications for funding choices rather than directly measuring respondents’ perceptions or the intervening psychological process.”</w:t>
      </w:r>
    </w:p>
    <w:p w14:paraId="13211A58" w14:textId="77777777" w:rsidR="008678C5" w:rsidRDefault="00000000" w:rsidP="008678C5">
      <w:pPr>
        <w:spacing w:before="120" w:after="120" w:line="360" w:lineRule="auto"/>
        <w:ind w:left="720"/>
        <w:jc w:val="both"/>
        <w:rPr>
          <w:rFonts w:ascii="Calibri" w:eastAsia="Calibri" w:hAnsi="Calibri" w:cs="Calibri"/>
          <w:color w:val="212121"/>
        </w:rPr>
      </w:pPr>
      <w:r w:rsidRPr="008678C5">
        <w:rPr>
          <w:rFonts w:ascii="Calibri" w:eastAsia="Calibri" w:hAnsi="Calibri" w:cs="Calibri"/>
          <w:b/>
          <w:bCs/>
          <w:color w:val="FF0000"/>
        </w:rPr>
        <w:t>Outcome interpretation</w:t>
      </w:r>
      <w:r w:rsidRPr="00D77DD3">
        <w:rPr>
          <w:rFonts w:ascii="Calibri" w:eastAsia="Calibri" w:hAnsi="Calibri" w:cs="Calibri"/>
          <w:color w:val="FF0000"/>
        </w:rPr>
        <w:t>. We removed the characterization of unconditional funding, conditional funding, and rejection as direct indicators of risk-seeking and risk-averse preferences. The revised text orders these responses according to their restrictiveness and explicitly states that the outcome “does not itself measure respondents’ perceptions of gains, losses, opportunity costs, or moral obligation.”</w:t>
      </w:r>
    </w:p>
    <w:p w14:paraId="57AC39AC" w14:textId="77777777" w:rsidR="00545D88" w:rsidRDefault="00000000" w:rsidP="00545D88">
      <w:pPr>
        <w:spacing w:before="120" w:after="120" w:line="360" w:lineRule="auto"/>
        <w:ind w:left="720"/>
        <w:jc w:val="both"/>
        <w:rPr>
          <w:rFonts w:ascii="Calibri" w:eastAsia="Calibri" w:hAnsi="Calibri" w:cs="Calibri"/>
          <w:color w:val="212121"/>
        </w:rPr>
      </w:pPr>
      <w:r w:rsidRPr="008678C5">
        <w:rPr>
          <w:rFonts w:ascii="Calibri" w:eastAsia="Calibri" w:hAnsi="Calibri" w:cs="Calibri"/>
          <w:b/>
          <w:bCs/>
          <w:color w:val="FF0000"/>
        </w:rPr>
        <w:t>Results</w:t>
      </w:r>
      <w:r w:rsidRPr="00D77DD3">
        <w:rPr>
          <w:rFonts w:ascii="Calibri" w:eastAsia="Calibri" w:hAnsi="Calibri" w:cs="Calibri"/>
          <w:color w:val="FF0000"/>
        </w:rPr>
        <w:t xml:space="preserve">. We replaced claims that the treatments produced risk-seeking or risk-averse responses with descriptions of the observed movements between less and more restrictive funding positions. We now state that the direction of these shifts is “consistent with expectations derived </w:t>
      </w:r>
      <w:r w:rsidRPr="00D77DD3">
        <w:rPr>
          <w:rFonts w:ascii="Calibri" w:eastAsia="Calibri" w:hAnsi="Calibri" w:cs="Calibri"/>
          <w:color w:val="FF0000"/>
        </w:rPr>
        <w:lastRenderedPageBreak/>
        <w:t>from prospect theory and the rule of rescue,” rather than treating the results as direct evidence that these psychological processes occurred.</w:t>
      </w:r>
    </w:p>
    <w:p w14:paraId="55F2D082" w14:textId="77777777" w:rsidR="000A68A8" w:rsidRDefault="00000000" w:rsidP="000A68A8">
      <w:pPr>
        <w:spacing w:before="120" w:after="120" w:line="360" w:lineRule="auto"/>
        <w:ind w:left="720"/>
        <w:jc w:val="both"/>
        <w:rPr>
          <w:rFonts w:ascii="Calibri" w:eastAsia="Calibri" w:hAnsi="Calibri" w:cs="Calibri"/>
          <w:color w:val="212121"/>
        </w:rPr>
      </w:pPr>
      <w:r w:rsidRPr="00545D88">
        <w:rPr>
          <w:rFonts w:ascii="Calibri" w:eastAsia="Calibri" w:hAnsi="Calibri" w:cs="Calibri"/>
          <w:b/>
          <w:bCs/>
          <w:color w:val="FF0000"/>
        </w:rPr>
        <w:t>Mechanism interpretation</w:t>
      </w:r>
      <w:r w:rsidRPr="00D77DD3">
        <w:rPr>
          <w:rFonts w:ascii="Calibri" w:eastAsia="Calibri" w:hAnsi="Calibri" w:cs="Calibri"/>
          <w:color w:val="FF0000"/>
        </w:rPr>
        <w:t>. We added the following qualification to the Results: “Because the survey did not include manipulation checks or measures of perceived patient loss, opportunity cost, absence of alternatives, or moral obligation, however, the results do not establish which psychological process generated these effects.”</w:t>
      </w:r>
    </w:p>
    <w:p w14:paraId="1485F76A" w14:textId="77777777" w:rsidR="00C22D9D" w:rsidRDefault="00000000" w:rsidP="00C22D9D">
      <w:pPr>
        <w:spacing w:before="120" w:after="120" w:line="360" w:lineRule="auto"/>
        <w:ind w:left="720"/>
        <w:jc w:val="both"/>
        <w:rPr>
          <w:rFonts w:ascii="Calibri" w:eastAsia="Calibri" w:hAnsi="Calibri" w:cs="Calibri"/>
          <w:color w:val="212121"/>
        </w:rPr>
      </w:pPr>
      <w:r w:rsidRPr="000A68A8">
        <w:rPr>
          <w:rFonts w:ascii="Calibri" w:eastAsia="Calibri" w:hAnsi="Calibri" w:cs="Calibri"/>
          <w:b/>
          <w:bCs/>
          <w:color w:val="FF0000"/>
        </w:rPr>
        <w:t>Discussion</w:t>
      </w:r>
      <w:r w:rsidRPr="00D77DD3">
        <w:rPr>
          <w:rFonts w:ascii="Calibri" w:eastAsia="Calibri" w:hAnsi="Calibri" w:cs="Calibri"/>
          <w:color w:val="FF0000"/>
        </w:rPr>
        <w:t>. We changed “These findings support our theoretical claim that technocratic delegation does not neutralize framing effects because framing operates through cognitive evaluation” to: “These findings support the more limited claim that technocratic delegation does not prevent experimentally varied justifications from shifting stated funding preferences.” We further clarify that the findings are compatible with a reference-dependent account but do not show that respondents actually construed the treatments as losses, gains, or rescue obligations.</w:t>
      </w:r>
    </w:p>
    <w:p w14:paraId="4EE7DE65" w14:textId="77777777" w:rsidR="00981138" w:rsidRDefault="00000000" w:rsidP="00981138">
      <w:pPr>
        <w:spacing w:before="120" w:after="120" w:line="360" w:lineRule="auto"/>
        <w:ind w:left="720"/>
        <w:jc w:val="both"/>
        <w:rPr>
          <w:rFonts w:ascii="Calibri" w:eastAsia="Calibri" w:hAnsi="Calibri" w:cs="Calibri"/>
          <w:color w:val="212121"/>
        </w:rPr>
      </w:pPr>
      <w:r w:rsidRPr="00C22D9D">
        <w:rPr>
          <w:rFonts w:ascii="Calibri" w:eastAsia="Calibri" w:hAnsi="Calibri" w:cs="Calibri"/>
          <w:b/>
          <w:bCs/>
          <w:color w:val="FF0000"/>
        </w:rPr>
        <w:t>Limitations and future research</w:t>
      </w:r>
      <w:r w:rsidRPr="00D77DD3">
        <w:rPr>
          <w:rFonts w:ascii="Calibri" w:eastAsia="Calibri" w:hAnsi="Calibri" w:cs="Calibri"/>
          <w:color w:val="FF0000"/>
        </w:rPr>
        <w:t>. We now state explicitly that the survey included neither manipulation checks nor direct mechanism measures and that the study identifies effects of the assigned frames, not the psychological processes producing those effects. We also add that future studies should incorporate manipulation checks and preregistered measures of perceived loss, opportunity cost, absence of alternatives, and moral obligation.</w:t>
      </w:r>
    </w:p>
    <w:p w14:paraId="59EA27B6" w14:textId="77777777" w:rsidR="00981138" w:rsidRDefault="00000000" w:rsidP="00981138">
      <w:pPr>
        <w:spacing w:before="120" w:after="120" w:line="360" w:lineRule="auto"/>
        <w:ind w:left="720"/>
        <w:jc w:val="both"/>
        <w:rPr>
          <w:rFonts w:ascii="Calibri" w:eastAsia="Calibri" w:hAnsi="Calibri" w:cs="Calibri"/>
          <w:color w:val="212121"/>
        </w:rPr>
      </w:pPr>
      <w:r w:rsidRPr="00981138">
        <w:rPr>
          <w:rFonts w:ascii="Calibri" w:eastAsia="Calibri" w:hAnsi="Calibri" w:cs="Calibri"/>
          <w:b/>
          <w:bCs/>
          <w:color w:val="FF0000"/>
        </w:rPr>
        <w:t>Conclusion</w:t>
      </w:r>
      <w:r w:rsidRPr="00D77DD3">
        <w:rPr>
          <w:rFonts w:ascii="Calibri" w:eastAsia="Calibri" w:hAnsi="Calibri" w:cs="Calibri"/>
          <w:color w:val="FF0000"/>
        </w:rPr>
        <w:t>. We changed the conclusion from claiming that citizens “evaluate” reimbursement decisions through reference-dependent frames to stating that experimentally varied justifications shift stated funding preferences and that the direction of these effects is consistent with reference-dependent interpretation. The revised conclusion explicitly notes that the present design does not identify the underlying cognitive or moral mechanism.</w:t>
      </w:r>
    </w:p>
    <w:p w14:paraId="2FF21FEE" w14:textId="77777777" w:rsidR="0057708E" w:rsidRDefault="00000000" w:rsidP="0057708E">
      <w:pPr>
        <w:spacing w:before="120" w:after="120" w:line="360" w:lineRule="auto"/>
        <w:ind w:left="720"/>
        <w:jc w:val="both"/>
        <w:rPr>
          <w:rFonts w:ascii="Calibri" w:eastAsia="Calibri" w:hAnsi="Calibri" w:cs="Calibri"/>
          <w:color w:val="212121"/>
        </w:rPr>
      </w:pPr>
      <w:r w:rsidRPr="00D77DD3">
        <w:rPr>
          <w:rFonts w:ascii="Calibri" w:eastAsia="Calibri" w:hAnsi="Calibri" w:cs="Calibri"/>
          <w:color w:val="FF0000"/>
        </w:rPr>
        <w:t>These revisions preserve the paper’s theoretical framework and directional hypotheses while ensuring that the empirical claims do not exceed what the experimental design and measured outcomes can establish.</w:t>
      </w:r>
    </w:p>
    <w:p w14:paraId="5D02456C" w14:textId="77777777" w:rsidR="0057708E" w:rsidRDefault="00000000" w:rsidP="0089682E">
      <w:pPr>
        <w:numPr>
          <w:ilvl w:val="0"/>
          <w:numId w:val="1"/>
        </w:numPr>
        <w:spacing w:before="120" w:after="120" w:line="360" w:lineRule="auto"/>
        <w:jc w:val="both"/>
        <w:rPr>
          <w:rFonts w:ascii="Calibri" w:eastAsia="Calibri" w:hAnsi="Calibri" w:cs="Calibri"/>
          <w:color w:val="212121"/>
        </w:rPr>
      </w:pPr>
      <w:r w:rsidRPr="00D77DD3">
        <w:rPr>
          <w:rFonts w:ascii="Calibri" w:eastAsia="Calibri" w:hAnsi="Calibri" w:cs="Calibri"/>
          <w:color w:val="212121"/>
        </w:rPr>
        <w:t>Overall, the manuscript has potential as a focused survey experiment on framing and public preferences for high cost cancer medicine funding. The key tasks are to correct the Highlights, narrow the central claim, address the framing and information confound, reanalyse Don't know responses, and improve statistical reporting.</w:t>
      </w:r>
    </w:p>
    <w:p w14:paraId="011CEE9D" w14:textId="77777777" w:rsidR="007D6157" w:rsidRDefault="00000000" w:rsidP="0057708E">
      <w:pPr>
        <w:spacing w:before="120" w:after="120" w:line="360" w:lineRule="auto"/>
        <w:ind w:left="720"/>
        <w:jc w:val="both"/>
        <w:rPr>
          <w:rFonts w:ascii="Calibri" w:eastAsia="Calibri" w:hAnsi="Calibri" w:cs="Calibri"/>
          <w:color w:val="FF0000"/>
        </w:rPr>
      </w:pPr>
      <w:r w:rsidRPr="0057708E">
        <w:rPr>
          <w:rFonts w:ascii="Calibri" w:eastAsia="Calibri" w:hAnsi="Calibri" w:cs="Calibri"/>
          <w:color w:val="FF0000"/>
        </w:rPr>
        <w:lastRenderedPageBreak/>
        <w:t>We are very grateful for the constructive comments we have received.</w:t>
      </w:r>
      <w:r w:rsidRPr="0057708E">
        <w:rPr>
          <w:rFonts w:ascii="Calibri" w:eastAsia="Calibri" w:hAnsi="Calibri" w:cs="Calibri"/>
        </w:rPr>
        <w:t xml:space="preserve"> </w:t>
      </w:r>
      <w:r w:rsidRPr="0057708E">
        <w:rPr>
          <w:rFonts w:ascii="Calibri" w:eastAsia="Calibri" w:hAnsi="Calibri" w:cs="Calibri"/>
          <w:color w:val="FF0000"/>
        </w:rPr>
        <w:t>We believe that taking the comments into account has significantly improved the manuscript.</w:t>
      </w:r>
    </w:p>
    <w:p w14:paraId="0B8FB5F8" w14:textId="19CE974B" w:rsidR="007D6157" w:rsidRDefault="001B5B41" w:rsidP="0057708E">
      <w:pPr>
        <w:spacing w:before="120" w:after="120" w:line="360" w:lineRule="auto"/>
        <w:ind w:left="720"/>
        <w:jc w:val="both"/>
        <w:rPr>
          <w:rFonts w:ascii="Calibri" w:eastAsia="Calibri" w:hAnsi="Calibri" w:cs="Calibri"/>
          <w:color w:val="FF0000"/>
        </w:rPr>
      </w:pPr>
      <w:r>
        <w:pict w14:anchorId="17ABAD1E">
          <v:rect id="_x0000_s1026" alt="" style="width:6in;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0000079" w14:textId="2712CF17" w:rsidR="00B45748" w:rsidRPr="007D6157" w:rsidRDefault="00000000" w:rsidP="007D6157">
      <w:pPr>
        <w:pStyle w:val="Heading2"/>
        <w:spacing w:before="120" w:line="360" w:lineRule="auto"/>
        <w:jc w:val="both"/>
      </w:pPr>
      <w:r w:rsidRPr="007D6157">
        <w:t>Reviewer #2:</w:t>
      </w:r>
    </w:p>
    <w:p w14:paraId="5BB62D48" w14:textId="77777777" w:rsidR="00C441C0" w:rsidRDefault="00000000" w:rsidP="0089682E">
      <w:pPr>
        <w:pStyle w:val="ListParagraph"/>
        <w:numPr>
          <w:ilvl w:val="0"/>
          <w:numId w:val="7"/>
        </w:numPr>
        <w:spacing w:before="120" w:after="120" w:line="360" w:lineRule="auto"/>
        <w:jc w:val="both"/>
        <w:rPr>
          <w:rFonts w:ascii="Calibri" w:eastAsia="Calibri" w:hAnsi="Calibri" w:cs="Calibri"/>
          <w:color w:val="212121"/>
        </w:rPr>
      </w:pPr>
      <w:r w:rsidRPr="00C441C0">
        <w:rPr>
          <w:rFonts w:ascii="Calibri" w:eastAsia="Calibri" w:hAnsi="Calibri" w:cs="Calibri"/>
          <w:color w:val="212121"/>
        </w:rPr>
        <w:t>This appears to me to be a well constructed piece of research, which will contribute to the ongoing discussion between what you refer to as the 'rescue' vs 'health maximisation' approach. One major point I feel you have misjudged is that cancer treatment today is often, and in some types of cancers, almost always about extending life rather than 'curing' the disease.</w:t>
      </w:r>
    </w:p>
    <w:p w14:paraId="65AD06A4" w14:textId="77777777" w:rsidR="00885794" w:rsidRDefault="00000000" w:rsidP="00C441C0">
      <w:pPr>
        <w:pStyle w:val="ListParagraph"/>
        <w:spacing w:before="120" w:after="120" w:line="360" w:lineRule="auto"/>
        <w:jc w:val="both"/>
        <w:rPr>
          <w:rFonts w:ascii="Calibri" w:eastAsia="Calibri" w:hAnsi="Calibri" w:cs="Calibri"/>
          <w:color w:val="FF0000"/>
        </w:rPr>
      </w:pPr>
      <w:r w:rsidRPr="00C441C0">
        <w:rPr>
          <w:rFonts w:ascii="Calibri" w:eastAsia="Calibri" w:hAnsi="Calibri" w:cs="Calibri"/>
          <w:color w:val="FF0000"/>
        </w:rPr>
        <w:t>We thank the Reviewer for raising this important point. This issue is one of the main motivations for the study and is reflected in the choice of the vignette and the policy implications of the findings. To make this more explicit, we have also highlighted this point in the first paragraph of the Introduction.</w:t>
      </w:r>
    </w:p>
    <w:p w14:paraId="05B4AD03" w14:textId="77777777" w:rsidR="004E5B7F" w:rsidRPr="004E5B7F" w:rsidRDefault="00000000" w:rsidP="0089682E">
      <w:pPr>
        <w:pStyle w:val="ListParagraph"/>
        <w:numPr>
          <w:ilvl w:val="0"/>
          <w:numId w:val="7"/>
        </w:numPr>
        <w:spacing w:before="120" w:after="120" w:line="360" w:lineRule="auto"/>
        <w:jc w:val="both"/>
        <w:rPr>
          <w:rFonts w:ascii="Calibri" w:eastAsia="Calibri" w:hAnsi="Calibri" w:cs="Calibri"/>
          <w:color w:val="FF0000"/>
        </w:rPr>
      </w:pPr>
      <w:r w:rsidRPr="004E5B7F">
        <w:rPr>
          <w:rFonts w:ascii="Calibri" w:eastAsia="Calibri" w:hAnsi="Calibri" w:cs="Calibri"/>
          <w:color w:val="212121"/>
        </w:rPr>
        <w:t>A very minor point: you use 'should' on a couple of occasions, I believe a less normative word of words would be better e.g. 'would' or 'probably.'</w:t>
      </w:r>
    </w:p>
    <w:p w14:paraId="00000081" w14:textId="4C41CE67" w:rsidR="00B45748" w:rsidRDefault="00000000" w:rsidP="009661B9">
      <w:pPr>
        <w:pStyle w:val="ListParagraph"/>
        <w:spacing w:before="120" w:after="120" w:line="360" w:lineRule="auto"/>
        <w:jc w:val="both"/>
      </w:pPr>
      <w:r w:rsidRPr="004E5B7F">
        <w:rPr>
          <w:rFonts w:ascii="Calibri" w:eastAsia="Calibri" w:hAnsi="Calibri" w:cs="Calibri"/>
          <w:color w:val="FF0000"/>
        </w:rPr>
        <w:t xml:space="preserve">We thank Reviewer 2 for this proposition. We have revised the text accordingly. </w:t>
      </w:r>
    </w:p>
    <w:sectPr w:rsidR="00B45748">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69DBD7B2-10FB-6644-9874-C44A819C361C}"/>
    <w:embedBold r:id="rId2" w:fontKey="{A8D1DF9E-11BF-EC47-A845-D2D4F03FC445}"/>
  </w:font>
  <w:font w:name="Calibri">
    <w:panose1 w:val="020F0502020204030204"/>
    <w:charset w:val="00"/>
    <w:family w:val="swiss"/>
    <w:pitch w:val="variable"/>
    <w:sig w:usb0="E0002AFF" w:usb1="C000247B" w:usb2="00000009" w:usb3="00000000" w:csb0="000001FF" w:csb1="00000000"/>
    <w:embedRegular r:id="rId3" w:fontKey="{3E3B33BB-B7F0-C249-AF02-88E28A49C4C4}"/>
    <w:embedBold r:id="rId4" w:fontKey="{6CF5786A-770A-1346-B0E9-2A785F52A3D9}"/>
    <w:embedItalic r:id="rId5" w:fontKey="{27B8F6DB-7929-6F4D-B2C9-A60F20FE2554}"/>
  </w:font>
  <w:font w:name="Courier New">
    <w:panose1 w:val="02070309020205020404"/>
    <w:charset w:val="00"/>
    <w:family w:val="modern"/>
    <w:pitch w:val="fixed"/>
    <w:sig w:usb0="E0002AFF" w:usb1="C0007843" w:usb2="00000009" w:usb3="00000000" w:csb0="000001FF" w:csb1="00000000"/>
    <w:embedRegular r:id="rId6" w:fontKey="{BDA378C1-1BA7-6A4B-B184-D3B0EFCD5186}"/>
  </w:font>
  <w:font w:name="Wingdings">
    <w:panose1 w:val="05000000000000000000"/>
    <w:charset w:val="4D"/>
    <w:family w:val="decorative"/>
    <w:pitch w:val="variable"/>
    <w:sig w:usb0="00000003" w:usb1="00000000" w:usb2="00000000" w:usb3="00000000" w:csb0="80000001" w:csb1="00000000"/>
    <w:embedRegular r:id="rId7" w:fontKey="{72796BD4-CA13-204C-BA5B-18F1A69CB050}"/>
  </w:font>
  <w:font w:name="Symbol">
    <w:panose1 w:val="05050102010706020507"/>
    <w:charset w:val="02"/>
    <w:family w:val="decorative"/>
    <w:pitch w:val="variable"/>
    <w:sig w:usb0="00000000" w:usb1="10000000" w:usb2="00000000" w:usb3="00000000" w:csb0="80000000" w:csb1="00000000"/>
    <w:embedRegular r:id="rId8" w:fontKey="{3C5C0EC6-C1CE-FC43-9D4A-F745C61BE990}"/>
  </w:font>
  <w:font w:name="Arial">
    <w:panose1 w:val="020B0604020202020204"/>
    <w:charset w:val="00"/>
    <w:family w:val="swiss"/>
    <w:pitch w:val="variable"/>
    <w:sig w:usb0="E0002AFF" w:usb1="C0007843" w:usb2="00000009" w:usb3="00000000" w:csb0="000001FF" w:csb1="00000000"/>
    <w:embedRegular r:id="rId9" w:fontKey="{B0EA5698-ED31-2E48-981F-EC2DB7817826}"/>
    <w:embedBold r:id="rId10" w:fontKey="{19E9A242-2540-F142-820E-F6EFF60FB062}"/>
    <w:embedItalic r:id="rId11" w:fontKey="{B52210B4-A6D2-0D4A-BEC7-3D3AC28BFDBE}"/>
  </w:font>
  <w:font w:name="Cambria">
    <w:panose1 w:val="02040503050406030204"/>
    <w:charset w:val="00"/>
    <w:family w:val="roman"/>
    <w:pitch w:val="variable"/>
    <w:sig w:usb0="E00002FF" w:usb1="400004FF" w:usb2="00000000" w:usb3="00000000" w:csb0="0000019F" w:csb1="00000000"/>
    <w:embedRegular r:id="rId12" w:fontKey="{68F5783B-FFF4-B145-87A7-24EF722228D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56220F"/>
    <w:multiLevelType w:val="hybridMultilevel"/>
    <w:tmpl w:val="4D9475BC"/>
    <w:lvl w:ilvl="0" w:tplc="355A4E06">
      <w:start w:val="1"/>
      <w:numFmt w:val="decimal"/>
      <w:lvlText w:val="%1."/>
      <w:lvlJc w:val="left"/>
      <w:pPr>
        <w:ind w:left="720" w:hanging="360"/>
      </w:pPr>
      <w:rPr>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F759AE"/>
    <w:multiLevelType w:val="multilevel"/>
    <w:tmpl w:val="A71C6208"/>
    <w:lvl w:ilvl="0">
      <w:start w:val="1"/>
      <w:numFmt w:val="decimal"/>
      <w:lvlText w:val="%1."/>
      <w:lvlJc w:val="left"/>
      <w:pPr>
        <w:ind w:left="720" w:hanging="360"/>
      </w:pPr>
      <w:rPr>
        <w:color w:val="auto"/>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CE67D8E"/>
    <w:multiLevelType w:val="hybridMultilevel"/>
    <w:tmpl w:val="1062DC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21A6CBD"/>
    <w:multiLevelType w:val="multilevel"/>
    <w:tmpl w:val="9A227F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16708B1"/>
    <w:multiLevelType w:val="hybridMultilevel"/>
    <w:tmpl w:val="1700A122"/>
    <w:lvl w:ilvl="0" w:tplc="7F960302">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788D7E43"/>
    <w:multiLevelType w:val="hybridMultilevel"/>
    <w:tmpl w:val="570A8A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78B34871"/>
    <w:multiLevelType w:val="hybridMultilevel"/>
    <w:tmpl w:val="CDC0CF4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199204851">
    <w:abstractNumId w:val="1"/>
  </w:num>
  <w:num w:numId="2" w16cid:durableId="261647963">
    <w:abstractNumId w:val="3"/>
  </w:num>
  <w:num w:numId="3" w16cid:durableId="82380019">
    <w:abstractNumId w:val="2"/>
  </w:num>
  <w:num w:numId="4" w16cid:durableId="1884827423">
    <w:abstractNumId w:val="6"/>
  </w:num>
  <w:num w:numId="5" w16cid:durableId="1757940252">
    <w:abstractNumId w:val="5"/>
  </w:num>
  <w:num w:numId="6" w16cid:durableId="2067290549">
    <w:abstractNumId w:val="4"/>
  </w:num>
  <w:num w:numId="7" w16cid:durableId="178665418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748"/>
    <w:rsid w:val="00026433"/>
    <w:rsid w:val="000620B1"/>
    <w:rsid w:val="000A68A8"/>
    <w:rsid w:val="00163304"/>
    <w:rsid w:val="001914D9"/>
    <w:rsid w:val="00196463"/>
    <w:rsid w:val="001B5B41"/>
    <w:rsid w:val="002245C4"/>
    <w:rsid w:val="00285277"/>
    <w:rsid w:val="002B15EF"/>
    <w:rsid w:val="00350EC0"/>
    <w:rsid w:val="003A4B1A"/>
    <w:rsid w:val="00432027"/>
    <w:rsid w:val="004E5B7F"/>
    <w:rsid w:val="005269BB"/>
    <w:rsid w:val="00545D88"/>
    <w:rsid w:val="005648DA"/>
    <w:rsid w:val="0057708E"/>
    <w:rsid w:val="005F5C6A"/>
    <w:rsid w:val="005F6E9E"/>
    <w:rsid w:val="00635414"/>
    <w:rsid w:val="006B33FB"/>
    <w:rsid w:val="00786D46"/>
    <w:rsid w:val="007D6157"/>
    <w:rsid w:val="00812180"/>
    <w:rsid w:val="00841821"/>
    <w:rsid w:val="00850170"/>
    <w:rsid w:val="00855FF5"/>
    <w:rsid w:val="008678C5"/>
    <w:rsid w:val="00873C4D"/>
    <w:rsid w:val="00885794"/>
    <w:rsid w:val="0089682E"/>
    <w:rsid w:val="00932F6B"/>
    <w:rsid w:val="00941B39"/>
    <w:rsid w:val="009661B9"/>
    <w:rsid w:val="00981138"/>
    <w:rsid w:val="0099138D"/>
    <w:rsid w:val="00AB2F89"/>
    <w:rsid w:val="00AE2DB0"/>
    <w:rsid w:val="00B2727F"/>
    <w:rsid w:val="00B45748"/>
    <w:rsid w:val="00B67639"/>
    <w:rsid w:val="00BA6D99"/>
    <w:rsid w:val="00BB3CAA"/>
    <w:rsid w:val="00BB51B6"/>
    <w:rsid w:val="00BC0A18"/>
    <w:rsid w:val="00BF12C7"/>
    <w:rsid w:val="00C22D9D"/>
    <w:rsid w:val="00C441C0"/>
    <w:rsid w:val="00D041B7"/>
    <w:rsid w:val="00D623CF"/>
    <w:rsid w:val="00D74FBB"/>
    <w:rsid w:val="00D77DD3"/>
    <w:rsid w:val="00DD0FEB"/>
    <w:rsid w:val="00DE0627"/>
    <w:rsid w:val="00E74AA9"/>
    <w:rsid w:val="00E81BAF"/>
    <w:rsid w:val="00E842DD"/>
    <w:rsid w:val="00EB6CC7"/>
    <w:rsid w:val="00EC629F"/>
    <w:rsid w:val="00EF74BF"/>
    <w:rsid w:val="00FF44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4F6E86A0"/>
  <w15:docId w15:val="{D57C65CC-44D7-3849-8055-88074E674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812180"/>
    <w:pPr>
      <w:ind w:left="720"/>
      <w:contextualSpacing/>
    </w:pPr>
  </w:style>
  <w:style w:type="character" w:styleId="CommentReference">
    <w:name w:val="annotation reference"/>
    <w:basedOn w:val="DefaultParagraphFont"/>
    <w:uiPriority w:val="99"/>
    <w:semiHidden/>
    <w:unhideWhenUsed/>
    <w:rsid w:val="00850170"/>
    <w:rPr>
      <w:sz w:val="16"/>
      <w:szCs w:val="16"/>
    </w:rPr>
  </w:style>
  <w:style w:type="paragraph" w:styleId="CommentText">
    <w:name w:val="annotation text"/>
    <w:basedOn w:val="Normal"/>
    <w:link w:val="CommentTextChar"/>
    <w:uiPriority w:val="99"/>
    <w:semiHidden/>
    <w:unhideWhenUsed/>
    <w:rsid w:val="00850170"/>
    <w:pPr>
      <w:spacing w:line="240" w:lineRule="auto"/>
    </w:pPr>
    <w:rPr>
      <w:sz w:val="20"/>
      <w:szCs w:val="20"/>
    </w:rPr>
  </w:style>
  <w:style w:type="character" w:customStyle="1" w:styleId="CommentTextChar">
    <w:name w:val="Comment Text Char"/>
    <w:basedOn w:val="DefaultParagraphFont"/>
    <w:link w:val="CommentText"/>
    <w:uiPriority w:val="99"/>
    <w:semiHidden/>
    <w:rsid w:val="00850170"/>
    <w:rPr>
      <w:sz w:val="20"/>
      <w:szCs w:val="20"/>
    </w:rPr>
  </w:style>
  <w:style w:type="paragraph" w:styleId="CommentSubject">
    <w:name w:val="annotation subject"/>
    <w:basedOn w:val="CommentText"/>
    <w:next w:val="CommentText"/>
    <w:link w:val="CommentSubjectChar"/>
    <w:uiPriority w:val="99"/>
    <w:semiHidden/>
    <w:unhideWhenUsed/>
    <w:rsid w:val="00850170"/>
    <w:rPr>
      <w:b/>
      <w:bCs/>
    </w:rPr>
  </w:style>
  <w:style w:type="character" w:customStyle="1" w:styleId="CommentSubjectChar">
    <w:name w:val="Comment Subject Char"/>
    <w:basedOn w:val="CommentTextChar"/>
    <w:link w:val="CommentSubject"/>
    <w:uiPriority w:val="99"/>
    <w:semiHidden/>
    <w:rsid w:val="0085017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78</TotalTime>
  <Pages>11</Pages>
  <Words>3903</Words>
  <Characters>22252</Characters>
  <Application>Microsoft Office Word</Application>
  <DocSecurity>0</DocSecurity>
  <Lines>185</Lines>
  <Paragraphs>52</Paragraphs>
  <ScaleCrop>false</ScaleCrop>
  <Company/>
  <LinksUpToDate>false</LinksUpToDate>
  <CharactersWithSpaces>26103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Héctor Bahamonde</cp:lastModifiedBy>
  <cp:revision>61</cp:revision>
  <dcterms:created xsi:type="dcterms:W3CDTF">2026-09-15T08:20:00Z</dcterms:created>
  <dcterms:modified xsi:type="dcterms:W3CDTF">2026-09-16T12:40:00Z</dcterms:modified>
</cp:coreProperties>
</file>