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Temporary Title: Dual Sector Model, Elites and Institutions in Latin America</w:t>
      </w:r>
    </w:p>
    <w:p>
      <w:pPr>
        <w:pStyle w:val="Author"/>
        <w:jc w:val="both"/>
      </w:pPr>
    </w:p>
    <w:p>
      <w:pPr>
        <w:pStyle w:val="Body Text"/>
        <w:jc w:val="center"/>
        <w:rPr>
          <w:rFonts w:ascii="Helvetica" w:cs="Helvetica" w:hAnsi="Helvetica" w:eastAsia="Helvetica"/>
          <w:b w:val="1"/>
          <w:bCs w:val="1"/>
        </w:rPr>
      </w:pPr>
      <w:r>
        <w:rPr>
          <w:rFonts w:ascii="Helvetica" w:hAnsi="Helvetica"/>
          <w:b w:val="1"/>
          <w:bCs w:val="1"/>
          <w:rtl w:val="0"/>
          <w:lang w:val="en-US"/>
        </w:rPr>
        <w:t>Abstract</w:t>
      </w:r>
    </w:p>
    <w:p>
      <w:pPr>
        <w:pStyle w:val="Abstract"/>
        <w:jc w:val="both"/>
      </w:pPr>
      <w:r>
        <w:rPr>
          <w:rtl w:val="0"/>
          <w:lang w:val="en-US"/>
        </w:rPr>
        <w:t>The paper proposes an alternative channel to explain the occurrence of political and economic development in Latin America. Historically, agriculturalists had been a hegemonic group protected by institutions that originated in colonial times. These norms had survived due to institutional inertia, perpetuating their advantaged position. Building on the fiscal sociology and dual sector models I argue that a structural transformation marked by a secular decline of agriculture and substantial expansion of manufacturing helped political development by promoting the emergence of an industrial political elite. Industrialization altered the status quo not by increasing incomes (</w:t>
      </w:r>
      <w:r>
        <w:rPr>
          <w:rFonts w:ascii="Helvetica" w:hAnsi="Helvetica" w:hint="default"/>
          <w:i w:val="1"/>
          <w:iCs w:val="1"/>
          <w:rtl w:val="0"/>
          <w:lang w:val="en-US"/>
        </w:rPr>
        <w:t xml:space="preserve">á </w:t>
      </w:r>
      <w:r>
        <w:rPr>
          <w:rFonts w:ascii="Helvetica" w:hAnsi="Helvetica"/>
          <w:i w:val="1"/>
          <w:iCs w:val="1"/>
          <w:rtl w:val="0"/>
          <w:lang w:val="en-US"/>
        </w:rPr>
        <w:t>la</w:t>
      </w:r>
      <w:r>
        <w:rPr>
          <w:rtl w:val="0"/>
          <w:lang w:val="en-US"/>
        </w:rPr>
        <w:t xml:space="preserve"> modernization theory) but by supporting the rise of a political challenger. Importantly, the structural transformation required both sectors to grow in a balanced fashion, leveling both elites in their relative political and military capacities. Under egalitarian conditions to engage in conflict, there were no incentives to make war, and thus conflict was avoided generating a status of inter-sectoral cooperation. I use the Chilean and Argentinean cases to illustrate the theory. In an effort to suggest that this hypothesis could be generalized to other countries in Latin America, I provide a number of time series analyses (VAR models, impulse response functions and Granger-causality tests) for a dataset spanning approximately 100 years on agricultural and industrial sectoral growths.</w:t>
      </w:r>
    </w:p>
    <w:p>
      <w:pPr>
        <w:pStyle w:val="Body Text"/>
      </w:pPr>
    </w:p>
    <w:p>
      <w:pPr>
        <w:pStyle w:val="Body Text"/>
      </w:pPr>
      <w:r>
        <w:br w:type="page"/>
      </w:r>
    </w:p>
    <w:p>
      <w:pPr>
        <w:pStyle w:val="Heading"/>
        <w:jc w:val="both"/>
      </w:pPr>
      <w:bookmarkStart w:name="sectoralconflictsanddevelopment" w:id="0"/>
      <w:r>
        <w:rPr>
          <w:rtl w:val="0"/>
          <w:lang w:val="en-US"/>
        </w:rPr>
        <w:t>Sectoral Conflicts and Development</w:t>
      </w:r>
    </w:p>
    <w:p>
      <w:pPr>
        <w:pStyle w:val="First Paragraph"/>
        <w:jc w:val="both"/>
      </w:pPr>
    </w:p>
    <w:p>
      <w:pPr>
        <w:pStyle w:val="Default"/>
        <w:bidi w:val="0"/>
        <w:spacing w:after="240" w:line="280" w:lineRule="atLeast"/>
        <w:ind w:left="5703" w:right="0" w:firstLine="0"/>
        <w:jc w:val="both"/>
        <w:rPr>
          <w:rFonts w:ascii="Times" w:cs="Times" w:hAnsi="Times" w:eastAsia="Times"/>
          <w:sz w:val="16"/>
          <w:szCs w:val="16"/>
          <w:rtl w:val="0"/>
        </w:rPr>
      </w:pPr>
      <w:r>
        <w:rPr>
          <w:rFonts w:ascii="Times" w:hAnsi="Times"/>
          <w:sz w:val="16"/>
          <w:szCs w:val="16"/>
          <w:rtl w:val="0"/>
          <w:lang w:val="en-US"/>
        </w:rPr>
        <w:t xml:space="preserve">Practically all governments are engaged in promoting one [group]. There are [...] landlord governments against the peasants and the industrialists </w:t>
      </w:r>
    </w:p>
    <w:p>
      <w:pPr>
        <w:pStyle w:val="Default"/>
        <w:bidi w:val="0"/>
        <w:spacing w:after="240" w:line="280" w:lineRule="atLeast"/>
        <w:ind w:left="5703" w:right="0" w:firstLine="0"/>
        <w:jc w:val="right"/>
        <w:rPr>
          <w:rFonts w:ascii="Times" w:cs="Times" w:hAnsi="Times" w:eastAsia="Times"/>
          <w:sz w:val="16"/>
          <w:szCs w:val="16"/>
          <w:rtl w:val="0"/>
        </w:rPr>
      </w:pPr>
      <w:r>
        <w:rPr>
          <w:rFonts w:ascii="Times" w:hAnsi="Times"/>
          <w:b w:val="1"/>
          <w:bCs w:val="1"/>
          <w:sz w:val="16"/>
          <w:szCs w:val="16"/>
          <w:rtl w:val="0"/>
          <w:lang w:val="en-US"/>
        </w:rPr>
        <w:t>Lewis [1965, 410]</w:t>
      </w:r>
      <w:r>
        <w:rPr>
          <w:rFonts w:ascii="Times" w:hAnsi="Times"/>
          <w:sz w:val="16"/>
          <w:szCs w:val="16"/>
          <w:rtl w:val="0"/>
        </w:rPr>
        <w:t xml:space="preserve"> </w:t>
      </w:r>
    </w:p>
    <w:p>
      <w:pPr>
        <w:pStyle w:val="First Paragraph"/>
        <w:jc w:val="both"/>
      </w:pPr>
      <w:r>
        <w:rPr>
          <w:rtl w:val="0"/>
          <w:lang w:val="en-US"/>
        </w:rPr>
        <w:t xml:space="preserve">The literature on the relationship between political and economic development is vast. Without trying to survey all of it, there seems to be an agreement in that strong institutions cause better economic performance. For example North (1990, p. 3) asserts that the idea that </w:t>
      </w:r>
      <w:r>
        <w:rPr>
          <w:rtl w:val="0"/>
          <w:lang w:val="en-US"/>
        </w:rPr>
        <w:t>“</w:t>
      </w:r>
      <w:r>
        <w:rPr>
          <w:rtl w:val="0"/>
          <w:lang w:val="en-US"/>
        </w:rPr>
        <w:t>institutions affect the performance of economies is hardly controversial.</w:t>
      </w:r>
      <w:r>
        <w:rPr>
          <w:rtl w:val="0"/>
          <w:lang w:val="en-US"/>
        </w:rPr>
        <w:t xml:space="preserve">” </w:t>
      </w:r>
      <w:r>
        <w:rPr>
          <w:rtl w:val="0"/>
          <w:lang w:val="en-US"/>
        </w:rPr>
        <w:t>Most of the explanations focus on institutional constraints and property rights.</w:t>
      </w:r>
      <w:r>
        <w:rPr>
          <w:vertAlign w:val="superscript"/>
        </w:rPr>
        <w:footnoteReference w:id="1"/>
      </w:r>
      <w:r>
        <w:rPr>
          <w:rtl w:val="0"/>
          <w:lang w:val="en-US"/>
        </w:rPr>
        <w:t xml:space="preserve"> When property rights are secured via the state</w:t>
      </w:r>
      <w:r>
        <w:rPr>
          <w:vertAlign w:val="superscript"/>
        </w:rPr>
        <w:footnoteReference w:id="2"/>
      </w:r>
      <w:r>
        <w:rPr>
          <w:rtl w:val="0"/>
          <w:lang w:val="en-US"/>
        </w:rPr>
        <w:t xml:space="preserve"> or social norms,</w:t>
      </w:r>
      <w:r>
        <w:rPr>
          <w:vertAlign w:val="superscript"/>
        </w:rPr>
        <w:footnoteReference w:id="3"/>
      </w:r>
      <w:r>
        <w:rPr>
          <w:rtl w:val="0"/>
          <w:lang w:val="en-US"/>
        </w:rPr>
        <w:t xml:space="preserve"> there will be incentives to invest in infrastructure, research and development.</w:t>
      </w:r>
      <w:r>
        <w:rPr>
          <w:vertAlign w:val="superscript"/>
        </w:rPr>
        <w:footnoteReference w:id="4"/>
      </w:r>
      <w:r>
        <w:rPr>
          <w:rtl w:val="0"/>
          <w:lang w:val="en-US"/>
        </w:rPr>
        <w:t xml:space="preserve"> This is usually the case when political and military elites are constrained by institutions such as constitutions and parliaments.</w:t>
      </w:r>
    </w:p>
    <w:p>
      <w:pPr>
        <w:pStyle w:val="Body Text"/>
        <w:jc w:val="both"/>
      </w:pPr>
      <w:r>
        <w:rPr>
          <w:rtl w:val="0"/>
          <w:lang w:val="en-US"/>
        </w:rPr>
        <w:t xml:space="preserve">This paper contributes to this literature by adding an alternative channel. Particularly, it complements our understanding of political and economic development from the sectoral conflict framework, specifically by (re)introducing and empirically testing the </w:t>
      </w:r>
      <w:r>
        <w:rPr>
          <w:rFonts w:ascii="Helvetica" w:hAnsi="Helvetica"/>
          <w:i w:val="1"/>
          <w:iCs w:val="1"/>
          <w:rtl w:val="0"/>
          <w:lang w:val="en-US"/>
        </w:rPr>
        <w:t>dual sector economy model</w:t>
      </w:r>
      <w:r>
        <w:rPr>
          <w:rtl w:val="0"/>
          <w:lang w:val="en-US"/>
        </w:rPr>
        <w:t xml:space="preserve">. The political development literature has traditionally focused on socio-economic cleavages and potential alliances between a </w:t>
      </w:r>
      <w:r>
        <w:rPr>
          <w:rFonts w:ascii="Helvetica" w:hAnsi="Helvetica"/>
          <w:i w:val="1"/>
          <w:iCs w:val="1"/>
          <w:rtl w:val="0"/>
          <w:lang w:val="en-US"/>
        </w:rPr>
        <w:t>homogeneous</w:t>
      </w:r>
      <w:r>
        <w:rPr>
          <w:rtl w:val="0"/>
          <w:lang w:val="en-US"/>
        </w:rPr>
        <w:t xml:space="preserve"> ruling elite and politically excluded segments of the society, traditionally peasants or other disenfranchised groups such as the bourgeoisie. Moore (1966), Tilly (1992), Boix (2003), Stasavage (2008) and Acemoglu &amp; Robinson (2009) are among the most prominent examples supporting this view.</w:t>
      </w:r>
      <w:r>
        <w:rPr>
          <w:vertAlign w:val="superscript"/>
        </w:rPr>
        <w:footnoteReference w:id="5"/>
      </w:r>
      <w:r>
        <w:rPr>
          <w:rtl w:val="0"/>
          <w:lang w:val="en-US"/>
        </w:rPr>
        <w:t xml:space="preserve"> In this paper I focus on political divisions </w:t>
      </w:r>
      <w:r>
        <w:rPr>
          <w:rFonts w:ascii="Helvetica" w:hAnsi="Helvetica"/>
          <w:i w:val="1"/>
          <w:iCs w:val="1"/>
          <w:rtl w:val="0"/>
          <w:lang w:val="en-US"/>
        </w:rPr>
        <w:t>among</w:t>
      </w:r>
      <w:r>
        <w:rPr>
          <w:rtl w:val="0"/>
          <w:lang w:val="en-US"/>
        </w:rPr>
        <w:t xml:space="preserve"> the elite. This sectoral approach is hardly new. Just to mention some examples, O</w:t>
      </w:r>
      <w:r>
        <w:rPr>
          <w:rtl w:val="0"/>
          <w:lang w:val="en-US"/>
        </w:rPr>
        <w:t>’</w:t>
      </w:r>
      <w:r>
        <w:rPr>
          <w:rtl w:val="0"/>
          <w:lang w:val="en-US"/>
        </w:rPr>
        <w:t xml:space="preserve">Donnell &amp; Schmitter (1986) emphasized the positive impact of elite outsiders on democratic transitions, Ansell &amp; Samuels (2014) and Boix (2015) argue about the role of economic inequality/equality among the elite on political development, Waldner (1999) studies how the formation of a modern state should coincide with the incorporation of lower classes to produce developmental states, while Saylor (2014, p. 8) looks at the </w:t>
      </w:r>
      <w:r>
        <w:rPr>
          <w:rtl w:val="0"/>
          <w:lang w:val="en-US"/>
        </w:rPr>
        <w:t>“</w:t>
      </w:r>
      <w:r>
        <w:rPr>
          <w:rtl w:val="0"/>
          <w:lang w:val="en-US"/>
        </w:rPr>
        <w:t>coalitional basis of state building</w:t>
      </w:r>
      <w:r>
        <w:rPr>
          <w:rtl w:val="0"/>
          <w:lang w:val="en-US"/>
        </w:rPr>
        <w:t xml:space="preserve">” </w:t>
      </w:r>
      <w:r>
        <w:rPr>
          <w:rtl w:val="0"/>
          <w:lang w:val="en-US"/>
        </w:rPr>
        <w:t xml:space="preserve">and Mares &amp; Queralt (2015) examine how income taxation in Europe is associated with inter-elite conflicts, particularly between the landed elite and the industrial elite. While political economists have already recognized the relevance of different economic and social elites, the explicit study of the </w:t>
      </w:r>
      <w:r>
        <w:rPr>
          <w:rFonts w:ascii="Helvetica" w:hAnsi="Helvetica"/>
          <w:i w:val="1"/>
          <w:iCs w:val="1"/>
          <w:rtl w:val="0"/>
          <w:lang w:val="en-US"/>
        </w:rPr>
        <w:t>structural economic inter-dependence</w:t>
      </w:r>
      <w:r>
        <w:rPr>
          <w:rtl w:val="0"/>
          <w:lang w:val="en-US"/>
        </w:rPr>
        <w:t xml:space="preserve"> of different sectors on political development has been overlooked. This paper bridges this gap by bringing in the </w:t>
      </w:r>
      <w:r>
        <w:rPr>
          <w:rFonts w:ascii="Helvetica" w:hAnsi="Helvetica"/>
          <w:i w:val="1"/>
          <w:iCs w:val="1"/>
          <w:rtl w:val="0"/>
          <w:lang w:val="en-US"/>
        </w:rPr>
        <w:t>dual sector economic model</w:t>
      </w:r>
      <w:r>
        <w:rPr>
          <w:rtl w:val="0"/>
          <w:lang w:val="en-US"/>
        </w:rPr>
        <w:t>. This model is a theory of how industrialization occurs</w:t>
      </w:r>
      <w:r>
        <w:rPr>
          <w:vertAlign w:val="superscript"/>
        </w:rPr>
        <w:footnoteReference w:id="6"/>
      </w:r>
      <w:r>
        <w:rPr>
          <w:rtl w:val="0"/>
          <w:lang w:val="en-US"/>
        </w:rPr>
        <w:t xml:space="preserve"> which by emphasizing the importance of macro-structural transformations explains the mechanics of economic growth. I link and empirically test the association between macro-economic transformations, the emergence of a disenfranchised industrial class with institutional development.</w:t>
      </w:r>
    </w:p>
    <w:p>
      <w:pPr>
        <w:pStyle w:val="Body Text"/>
        <w:jc w:val="both"/>
      </w:pPr>
      <w:r>
        <w:rPr>
          <w:rtl w:val="0"/>
          <w:lang w:val="en-US"/>
        </w:rPr>
        <w:t xml:space="preserve">The crux of the argument is that an economic structural transformation characterized by </w:t>
      </w:r>
      <w:r>
        <w:rPr>
          <w:rtl w:val="0"/>
          <w:lang w:val="en-US"/>
        </w:rPr>
        <w:t>“</w:t>
      </w:r>
      <w:r>
        <w:rPr>
          <w:rtl w:val="0"/>
          <w:lang w:val="en-US"/>
        </w:rPr>
        <w:t>a secular decline of agriculture and substantial expansion of manufacturing</w:t>
      </w:r>
      <w:r>
        <w:rPr>
          <w:rtl w:val="0"/>
          <w:lang w:val="en-US"/>
        </w:rPr>
        <w:t>”</w:t>
      </w:r>
      <w:r>
        <w:rPr>
          <w:vertAlign w:val="superscript"/>
        </w:rPr>
        <w:footnoteReference w:id="7"/>
      </w:r>
      <w:r>
        <w:rPr>
          <w:rtl w:val="0"/>
          <w:lang w:val="en-US"/>
        </w:rPr>
        <w:t xml:space="preserve"> imposed tight constraints on the way politics was run by the incumbent landowning class. An elite divided on an </w:t>
      </w:r>
      <w:r>
        <w:rPr>
          <w:rFonts w:ascii="Helvetica" w:hAnsi="Helvetica"/>
          <w:i w:val="1"/>
          <w:iCs w:val="1"/>
          <w:rtl w:val="0"/>
          <w:lang w:val="en-US"/>
        </w:rPr>
        <w:t>economic</w:t>
      </w:r>
      <w:r>
        <w:rPr>
          <w:rtl w:val="0"/>
          <w:lang w:val="en-US"/>
        </w:rPr>
        <w:t xml:space="preserve"> cleavage should at the same time be divided on their </w:t>
      </w:r>
      <w:r>
        <w:rPr>
          <w:rFonts w:ascii="Helvetica" w:hAnsi="Helvetica"/>
          <w:i w:val="1"/>
          <w:iCs w:val="1"/>
          <w:rtl w:val="0"/>
          <w:lang w:val="en-US"/>
        </w:rPr>
        <w:t>political</w:t>
      </w:r>
      <w:r>
        <w:rPr>
          <w:rtl w:val="0"/>
          <w:lang w:val="en-US"/>
        </w:rPr>
        <w:t xml:space="preserve"> preferences, particularly regarding their attitude towards state centralization.</w:t>
      </w:r>
      <w:r>
        <w:rPr>
          <w:vertAlign w:val="superscript"/>
        </w:rPr>
        <w:footnoteReference w:id="8"/>
      </w:r>
      <w:r>
        <w:rPr>
          <w:rtl w:val="0"/>
          <w:lang w:val="en-US"/>
        </w:rPr>
        <w:t xml:space="preserve"> State centralization affects landowners and industrialists in a different way.</w:t>
      </w:r>
      <w:r>
        <w:rPr>
          <w:vertAlign w:val="superscript"/>
        </w:rPr>
        <w:footnoteReference w:id="9"/>
      </w:r>
      <w:r>
        <w:rPr>
          <w:rtl w:val="0"/>
          <w:lang w:val="en-US"/>
        </w:rPr>
        <w:t xml:space="preserve"> Agriculturalists will systematically resist taxation as land fixity increases the risk premium of their main asset. In contrast, industrialists</w:t>
      </w:r>
      <w:r>
        <w:rPr>
          <w:rtl w:val="0"/>
          <w:lang w:val="en-US"/>
        </w:rPr>
        <w:t xml:space="preserve">’ </w:t>
      </w:r>
      <w:r>
        <w:rPr>
          <w:rtl w:val="0"/>
          <w:lang w:val="en-US"/>
        </w:rPr>
        <w:t xml:space="preserve">preferences toward taxation are more elastic as capital can be reinvested in nontaxable sectors. I argue that the emergence of an efficient and productive industrial sector altered not only the structure of the economy (causing </w:t>
      </w:r>
      <w:r>
        <w:rPr>
          <w:rFonts w:ascii="Helvetica" w:hAnsi="Helvetica"/>
          <w:i w:val="1"/>
          <w:iCs w:val="1"/>
          <w:rtl w:val="0"/>
          <w:lang w:val="en-US"/>
        </w:rPr>
        <w:t>growth</w:t>
      </w:r>
      <w:r>
        <w:rPr>
          <w:rtl w:val="0"/>
          <w:lang w:val="en-US"/>
        </w:rPr>
        <w:t xml:space="preserve">) but also the inter-sectoral balance of </w:t>
      </w:r>
      <w:r>
        <w:rPr>
          <w:rFonts w:ascii="Helvetica" w:hAnsi="Helvetica"/>
          <w:i w:val="1"/>
          <w:iCs w:val="1"/>
          <w:rtl w:val="0"/>
          <w:lang w:val="en-US"/>
        </w:rPr>
        <w:t>political</w:t>
      </w:r>
      <w:r>
        <w:rPr>
          <w:rtl w:val="0"/>
          <w:lang w:val="en-US"/>
        </w:rPr>
        <w:t xml:space="preserve"> power, making unsustainable the political monopoly run by the landed elites enabled by institutionalized practices inherited from the colonial period. Balanced inter-sectoral economic growth evened out both elites, forcing them to seek political compromises. In this paper I identify one such compromise, the income tax law, and explain how around the 1920s income taxation contributed to form the Latin American state by setting countries in a path of economic and political development. Critically, the income tax had to be implemented in a situation when no elite was more powerful than the other, and hence, in the presence of inter-sectoral tensions and economic indeterminacy. Building on the fiscal sociology paradigm, I have argued elsewhere that the implementation of the income tax law triggered a series of state-</w:t>
      </w:r>
      <w:r>
        <w:rPr>
          <w:rFonts w:ascii="Helvetica" w:hAnsi="Helvetica"/>
          <w:i w:val="1"/>
          <w:iCs w:val="1"/>
          <w:rtl w:val="0"/>
          <w:lang w:val="en-US"/>
        </w:rPr>
        <w:t>building</w:t>
      </w:r>
      <w:r>
        <w:rPr>
          <w:rtl w:val="0"/>
          <w:lang w:val="en-US"/>
        </w:rPr>
        <w:t xml:space="preserve"> institutions.</w:t>
      </w:r>
      <w:r>
        <w:rPr>
          <w:vertAlign w:val="superscript"/>
        </w:rPr>
        <w:footnoteReference w:id="10"/>
      </w:r>
      <w:r>
        <w:rPr>
          <w:rtl w:val="0"/>
          <w:lang w:val="en-US"/>
        </w:rPr>
        <w:t xml:space="preserve"> While the process of state-building had started earlier (Kurtz (2013) and Soifer (2016)) the implementation of the income tax was an important building block in this process. The faster the incipient industrial sector caught up with the traditional elites, the higher the pressures to impose a tax to capture increasing industrial incomes and to develop skilled bureaucracies to administer and collect the tax. The income tax did not just contribute to the state in revenue, it did so by triggering other state institutions that generated long term </w:t>
      </w:r>
      <w:r>
        <w:rPr>
          <w:rFonts w:ascii="Helvetica" w:hAnsi="Helvetica"/>
          <w:i w:val="1"/>
          <w:iCs w:val="1"/>
          <w:rtl w:val="0"/>
          <w:lang w:val="en-US"/>
        </w:rPr>
        <w:t>political</w:t>
      </w:r>
      <w:r>
        <w:rPr>
          <w:rtl w:val="0"/>
          <w:lang w:val="en-US"/>
        </w:rPr>
        <w:t xml:space="preserve"> development. In this paper I expand on this idea by arguing that political institutions of state-building such as the income tax law set in motion a path of long-term </w:t>
      </w:r>
      <w:r>
        <w:rPr>
          <w:rFonts w:ascii="Helvetica" w:hAnsi="Helvetica"/>
          <w:i w:val="1"/>
          <w:iCs w:val="1"/>
          <w:rtl w:val="0"/>
          <w:lang w:val="en-US"/>
        </w:rPr>
        <w:t>economic</w:t>
      </w:r>
      <w:r>
        <w:rPr>
          <w:rtl w:val="0"/>
          <w:lang w:val="en-US"/>
        </w:rPr>
        <w:t xml:space="preserve"> development. In sum, when the elite structure was faint and the agricultural sector inefficient, by means explained in the next , the emergence of the industrial sector was compromised or delayed. I claim that in these situations landowners were never challenged and there were less pressures to centralize the state, making less likely further institutional investments.</w:t>
      </w:r>
    </w:p>
    <w:p>
      <w:pPr>
        <w:pStyle w:val="Body Text"/>
        <w:jc w:val="both"/>
      </w:pPr>
      <w:r>
        <w:rPr>
          <w:rtl w:val="0"/>
          <w:lang w:val="en-US"/>
        </w:rPr>
        <w:t xml:space="preserve">The argument considers that agriculturalists had been a hegemonic group protected by practices inherited from institutions originated in colonial times, and that a modern strong industrial elite challenged those privileges. However, others have argued that the independence wars around the 1800s contributed to the collapse of all colonial institutions, including the privileges the landowning sector had. For example Mahoney (2010, p. 191) explains that the </w:t>
      </w:r>
      <w:r>
        <w:rPr>
          <w:rtl w:val="0"/>
          <w:lang w:val="en-US"/>
        </w:rPr>
        <w:t>“</w:t>
      </w:r>
      <w:r>
        <w:rPr>
          <w:rtl w:val="0"/>
          <w:lang w:val="en-US"/>
        </w:rPr>
        <w:t>wars of independence were violent and destructive; they saw the collapse of the colonial fiscal system [...] and the elimination of the colonial political order.</w:t>
      </w:r>
      <w:r>
        <w:rPr>
          <w:rtl w:val="0"/>
          <w:lang w:val="en-US"/>
        </w:rPr>
        <w:t>”</w:t>
      </w:r>
      <w:r>
        <w:rPr>
          <w:vertAlign w:val="superscript"/>
        </w:rPr>
        <w:footnoteReference w:id="11"/>
      </w:r>
      <w:r>
        <w:rPr>
          <w:rtl w:val="0"/>
          <w:lang w:val="en-US"/>
        </w:rPr>
        <w:t xml:space="preserve"> However, the collapse of a number of institutions does not necessarily mean the collapse of the legacies of </w:t>
      </w:r>
      <w:r>
        <w:rPr>
          <w:rFonts w:ascii="Helvetica" w:hAnsi="Helvetica"/>
          <w:i w:val="1"/>
          <w:iCs w:val="1"/>
          <w:rtl w:val="0"/>
          <w:lang w:val="en-US"/>
        </w:rPr>
        <w:t>the</w:t>
      </w:r>
      <w:r>
        <w:rPr>
          <w:rtl w:val="0"/>
          <w:lang w:val="en-US"/>
        </w:rPr>
        <w:t xml:space="preserve"> colonial political economy. Capoccia &amp; Kelemen (2007, p. 349) argue that </w:t>
      </w:r>
      <w:r>
        <w:rPr>
          <w:rtl w:val="0"/>
          <w:lang w:val="en-US"/>
        </w:rPr>
        <w:t>“</w:t>
      </w:r>
      <w:r>
        <w:rPr>
          <w:rtl w:val="0"/>
          <w:lang w:val="en-US"/>
        </w:rPr>
        <w:t>[e]ven where various institutions are interconnected, the occurrence of a critical juncture for one institution need not constitute a critical juncture with respect to all of its counterpart.</w:t>
      </w:r>
      <w:r>
        <w:rPr>
          <w:rtl w:val="0"/>
          <w:lang w:val="en-US"/>
        </w:rPr>
        <w:t xml:space="preserve">” </w:t>
      </w:r>
      <w:r>
        <w:rPr>
          <w:rtl w:val="0"/>
          <w:lang w:val="en-US"/>
        </w:rPr>
        <w:t xml:space="preserve">Following their advice of finding </w:t>
      </w:r>
      <w:r>
        <w:rPr>
          <w:rtl w:val="0"/>
          <w:lang w:val="en-US"/>
        </w:rPr>
        <w:t>“</w:t>
      </w:r>
      <w:r>
        <w:rPr>
          <w:rtl w:val="0"/>
          <w:lang w:val="en-US"/>
        </w:rPr>
        <w:t>the decision-making process, [and] identify[ing] which decisions were most influential,</w:t>
      </w:r>
      <w:r>
        <w:rPr>
          <w:rtl w:val="0"/>
          <w:lang w:val="en-US"/>
        </w:rPr>
        <w:t xml:space="preserve">” </w:t>
      </w:r>
      <w:r>
        <w:rPr>
          <w:rtl w:val="0"/>
          <w:lang w:val="en-US"/>
        </w:rPr>
        <w:t xml:space="preserve">I find in this paper that the landed elites did have privileges that the industrialists did not have </w:t>
      </w:r>
      <w:r>
        <w:rPr>
          <w:rFonts w:ascii="Helvetica" w:hAnsi="Helvetica"/>
          <w:i w:val="1"/>
          <w:iCs w:val="1"/>
          <w:rtl w:val="0"/>
          <w:lang w:val="en-US"/>
        </w:rPr>
        <w:t>because</w:t>
      </w:r>
      <w:r>
        <w:rPr>
          <w:rtl w:val="0"/>
          <w:lang w:val="en-US"/>
        </w:rPr>
        <w:t xml:space="preserve"> of the inertia of colonial institutions, specially in Chile. In fact, elsewhere I find that the implementation of the income tax was product of a series of inter-elite compromises that aimed to equate the political privileges of the two sectors, putting countries in a path of political development.</w:t>
      </w:r>
      <w:r>
        <w:rPr>
          <w:vertAlign w:val="superscript"/>
        </w:rPr>
        <w:footnoteReference w:id="12"/>
      </w:r>
      <w:r>
        <w:rPr>
          <w:rtl w:val="0"/>
          <w:lang w:val="en-US"/>
        </w:rPr>
        <w:t xml:space="preserve"> In this paper I focus on the intertwined relationship between political </w:t>
      </w:r>
      <w:r>
        <w:rPr>
          <w:rFonts w:ascii="Helvetica" w:hAnsi="Helvetica"/>
          <w:i w:val="1"/>
          <w:iCs w:val="1"/>
          <w:rtl w:val="0"/>
          <w:lang w:val="en-US"/>
        </w:rPr>
        <w:t>and</w:t>
      </w:r>
      <w:r>
        <w:rPr>
          <w:rtl w:val="0"/>
          <w:lang w:val="en-US"/>
        </w:rPr>
        <w:t xml:space="preserve"> economic development.</w:t>
      </w:r>
    </w:p>
    <w:p>
      <w:pPr>
        <w:pStyle w:val="Body Text"/>
        <w:jc w:val="both"/>
      </w:pPr>
      <w:r>
        <w:rPr>
          <w:rtl w:val="0"/>
          <w:lang w:val="en-US"/>
        </w:rPr>
        <w:t>The following</w:t>
      </w:r>
      <w:r>
        <w:rPr>
          <w:rtl w:val="0"/>
          <w:lang w:val="en-US"/>
        </w:rPr>
        <w:t xml:space="preserve"> section</w:t>
      </w:r>
      <w:r>
        <w:rPr>
          <w:rtl w:val="0"/>
          <w:lang w:val="en-US"/>
        </w:rPr>
        <w:t xml:space="preserve"> introduces the </w:t>
      </w:r>
      <w:r>
        <w:rPr>
          <w:rFonts w:ascii="Helvetica" w:hAnsi="Helvetica"/>
          <w:i w:val="1"/>
          <w:iCs w:val="1"/>
          <w:rtl w:val="0"/>
          <w:lang w:val="en-US"/>
        </w:rPr>
        <w:t>dual sector model</w:t>
      </w:r>
      <w:r>
        <w:rPr>
          <w:rtl w:val="0"/>
          <w:lang w:val="en-US"/>
        </w:rPr>
        <w:t>, where I explain the mechanics of the emergence of the industrial sector and why it is relevant for political development. Next I present the Chilean and Argentinean</w:t>
      </w:r>
      <w:r>
        <w:rPr>
          <w:rtl w:val="0"/>
          <w:lang w:val="en-US"/>
        </w:rPr>
        <w:t xml:space="preserve"> cases</w:t>
      </w:r>
      <w:r>
        <w:rPr>
          <w:rtl w:val="0"/>
          <w:lang w:val="en-US"/>
        </w:rPr>
        <w:t xml:space="preserve"> to illustrate the theory and to provide some historical context. The two cases exemplify different aspects of the argument. The Chilean case stresses the initial structural advantages the landowning sector had and the inter-sectoral competition aspects. The Argentinean case explains a recurrent issue in Latin American economic history, namely, whether the export-oriented and import-oriented sectors overlap with the the agriculture/industry cleavage. Then, in an effort to suggest that this hypothesis could be generalized to other countries in Latin America, in the econometric</w:t>
      </w:r>
      <w:r>
        <w:rPr>
          <w:rtl w:val="0"/>
          <w:lang w:val="en-US"/>
        </w:rPr>
        <w:t xml:space="preserve"> section</w:t>
      </w:r>
      <w:r>
        <w:rPr>
          <w:rtl w:val="0"/>
          <w:lang w:val="en-US"/>
        </w:rPr>
        <w:t xml:space="preserve"> I provide evidence of different vector autoregressive models (VAR), Granger-causality tests and impulse response functions (IRFs) for a subset of Latin American countries and explain why when there were economic structural transformations there were also sectoral political conflicts and subsequent investment in institutional capacities. Lastly, I provide some final </w:t>
      </w:r>
      <w:r>
        <w:rPr>
          <w:rtl w:val="0"/>
          <w:lang w:val="en-US"/>
        </w:rPr>
        <w:t>remarks</w:t>
      </w:r>
      <w:r>
        <w:rPr>
          <w:rtl w:val="0"/>
          <w:lang w:val="en-US"/>
        </w:rPr>
        <w:t>.</w:t>
      </w:r>
      <w:bookmarkEnd w:id="0"/>
    </w:p>
    <w:p>
      <w:pPr>
        <w:pStyle w:val="Heading"/>
        <w:jc w:val="both"/>
      </w:pPr>
      <w:r>
        <w:br w:type="page"/>
      </w:r>
    </w:p>
    <w:p>
      <w:pPr>
        <w:pStyle w:val="Heading"/>
        <w:jc w:val="both"/>
      </w:pPr>
      <w:bookmarkStart w:name="structuraltransformationsandthedualsectoreconomymodeldualsector" w:id="1"/>
      <w:r>
        <w:rPr>
          <w:rtl w:val="0"/>
          <w:lang w:val="en-US"/>
        </w:rPr>
        <w:t>Structural Transformations and the Dual Sector Economy Model</w:t>
      </w:r>
    </w:p>
    <w:p>
      <w:pPr>
        <w:pStyle w:val="Default"/>
        <w:bidi w:val="0"/>
        <w:spacing w:after="240" w:line="280" w:lineRule="atLeast"/>
        <w:ind w:left="5703" w:right="0" w:firstLine="0"/>
        <w:jc w:val="both"/>
        <w:rPr>
          <w:rFonts w:ascii="Times" w:cs="Times" w:hAnsi="Times" w:eastAsia="Times"/>
          <w:sz w:val="16"/>
          <w:szCs w:val="16"/>
          <w:rtl w:val="0"/>
        </w:rPr>
      </w:pPr>
      <w:r>
        <w:rPr>
          <w:rFonts w:ascii="Times" w:hAnsi="Times"/>
          <w:sz w:val="16"/>
          <w:szCs w:val="16"/>
          <w:rtl w:val="0"/>
          <w:lang w:val="en-US"/>
        </w:rPr>
        <w:t xml:space="preserve">When by the improvement and cultivation of land [...] the labour of half the society becomes sufficient to provide food for the whole, the other half [...] can be employed [...] in satisfying the other wants and fancies of mankind </w:t>
      </w:r>
    </w:p>
    <w:p>
      <w:pPr>
        <w:pStyle w:val="Default"/>
        <w:bidi w:val="0"/>
        <w:spacing w:after="240" w:line="280" w:lineRule="atLeast"/>
        <w:ind w:left="5703" w:right="0" w:firstLine="0"/>
        <w:jc w:val="right"/>
        <w:rPr>
          <w:rFonts w:ascii="Times" w:cs="Times" w:hAnsi="Times" w:eastAsia="Times"/>
          <w:sz w:val="16"/>
          <w:szCs w:val="16"/>
          <w:rtl w:val="0"/>
        </w:rPr>
      </w:pPr>
      <w:r>
        <w:rPr>
          <w:rFonts w:ascii="Times" w:hAnsi="Times"/>
          <w:b w:val="1"/>
          <w:bCs w:val="1"/>
          <w:sz w:val="16"/>
          <w:szCs w:val="16"/>
          <w:rtl w:val="0"/>
          <w:lang w:val="en-US"/>
        </w:rPr>
        <w:t>Smith [1904, I.11.59]</w:t>
      </w:r>
      <w:r>
        <w:rPr>
          <w:rFonts w:ascii="Times" w:hAnsi="Times"/>
          <w:sz w:val="16"/>
          <w:szCs w:val="16"/>
          <w:rtl w:val="0"/>
        </w:rPr>
        <w:t xml:space="preserve"> </w:t>
      </w:r>
    </w:p>
    <w:p>
      <w:pPr>
        <w:pStyle w:val="First Paragraph"/>
        <w:jc w:val="both"/>
      </w:pPr>
      <w:r>
        <w:rPr>
          <w:rtl w:val="0"/>
          <w:lang w:val="en-US"/>
        </w:rPr>
        <w:t xml:space="preserve">The </w:t>
      </w:r>
      <w:r>
        <w:rPr>
          <w:rFonts w:ascii="Helvetica" w:hAnsi="Helvetica"/>
          <w:i w:val="1"/>
          <w:iCs w:val="1"/>
          <w:rtl w:val="0"/>
          <w:lang w:val="en-US"/>
        </w:rPr>
        <w:t>dual sector</w:t>
      </w:r>
      <w:r>
        <w:rPr>
          <w:rtl w:val="0"/>
          <w:lang w:val="en-US"/>
        </w:rPr>
        <w:t xml:space="preserve"> or </w:t>
      </w:r>
      <w:r>
        <w:rPr>
          <w:rFonts w:ascii="Helvetica" w:hAnsi="Helvetica"/>
          <w:i w:val="1"/>
          <w:iCs w:val="1"/>
          <w:rtl w:val="0"/>
          <w:lang w:val="en-US"/>
        </w:rPr>
        <w:t>balanced growth</w:t>
      </w:r>
      <w:r>
        <w:rPr>
          <w:rtl w:val="0"/>
          <w:lang w:val="en-US"/>
        </w:rPr>
        <w:t xml:space="preserve"> model argues that the economic system is divided into two sectors loosely defined as </w:t>
      </w:r>
      <w:r>
        <w:rPr>
          <w:rtl w:val="0"/>
          <w:lang w:val="en-US"/>
        </w:rPr>
        <w:t>‘</w:t>
      </w:r>
      <w:r>
        <w:rPr>
          <w:rtl w:val="0"/>
          <w:lang w:val="en-US"/>
        </w:rPr>
        <w:t>advanced or modern sector</w:t>
      </w:r>
      <w:r>
        <w:rPr>
          <w:rtl w:val="0"/>
          <w:lang w:val="en-US"/>
        </w:rPr>
        <w:t xml:space="preserve">’ </w:t>
      </w:r>
      <w:r>
        <w:rPr>
          <w:rtl w:val="0"/>
          <w:lang w:val="en-US"/>
        </w:rPr>
        <w:t xml:space="preserve">or </w:t>
      </w:r>
      <w:r>
        <w:rPr>
          <w:rtl w:val="0"/>
          <w:lang w:val="en-US"/>
        </w:rPr>
        <w:t>‘</w:t>
      </w:r>
      <w:r>
        <w:rPr>
          <w:rtl w:val="0"/>
          <w:lang w:val="en-US"/>
        </w:rPr>
        <w:t>manufacturing sector,</w:t>
      </w:r>
      <w:r>
        <w:rPr>
          <w:rtl w:val="0"/>
          <w:lang w:val="en-US"/>
        </w:rPr>
        <w:t xml:space="preserve">’ </w:t>
      </w:r>
      <w:r>
        <w:rPr>
          <w:rtl w:val="0"/>
          <w:lang w:val="en-US"/>
        </w:rPr>
        <w:t xml:space="preserve">and as </w:t>
      </w:r>
      <w:r>
        <w:rPr>
          <w:rtl w:val="0"/>
          <w:lang w:val="en-US"/>
        </w:rPr>
        <w:t>‘</w:t>
      </w:r>
      <w:r>
        <w:rPr>
          <w:rtl w:val="0"/>
          <w:lang w:val="en-US"/>
        </w:rPr>
        <w:t>backward or traditional sector,</w:t>
      </w:r>
      <w:r>
        <w:rPr>
          <w:rtl w:val="0"/>
          <w:lang w:val="en-US"/>
        </w:rPr>
        <w:t xml:space="preserve">’ </w:t>
      </w:r>
      <w:r>
        <w:rPr>
          <w:rtl w:val="0"/>
          <w:lang w:val="en-US"/>
        </w:rPr>
        <w:t xml:space="preserve">or </w:t>
      </w:r>
      <w:r>
        <w:rPr>
          <w:rtl w:val="0"/>
          <w:lang w:val="en-US"/>
        </w:rPr>
        <w:t>‘</w:t>
      </w:r>
      <w:r>
        <w:rPr>
          <w:rtl w:val="0"/>
          <w:lang w:val="en-US"/>
        </w:rPr>
        <w:t>agriculture.</w:t>
      </w:r>
      <w:r>
        <w:rPr>
          <w:rtl w:val="0"/>
          <w:lang w:val="en-US"/>
        </w:rPr>
        <w:t>’</w:t>
      </w:r>
      <w:r>
        <w:rPr>
          <w:vertAlign w:val="superscript"/>
        </w:rPr>
        <w:footnoteReference w:id="13"/>
      </w:r>
      <w:r>
        <w:rPr>
          <w:rtl w:val="0"/>
          <w:lang w:val="en-US"/>
        </w:rPr>
        <w:t xml:space="preserve"> The basic intuition of this paradigm is that in order for the industrial sector to develop, it needs </w:t>
      </w:r>
      <w:r>
        <w:rPr>
          <w:rFonts w:ascii="Helvetica" w:hAnsi="Helvetica"/>
          <w:i w:val="1"/>
          <w:iCs w:val="1"/>
          <w:rtl w:val="0"/>
          <w:lang w:val="en-US"/>
        </w:rPr>
        <w:t>first</w:t>
      </w:r>
      <w:r>
        <w:rPr>
          <w:rtl w:val="0"/>
          <w:lang w:val="en-US"/>
        </w:rPr>
        <w:t xml:space="preserve"> an efficient and strong agricultural sector. Contingent on efficient agricultural productivity, the emergence of the industrial sector goes from a low-production sector eventually surpassing the agricultural sector. If the agricultural sector lacks economic efficiency, the industrial sector will hardly develop, leaving the country in an economic trap. This literature is vast. While in this section I explain the core of it, there are many current theoretical and methodological applications and extensions to the dual sector model.</w:t>
      </w:r>
      <w:r>
        <w:rPr>
          <w:vertAlign w:val="superscript"/>
        </w:rPr>
        <w:footnoteReference w:id="14"/>
      </w:r>
      <w:r>
        <w:rPr>
          <w:rtl w:val="0"/>
          <w:lang w:val="en-US"/>
        </w:rPr>
        <w:t xml:space="preserve"> I claim that this model is relevant for political development since it explains the rising of the industrial economic sector which in turn nurtured the emergence of an industrial political elite.</w:t>
      </w:r>
    </w:p>
    <w:p>
      <w:pPr>
        <w:pStyle w:val="Body Text"/>
        <w:jc w:val="both"/>
      </w:pPr>
      <w:r>
        <w:rPr>
          <w:rtl w:val="0"/>
          <w:lang w:val="en-US"/>
        </w:rPr>
        <w:t xml:space="preserve">It was Lewis (1965, p. 151) who popularized the idea that </w:t>
      </w:r>
      <w:r>
        <w:rPr>
          <w:rtl w:val="0"/>
          <w:lang w:val="en-US"/>
        </w:rPr>
        <w:t>“</w:t>
      </w:r>
      <w:r>
        <w:rPr>
          <w:rtl w:val="0"/>
          <w:lang w:val="en-US"/>
        </w:rPr>
        <w:t>[t]he secret of most development problems is to maintain a proper balance between sectors.</w:t>
      </w:r>
      <w:r>
        <w:rPr>
          <w:rtl w:val="0"/>
          <w:lang w:val="en-US"/>
        </w:rPr>
        <w:t xml:space="preserve">” </w:t>
      </w:r>
      <w:r>
        <w:rPr>
          <w:rtl w:val="0"/>
          <w:lang w:val="en-US"/>
        </w:rPr>
        <w:t xml:space="preserve">The dual nature of the economy has been widely accepted and forms part of </w:t>
      </w:r>
      <w:r>
        <w:rPr>
          <w:rtl w:val="0"/>
          <w:lang w:val="en-US"/>
        </w:rPr>
        <w:t>“</w:t>
      </w:r>
      <w:r>
        <w:rPr>
          <w:rtl w:val="0"/>
          <w:lang w:val="en-US"/>
        </w:rPr>
        <w:t>a long tradition in development economics.</w:t>
      </w:r>
      <w:r>
        <w:rPr>
          <w:rtl w:val="0"/>
          <w:lang w:val="en-US"/>
        </w:rPr>
        <w:t>”</w:t>
      </w:r>
      <w:r>
        <w:rPr>
          <w:vertAlign w:val="superscript"/>
        </w:rPr>
        <w:footnoteReference w:id="15"/>
      </w:r>
      <w:r>
        <w:rPr>
          <w:rtl w:val="0"/>
          <w:lang w:val="en-US"/>
        </w:rPr>
        <w:t xml:space="preserve"> And while dichotomizing the entire economy in just two sectors might sound as too much of an oversimplification,</w:t>
      </w:r>
      <w:r>
        <w:rPr>
          <w:vertAlign w:val="superscript"/>
        </w:rPr>
        <w:footnoteReference w:id="16"/>
      </w:r>
      <w:r>
        <w:rPr>
          <w:rtl w:val="0"/>
          <w:lang w:val="en-US"/>
        </w:rPr>
        <w:t xml:space="preserve"> I follow Dixit (1973, p. 325) in that the dual economy model provides a significantly better description of the economy because </w:t>
      </w:r>
      <w:r>
        <w:rPr>
          <w:rtl w:val="0"/>
          <w:lang w:val="en-US"/>
        </w:rPr>
        <w:t>“</w:t>
      </w:r>
      <w:r>
        <w:rPr>
          <w:rtl w:val="0"/>
          <w:lang w:val="en-US"/>
        </w:rPr>
        <w:t xml:space="preserve">it reflects several vital social </w:t>
      </w:r>
      <w:r>
        <w:rPr>
          <w:rFonts w:ascii="Helvetica" w:hAnsi="Helvetica"/>
          <w:i w:val="1"/>
          <w:iCs w:val="1"/>
          <w:rtl w:val="0"/>
          <w:lang w:val="en-US"/>
        </w:rPr>
        <w:t>and</w:t>
      </w:r>
      <w:r>
        <w:rPr>
          <w:rtl w:val="0"/>
          <w:lang w:val="en-US"/>
        </w:rPr>
        <w:t xml:space="preserve"> economic distinctions.</w:t>
      </w:r>
      <w:r>
        <w:rPr>
          <w:rtl w:val="0"/>
          <w:lang w:val="en-US"/>
        </w:rPr>
        <w:t>”</w:t>
      </w:r>
      <w:r>
        <w:rPr>
          <w:vertAlign w:val="superscript"/>
        </w:rPr>
        <w:footnoteReference w:id="17"/>
      </w:r>
      <w:r>
        <w:rPr>
          <w:rtl w:val="0"/>
          <w:lang w:val="en-US"/>
        </w:rPr>
        <w:t xml:space="preserve"> Johnston &amp; Nielsen (1966, p. 280) also explain that </w:t>
      </w:r>
      <w:r>
        <w:rPr>
          <w:rtl w:val="0"/>
          <w:lang w:val="en-US"/>
        </w:rPr>
        <w:t>“</w:t>
      </w:r>
      <w:r>
        <w:rPr>
          <w:rtl w:val="0"/>
          <w:lang w:val="en-US"/>
        </w:rPr>
        <w:t>[t]he reality found in most underdeveloped countries approximates this dichotomy [...] sufficiently.</w:t>
      </w:r>
      <w:r>
        <w:rPr>
          <w:rtl w:val="0"/>
          <w:lang w:val="en-US"/>
        </w:rPr>
        <w:t xml:space="preserve">” </w:t>
      </w:r>
      <w:r>
        <w:rPr>
          <w:rtl w:val="0"/>
          <w:lang w:val="en-US"/>
        </w:rPr>
        <w:t xml:space="preserve">In fact, Lindert &amp; Williamson (1985, p. 354) explain that the dual-sector model is </w:t>
      </w:r>
      <w:r>
        <w:rPr>
          <w:rtl w:val="0"/>
          <w:lang w:val="en-US"/>
        </w:rPr>
        <w:t>“</w:t>
      </w:r>
      <w:r>
        <w:rPr>
          <w:rtl w:val="0"/>
          <w:lang w:val="en-US"/>
        </w:rPr>
        <w:t>the dominant paradigm used by Third World observers.</w:t>
      </w:r>
      <w:r>
        <w:rPr>
          <w:rtl w:val="0"/>
          <w:lang w:val="en-US"/>
        </w:rPr>
        <w:t xml:space="preserve">” </w:t>
      </w:r>
      <w:r>
        <w:rPr>
          <w:rtl w:val="0"/>
          <w:lang w:val="en-US"/>
        </w:rPr>
        <w:t xml:space="preserve">However, </w:t>
      </w:r>
      <w:r>
        <w:rPr>
          <w:rtl w:val="0"/>
          <w:lang w:val="en-US"/>
        </w:rPr>
        <w:t>“</w:t>
      </w:r>
      <w:r>
        <w:rPr>
          <w:rtl w:val="0"/>
          <w:lang w:val="en-US"/>
        </w:rPr>
        <w:t xml:space="preserve">balanced growth is almost axiomatic as a desirable objective, for both developed </w:t>
      </w:r>
      <w:r>
        <w:rPr>
          <w:rFonts w:ascii="Helvetica" w:hAnsi="Helvetica"/>
          <w:i w:val="1"/>
          <w:iCs w:val="1"/>
          <w:rtl w:val="0"/>
          <w:lang w:val="en-US"/>
        </w:rPr>
        <w:t>and</w:t>
      </w:r>
      <w:r>
        <w:rPr>
          <w:rtl w:val="0"/>
          <w:lang w:val="en-US"/>
        </w:rPr>
        <w:t xml:space="preserve"> under-developed countries.</w:t>
      </w:r>
      <w:r>
        <w:rPr>
          <w:rtl w:val="0"/>
          <w:lang w:val="en-US"/>
        </w:rPr>
        <w:t>”</w:t>
      </w:r>
      <w:r>
        <w:rPr>
          <w:vertAlign w:val="superscript"/>
        </w:rPr>
        <w:footnoteReference w:id="18"/>
      </w:r>
      <w:r>
        <w:rPr>
          <w:rtl w:val="0"/>
          <w:lang w:val="en-US"/>
        </w:rPr>
        <w:t xml:space="preserve"> For example, Bergquist (1986, p. 8) explains that </w:t>
      </w:r>
      <w:r>
        <w:rPr>
          <w:rtl w:val="0"/>
          <w:lang w:val="en-US"/>
        </w:rPr>
        <w:t>“</w:t>
      </w:r>
      <w:r>
        <w:rPr>
          <w:rtl w:val="0"/>
          <w:lang w:val="en-US"/>
        </w:rPr>
        <w:t>Colombia</w:t>
      </w:r>
      <w:r>
        <w:rPr>
          <w:rtl w:val="0"/>
          <w:lang w:val="en-US"/>
        </w:rPr>
        <w:t>’</w:t>
      </w:r>
      <w:r>
        <w:rPr>
          <w:rtl w:val="0"/>
          <w:lang w:val="en-US"/>
        </w:rPr>
        <w:t>s two traditional political parties crystallized in the 1840</w:t>
      </w:r>
      <w:r>
        <w:rPr>
          <w:rtl w:val="0"/>
          <w:lang w:val="en-US"/>
        </w:rPr>
        <w:t>’</w:t>
      </w:r>
      <w:r>
        <w:rPr>
          <w:rtl w:val="0"/>
          <w:lang w:val="en-US"/>
        </w:rPr>
        <w:t>s and reflected in many respects the dual nature of the Colombian economy.</w:t>
      </w:r>
      <w:r>
        <w:rPr>
          <w:rtl w:val="0"/>
          <w:lang w:val="en-US"/>
        </w:rPr>
        <w:t xml:space="preserve">” </w:t>
      </w:r>
      <w:r>
        <w:rPr>
          <w:rtl w:val="0"/>
          <w:lang w:val="en-US"/>
        </w:rPr>
        <w:t xml:space="preserve">While this is a stylized model which approximates a good-enough description of reality, Dixit (1973, p. 326) is right in that a </w:t>
      </w:r>
      <w:r>
        <w:rPr>
          <w:rtl w:val="0"/>
          <w:lang w:val="en-US"/>
        </w:rPr>
        <w:t>“</w:t>
      </w:r>
      <w:r>
        <w:rPr>
          <w:rtl w:val="0"/>
          <w:lang w:val="en-US"/>
        </w:rPr>
        <w:t>major drawback of dualistic theories [...] is the total neglect of the service sector.</w:t>
      </w:r>
      <w:r>
        <w:rPr>
          <w:rtl w:val="0"/>
          <w:lang w:val="en-US"/>
        </w:rPr>
        <w:t xml:space="preserve">” </w:t>
      </w:r>
      <w:r>
        <w:rPr>
          <w:rtl w:val="0"/>
          <w:lang w:val="en-US"/>
        </w:rPr>
        <w:t xml:space="preserve">However, the literature is consistent in that the third sector necessarily develops </w:t>
      </w:r>
      <w:r>
        <w:rPr>
          <w:rFonts w:ascii="Helvetica" w:hAnsi="Helvetica"/>
          <w:i w:val="1"/>
          <w:iCs w:val="1"/>
          <w:rtl w:val="0"/>
          <w:lang w:val="en-US"/>
        </w:rPr>
        <w:t>after</w:t>
      </w:r>
      <w:r>
        <w:rPr>
          <w:rtl w:val="0"/>
          <w:lang w:val="en-US"/>
        </w:rPr>
        <w:t xml:space="preserve"> the industrial sector is developed.</w:t>
      </w:r>
      <w:r>
        <w:rPr>
          <w:vertAlign w:val="superscript"/>
        </w:rPr>
        <w:footnoteReference w:id="19"/>
      </w:r>
    </w:p>
    <w:p>
      <w:pPr>
        <w:pStyle w:val="Body Text"/>
        <w:jc w:val="both"/>
      </w:pPr>
      <w:r>
        <w:rPr>
          <w:rtl w:val="0"/>
          <w:lang w:val="en-US"/>
        </w:rPr>
        <w:t>Economic development depends on the emergence of the industrial sector which in turn depends on the development of a productive agricultural sector.</w:t>
      </w:r>
      <w:r>
        <w:rPr>
          <w:vertAlign w:val="superscript"/>
        </w:rPr>
        <w:footnoteReference w:id="20"/>
      </w:r>
      <w:r>
        <w:rPr>
          <w:rtl w:val="0"/>
          <w:lang w:val="en-US"/>
        </w:rPr>
        <w:t xml:space="preserve"> As Kuznets (1961, p. 59) puts it, </w:t>
      </w:r>
      <w:r>
        <w:rPr>
          <w:rtl w:val="0"/>
          <w:lang w:val="en-US"/>
        </w:rPr>
        <w:t>“</w:t>
      </w:r>
      <w:r>
        <w:rPr>
          <w:rtl w:val="0"/>
          <w:lang w:val="en-US"/>
        </w:rPr>
        <w:t xml:space="preserve">economic growth is </w:t>
      </w:r>
      <w:r>
        <w:rPr>
          <w:rFonts w:ascii="Helvetica" w:hAnsi="Helvetica"/>
          <w:i w:val="1"/>
          <w:iCs w:val="1"/>
          <w:rtl w:val="0"/>
          <w:lang w:val="en-US"/>
        </w:rPr>
        <w:t>impossible</w:t>
      </w:r>
      <w:r>
        <w:rPr>
          <w:rtl w:val="0"/>
          <w:lang w:val="en-US"/>
        </w:rPr>
        <w:t xml:space="preserve"> unless there is a substantial rise in product per worker in the agricultural sector.</w:t>
      </w:r>
      <w:r>
        <w:rPr>
          <w:rtl w:val="0"/>
          <w:lang w:val="en-US"/>
        </w:rPr>
        <w:t>”</w:t>
      </w:r>
      <w:r>
        <w:rPr>
          <w:vertAlign w:val="superscript"/>
        </w:rPr>
        <w:footnoteReference w:id="21"/>
      </w:r>
      <w:r>
        <w:rPr>
          <w:rtl w:val="0"/>
          <w:lang w:val="en-US"/>
        </w:rPr>
        <w:t xml:space="preserve"> Following Jorgenson (1961, p. 311), Ranis &amp; Fei (1964, p. 59), Jorgenson (1967, p. 291), Skott &amp; Larudee (1998, pp. 279</w:t>
      </w:r>
      <w:r>
        <w:rPr>
          <w:rtl w:val="0"/>
          <w:lang w:val="en-US"/>
        </w:rPr>
        <w:t>–</w:t>
      </w:r>
      <w:r>
        <w:rPr>
          <w:rtl w:val="0"/>
          <w:lang w:val="en-US"/>
        </w:rPr>
        <w:t>280) and Vollrath (2009, p. 290), the industrial sector is assumed to use capital and labor and has increasing returns to scale, while the agriculture sector is assumed to use only land (which is fixed) and labor (only input).</w:t>
      </w:r>
      <w:r>
        <w:rPr>
          <w:vertAlign w:val="superscript"/>
        </w:rPr>
        <w:footnoteReference w:id="22"/>
      </w:r>
      <w:r>
        <w:rPr>
          <w:rtl w:val="0"/>
          <w:lang w:val="en-US"/>
        </w:rPr>
        <w:t xml:space="preserve"> This implies that the industrial sector is </w:t>
      </w:r>
      <w:r>
        <w:rPr>
          <w:rFonts w:ascii="Helvetica" w:hAnsi="Helvetica"/>
          <w:i w:val="1"/>
          <w:iCs w:val="1"/>
          <w:rtl w:val="0"/>
          <w:lang w:val="en-US"/>
        </w:rPr>
        <w:t>structurally</w:t>
      </w:r>
      <w:r>
        <w:rPr>
          <w:rtl w:val="0"/>
          <w:lang w:val="en-US"/>
        </w:rPr>
        <w:t xml:space="preserve"> protected: even when the agricultural sector is efficient, </w:t>
      </w:r>
      <w:r>
        <w:rPr>
          <w:rFonts w:ascii="Helvetica" w:hAnsi="Helvetica"/>
          <w:i w:val="1"/>
          <w:iCs w:val="1"/>
          <w:rtl w:val="0"/>
          <w:lang w:val="en-US"/>
        </w:rPr>
        <w:t>ceteris paribus</w:t>
      </w:r>
      <w:r>
        <w:rPr>
          <w:rtl w:val="0"/>
          <w:lang w:val="en-US"/>
        </w:rPr>
        <w:t xml:space="preserve">, it cannot grow faster than an efficient industrial sector. The fixity of land requires countries to industrialize in order to grow, and for that they need first an efficient agricultural sector. This insight is shared by many other development economists. Hayami &amp; Yamada (1969, p. 105) for example argue that </w:t>
      </w:r>
      <w:r>
        <w:rPr>
          <w:rtl w:val="0"/>
          <w:lang w:val="en-US"/>
        </w:rPr>
        <w:t>“</w:t>
      </w:r>
      <w:r>
        <w:rPr>
          <w:rtl w:val="0"/>
          <w:lang w:val="en-US"/>
        </w:rPr>
        <w:t xml:space="preserve">[i]ndustrialization and modern economic growth are basically </w:t>
      </w:r>
      <w:r>
        <w:rPr>
          <w:rFonts w:ascii="Helvetica" w:hAnsi="Helvetica"/>
          <w:i w:val="1"/>
          <w:iCs w:val="1"/>
          <w:rtl w:val="0"/>
          <w:lang w:val="en-US"/>
        </w:rPr>
        <w:t>conditioned</w:t>
      </w:r>
      <w:r>
        <w:rPr>
          <w:rtl w:val="0"/>
          <w:lang w:val="en-US"/>
        </w:rPr>
        <w:t xml:space="preserve"> by the level of agricultural productivity.</w:t>
      </w:r>
      <w:r>
        <w:rPr>
          <w:rtl w:val="0"/>
          <w:lang w:val="en-US"/>
        </w:rPr>
        <w:t>”</w:t>
      </w:r>
      <w:r>
        <w:rPr>
          <w:vertAlign w:val="superscript"/>
        </w:rPr>
        <w:footnoteReference w:id="23"/>
      </w:r>
      <w:r>
        <w:rPr>
          <w:rtl w:val="0"/>
          <w:lang w:val="en-US"/>
        </w:rPr>
        <w:t xml:space="preserve"> There are two main reasons for why agricultural development is a prerequisite of industrial development: efficient agricultures are more likely to supply the industrial sector with cheap foodstuff and cheap labor. In Johnston (1951, p. 498)</w:t>
      </w:r>
      <w:r>
        <w:rPr>
          <w:rtl w:val="0"/>
          <w:lang w:val="en-US"/>
        </w:rPr>
        <w:t>’</w:t>
      </w:r>
      <w:r>
        <w:rPr>
          <w:rtl w:val="0"/>
          <w:lang w:val="en-US"/>
        </w:rPr>
        <w:t xml:space="preserve">s words, </w:t>
      </w:r>
      <w:r>
        <w:rPr>
          <w:rtl w:val="0"/>
          <w:lang w:val="en-US"/>
        </w:rPr>
        <w:t>“</w:t>
      </w:r>
      <w:r>
        <w:rPr>
          <w:rtl w:val="0"/>
          <w:lang w:val="en-US"/>
        </w:rPr>
        <w:t>[e]xpanded agricultural productivity releases people from the land for employment in industry [and] provides food for the growing population.</w:t>
      </w:r>
      <w:r>
        <w:rPr>
          <w:rtl w:val="0"/>
          <w:lang w:val="en-US"/>
        </w:rPr>
        <w:t xml:space="preserve">” </w:t>
      </w:r>
      <w:r>
        <w:rPr>
          <w:rtl w:val="0"/>
          <w:lang w:val="en-US"/>
        </w:rPr>
        <w:t>This structural transformation is the key of economic growth. If the expansion of the agricultural sector is compromised, it will necessarily compromise the expansion of the industrial sector as well.</w:t>
      </w:r>
      <w:r>
        <w:rPr>
          <w:vertAlign w:val="superscript"/>
        </w:rPr>
        <w:footnoteReference w:id="24"/>
      </w:r>
      <w:r>
        <w:rPr>
          <w:rtl w:val="0"/>
          <w:lang w:val="en-US"/>
        </w:rPr>
        <w:t xml:space="preserve"> The political correlate is that weak inter-sectoral linkage structures engender weak </w:t>
      </w:r>
      <w:r>
        <w:rPr>
          <w:rFonts w:ascii="Helvetica" w:hAnsi="Helvetica"/>
          <w:i w:val="1"/>
          <w:iCs w:val="1"/>
          <w:rtl w:val="0"/>
          <w:lang w:val="en-US"/>
        </w:rPr>
        <w:t>political</w:t>
      </w:r>
      <w:r>
        <w:rPr>
          <w:rtl w:val="0"/>
          <w:lang w:val="en-US"/>
        </w:rPr>
        <w:t xml:space="preserve"> elites, and uncontested </w:t>
      </w:r>
      <w:r>
        <w:rPr>
          <w:rFonts w:ascii="Helvetica" w:hAnsi="Helvetica"/>
          <w:i w:val="1"/>
          <w:iCs w:val="1"/>
          <w:rtl w:val="0"/>
          <w:lang w:val="en-US"/>
        </w:rPr>
        <w:t>agricultural</w:t>
      </w:r>
      <w:r>
        <w:rPr>
          <w:rtl w:val="0"/>
          <w:lang w:val="en-US"/>
        </w:rPr>
        <w:t xml:space="preserve"> elites in the case of Latin America.</w:t>
      </w:r>
    </w:p>
    <w:p>
      <w:pPr>
        <w:pStyle w:val="Body Text"/>
        <w:jc w:val="both"/>
      </w:pPr>
      <w:r>
        <w:rPr>
          <w:rtl w:val="0"/>
          <w:lang w:val="en-US"/>
        </w:rPr>
        <w:t xml:space="preserve">The first reason for why a productive agricultural sector is key to industrial development is that more efficient agricultural techniques make agricultural production less labor intensive, allowing landowners to free workers which the industrial sector can rely on. The need for an improvement in agricultural production as a necessary step prior to industrialization </w:t>
      </w:r>
      <w:r>
        <w:rPr>
          <w:rtl w:val="0"/>
          <w:lang w:val="en-US"/>
        </w:rPr>
        <w:t>“</w:t>
      </w:r>
      <w:r>
        <w:rPr>
          <w:rtl w:val="0"/>
          <w:lang w:val="en-US"/>
        </w:rPr>
        <w:t xml:space="preserve">has been termed the </w:t>
      </w:r>
      <w:r>
        <w:rPr>
          <w:rtl w:val="0"/>
          <w:lang w:val="en-US"/>
        </w:rPr>
        <w:t>‘</w:t>
      </w:r>
      <w:r>
        <w:rPr>
          <w:rtl w:val="0"/>
          <w:lang w:val="en-US"/>
        </w:rPr>
        <w:t>prerequisite</w:t>
      </w:r>
      <w:r>
        <w:rPr>
          <w:rtl w:val="0"/>
          <w:lang w:val="en-US"/>
        </w:rPr>
        <w:t xml:space="preserve">’ </w:t>
      </w:r>
      <w:r>
        <w:rPr>
          <w:rtl w:val="0"/>
          <w:lang w:val="en-US"/>
        </w:rPr>
        <w:t>hypothesis.</w:t>
      </w:r>
      <w:r>
        <w:rPr>
          <w:rtl w:val="0"/>
          <w:lang w:val="en-US"/>
        </w:rPr>
        <w:t>”</w:t>
      </w:r>
      <w:r>
        <w:rPr>
          <w:vertAlign w:val="superscript"/>
        </w:rPr>
        <w:footnoteReference w:id="25"/>
      </w:r>
      <w:r>
        <w:rPr>
          <w:rtl w:val="0"/>
          <w:lang w:val="en-US"/>
        </w:rPr>
        <w:t xml:space="preserve"> Technologies such as </w:t>
      </w:r>
      <w:r>
        <w:rPr>
          <w:rtl w:val="0"/>
          <w:lang w:val="en-US"/>
        </w:rPr>
        <w:t>“</w:t>
      </w:r>
      <w:r>
        <w:rPr>
          <w:rtl w:val="0"/>
          <w:lang w:val="en-US"/>
        </w:rPr>
        <w:t>crop rotation, pest control, seed breeding [and] fertilizer use [represent] the major potential source of agricultural labor productivity.</w:t>
      </w:r>
      <w:r>
        <w:rPr>
          <w:rtl w:val="0"/>
          <w:lang w:val="en-US"/>
        </w:rPr>
        <w:t>”</w:t>
      </w:r>
      <w:r>
        <w:rPr>
          <w:vertAlign w:val="superscript"/>
        </w:rPr>
        <w:footnoteReference w:id="26"/>
      </w:r>
      <w:r>
        <w:rPr>
          <w:rtl w:val="0"/>
          <w:lang w:val="en-US"/>
        </w:rPr>
        <w:t xml:space="preserve"> Nicholls (1961, pp. 339</w:t>
      </w:r>
      <w:r>
        <w:rPr>
          <w:rtl w:val="0"/>
          <w:lang w:val="en-US"/>
        </w:rPr>
        <w:t>–</w:t>
      </w:r>
      <w:r>
        <w:rPr>
          <w:rtl w:val="0"/>
          <w:lang w:val="en-US"/>
        </w:rPr>
        <w:t xml:space="preserve">340) shows that advanced industrial countries initially had relatively more developed and productive agricultural sectors. In fact, Gallo (1991, p. 57) finds that in Bolivia, a primarily agricultural economy, </w:t>
      </w:r>
      <w:r>
        <w:rPr>
          <w:rtl w:val="0"/>
          <w:lang w:val="en-US"/>
        </w:rPr>
        <w:t>“</w:t>
      </w:r>
      <w:r>
        <w:rPr>
          <w:rtl w:val="0"/>
          <w:lang w:val="en-US"/>
        </w:rPr>
        <w:t>[t]he tools employed in production were few and rudimentary, the use of fertilizers was minimal, and methods for conservation of the soil were practically unknown until the beginning of the 1950s.</w:t>
      </w:r>
      <w:r>
        <w:rPr>
          <w:rtl w:val="0"/>
          <w:lang w:val="en-US"/>
        </w:rPr>
        <w:t xml:space="preserve">” </w:t>
      </w:r>
      <w:r>
        <w:rPr>
          <w:rtl w:val="0"/>
          <w:lang w:val="en-US"/>
        </w:rPr>
        <w:t xml:space="preserve">However, highly industrialized countries such as Japan, the U.K., the U.S.S.R. and Taiwan adopted </w:t>
      </w:r>
      <w:r>
        <w:rPr>
          <w:rFonts w:ascii="Helvetica" w:hAnsi="Helvetica"/>
          <w:i w:val="1"/>
          <w:iCs w:val="1"/>
          <w:rtl w:val="0"/>
          <w:lang w:val="en-US"/>
        </w:rPr>
        <w:t>prior industrialization</w:t>
      </w:r>
      <w:r>
        <w:rPr>
          <w:rtl w:val="0"/>
          <w:lang w:val="en-US"/>
        </w:rPr>
        <w:t xml:space="preserve"> very efficient agricultural technologies such as higher-yielding varieties, fertilizers and other activities that improved farm practices.</w:t>
      </w:r>
      <w:r>
        <w:rPr>
          <w:vertAlign w:val="superscript"/>
        </w:rPr>
        <w:footnoteReference w:id="27"/>
      </w:r>
    </w:p>
    <w:p>
      <w:pPr>
        <w:pStyle w:val="Body Text"/>
        <w:jc w:val="both"/>
      </w:pPr>
      <w:r>
        <w:rPr>
          <w:rtl w:val="0"/>
          <w:lang w:val="en-US"/>
        </w:rPr>
        <w:t>Surplus of labor naturally leads to a reallocation of redundant workers into the industrial sector, which is the crux of economic development.</w:t>
      </w:r>
      <w:r>
        <w:rPr>
          <w:vertAlign w:val="superscript"/>
        </w:rPr>
        <w:footnoteReference w:id="28"/>
      </w:r>
      <w:r>
        <w:rPr>
          <w:rtl w:val="0"/>
          <w:lang w:val="en-US"/>
        </w:rPr>
        <w:t xml:space="preserve"> Nurkse (1953) in fact argues that development </w:t>
      </w:r>
      <w:r>
        <w:rPr>
          <w:rFonts w:ascii="Helvetica" w:hAnsi="Helvetica"/>
          <w:i w:val="1"/>
          <w:iCs w:val="1"/>
          <w:rtl w:val="0"/>
          <w:lang w:val="en-US"/>
        </w:rPr>
        <w:t>means</w:t>
      </w:r>
      <w:r>
        <w:rPr>
          <w:rtl w:val="0"/>
          <w:lang w:val="en-US"/>
        </w:rPr>
        <w:t xml:space="preserve"> to employ the surplus labor.</w:t>
      </w:r>
      <w:r>
        <w:rPr>
          <w:vertAlign w:val="superscript"/>
        </w:rPr>
        <w:footnoteReference w:id="29"/>
      </w:r>
      <w:r>
        <w:rPr>
          <w:rtl w:val="0"/>
          <w:lang w:val="en-US"/>
        </w:rPr>
        <w:t xml:space="preserve"> The literature coincides in that the </w:t>
      </w:r>
      <w:r>
        <w:rPr>
          <w:rtl w:val="0"/>
          <w:lang w:val="en-US"/>
        </w:rPr>
        <w:t>‘</w:t>
      </w:r>
      <w:r>
        <w:rPr>
          <w:rtl w:val="0"/>
          <w:lang w:val="en-US"/>
        </w:rPr>
        <w:t>natural role</w:t>
      </w:r>
      <w:r>
        <w:rPr>
          <w:rtl w:val="0"/>
          <w:lang w:val="en-US"/>
        </w:rPr>
        <w:t xml:space="preserve">’ </w:t>
      </w:r>
      <w:r>
        <w:rPr>
          <w:rtl w:val="0"/>
          <w:lang w:val="en-US"/>
        </w:rPr>
        <w:t>of the agricultural sector is to provide labor to the industrial sector.</w:t>
      </w:r>
      <w:r>
        <w:rPr>
          <w:vertAlign w:val="superscript"/>
        </w:rPr>
        <w:footnoteReference w:id="30"/>
      </w:r>
      <w:r>
        <w:rPr>
          <w:rtl w:val="0"/>
          <w:lang w:val="en-US"/>
        </w:rPr>
        <w:t xml:space="preserve"> For example, Dixit (1973, p. 326) argues that the </w:t>
      </w:r>
      <w:r>
        <w:rPr>
          <w:rtl w:val="0"/>
          <w:lang w:val="en-US"/>
        </w:rPr>
        <w:t>“</w:t>
      </w:r>
      <w:r>
        <w:rPr>
          <w:rtl w:val="0"/>
          <w:lang w:val="en-US"/>
        </w:rPr>
        <w:t xml:space="preserve">agricultural sector </w:t>
      </w:r>
      <w:r>
        <w:rPr>
          <w:rFonts w:ascii="Helvetica" w:hAnsi="Helvetica"/>
          <w:i w:val="1"/>
          <w:iCs w:val="1"/>
          <w:rtl w:val="0"/>
          <w:lang w:val="en-US"/>
        </w:rPr>
        <w:t>must</w:t>
      </w:r>
      <w:r>
        <w:rPr>
          <w:rtl w:val="0"/>
          <w:lang w:val="en-US"/>
        </w:rPr>
        <w:t xml:space="preserve"> fulfill [...] its dual role of supplier of labour to industry and of food for the industrial labour force.</w:t>
      </w:r>
      <w:r>
        <w:rPr>
          <w:rtl w:val="0"/>
          <w:lang w:val="en-US"/>
        </w:rPr>
        <w:t>”</w:t>
      </w:r>
      <w:r>
        <w:rPr>
          <w:vertAlign w:val="superscript"/>
        </w:rPr>
        <w:footnoteReference w:id="31"/>
      </w:r>
      <w:r>
        <w:rPr>
          <w:rtl w:val="0"/>
          <w:lang w:val="en-US"/>
        </w:rPr>
        <w:t xml:space="preserve"> While Lewis (1954) in his canonical work argued that there existed an </w:t>
      </w:r>
      <w:r>
        <w:rPr>
          <w:rtl w:val="0"/>
          <w:lang w:val="en-US"/>
        </w:rPr>
        <w:t>‘</w:t>
      </w:r>
      <w:r>
        <w:rPr>
          <w:rtl w:val="0"/>
          <w:lang w:val="en-US"/>
        </w:rPr>
        <w:t>unlimited</w:t>
      </w:r>
      <w:r>
        <w:rPr>
          <w:rtl w:val="0"/>
          <w:lang w:val="en-US"/>
        </w:rPr>
        <w:t xml:space="preserve">’ </w:t>
      </w:r>
      <w:r>
        <w:rPr>
          <w:rtl w:val="0"/>
          <w:lang w:val="en-US"/>
        </w:rPr>
        <w:t xml:space="preserve">supply of agricultural labor, a word of caution is in order. The meaning of the supposedly </w:t>
      </w:r>
      <w:r>
        <w:rPr>
          <w:rtl w:val="0"/>
          <w:lang w:val="en-US"/>
        </w:rPr>
        <w:t>‘</w:t>
      </w:r>
      <w:r>
        <w:rPr>
          <w:rtl w:val="0"/>
          <w:lang w:val="en-US"/>
        </w:rPr>
        <w:t>unlimitedness</w:t>
      </w:r>
      <w:r>
        <w:rPr>
          <w:rtl w:val="0"/>
          <w:lang w:val="en-US"/>
        </w:rPr>
        <w:t xml:space="preserve">’ </w:t>
      </w:r>
      <w:r>
        <w:rPr>
          <w:rtl w:val="0"/>
          <w:lang w:val="en-US"/>
        </w:rPr>
        <w:t xml:space="preserve">of labor should </w:t>
      </w:r>
      <w:r>
        <w:rPr>
          <w:rFonts w:ascii="Helvetica" w:hAnsi="Helvetica"/>
          <w:i w:val="1"/>
          <w:iCs w:val="1"/>
          <w:rtl w:val="0"/>
          <w:lang w:val="en-US"/>
        </w:rPr>
        <w:t>not</w:t>
      </w:r>
      <w:r>
        <w:rPr>
          <w:rtl w:val="0"/>
          <w:lang w:val="en-US"/>
        </w:rPr>
        <w:t xml:space="preserve"> be taken literally, as in reality means </w:t>
      </w:r>
      <w:r>
        <w:rPr>
          <w:rFonts w:ascii="Helvetica" w:hAnsi="Helvetica"/>
          <w:i w:val="1"/>
          <w:iCs w:val="1"/>
          <w:rtl w:val="0"/>
          <w:lang w:val="en-US"/>
        </w:rPr>
        <w:t>redundant labor force</w:t>
      </w:r>
      <w:r>
        <w:rPr>
          <w:rtl w:val="0"/>
          <w:lang w:val="en-US"/>
        </w:rPr>
        <w:t>.</w:t>
      </w:r>
      <w:r>
        <w:rPr>
          <w:vertAlign w:val="superscript"/>
        </w:rPr>
        <w:footnoteReference w:id="32"/>
      </w:r>
      <w:r>
        <w:rPr>
          <w:rtl w:val="0"/>
          <w:lang w:val="en-US"/>
        </w:rPr>
        <w:t xml:space="preserve"> In fact, Nurske (1961, p. 225) points out that the concept </w:t>
      </w:r>
      <w:r>
        <w:rPr>
          <w:rtl w:val="0"/>
          <w:lang w:val="en-US"/>
        </w:rPr>
        <w:t>“</w:t>
      </w:r>
      <w:r>
        <w:rPr>
          <w:rtl w:val="0"/>
          <w:lang w:val="en-US"/>
        </w:rPr>
        <w:t>is commonly used to denote all types of rural unemployment.</w:t>
      </w:r>
      <w:r>
        <w:rPr>
          <w:rtl w:val="0"/>
          <w:lang w:val="en-US"/>
        </w:rPr>
        <w:t>”</w:t>
      </w:r>
      <w:r>
        <w:rPr>
          <w:vertAlign w:val="superscript"/>
        </w:rPr>
        <w:footnoteReference w:id="33"/>
      </w:r>
    </w:p>
    <w:p>
      <w:pPr>
        <w:pStyle w:val="Body Text"/>
        <w:jc w:val="both"/>
      </w:pPr>
      <w:r>
        <w:rPr>
          <w:rtl w:val="0"/>
          <w:lang w:val="en-US"/>
        </w:rPr>
        <w:t>The second reason for why a productive agricultural sector is key to industrial development is because efficient techniques in agricultural production are able to supply cheaper foodstuff.</w:t>
      </w:r>
      <w:r>
        <w:rPr>
          <w:vertAlign w:val="superscript"/>
        </w:rPr>
        <w:footnoteReference w:id="34"/>
      </w:r>
      <w:r>
        <w:rPr>
          <w:rtl w:val="0"/>
          <w:lang w:val="en-US"/>
        </w:rPr>
        <w:t xml:space="preserve"> “</w:t>
      </w:r>
      <w:r>
        <w:rPr>
          <w:rtl w:val="0"/>
          <w:lang w:val="en-US"/>
        </w:rPr>
        <w:t xml:space="preserve">It is </w:t>
      </w:r>
      <w:r>
        <w:rPr>
          <w:rFonts w:ascii="Helvetica" w:hAnsi="Helvetica"/>
          <w:i w:val="1"/>
          <w:iCs w:val="1"/>
          <w:rtl w:val="0"/>
          <w:lang w:val="en-US"/>
        </w:rPr>
        <w:t>self-evident</w:t>
      </w:r>
      <w:r>
        <w:rPr>
          <w:rtl w:val="0"/>
          <w:lang w:val="en-US"/>
        </w:rPr>
        <w:t xml:space="preserve"> that without increasing food output, the capitalist sector must remain in a stationary state.</w:t>
      </w:r>
      <w:r>
        <w:rPr>
          <w:rtl w:val="0"/>
          <w:lang w:val="en-US"/>
        </w:rPr>
        <w:t>”</w:t>
      </w:r>
      <w:r>
        <w:rPr>
          <w:vertAlign w:val="superscript"/>
        </w:rPr>
        <w:footnoteReference w:id="35"/>
      </w:r>
      <w:r>
        <w:rPr>
          <w:rtl w:val="0"/>
          <w:lang w:val="en-US"/>
        </w:rPr>
        <w:t xml:space="preserve"> Food surplus is a direct consequence of efficiency, and it is just as important as labor reallocation. In sum, as Kuznets (1961, p. 60) explains it, if </w:t>
      </w:r>
      <w:r>
        <w:rPr>
          <w:rtl w:val="0"/>
          <w:lang w:val="en-US"/>
        </w:rPr>
        <w:t>“</w:t>
      </w:r>
      <w:r>
        <w:rPr>
          <w:rtl w:val="0"/>
          <w:lang w:val="en-US"/>
        </w:rPr>
        <w:t>output per worker in agriculture does not rise substantially, economic growth in the first case will be stopped by scarcity of agricultural products, and in the second case by scarcity of labour.</w:t>
      </w:r>
      <w:r>
        <w:rPr>
          <w:rtl w:val="0"/>
          <w:lang w:val="en-US"/>
        </w:rPr>
        <w:t>”</w:t>
      </w:r>
    </w:p>
    <w:p>
      <w:pPr>
        <w:pStyle w:val="Body Text"/>
        <w:jc w:val="both"/>
      </w:pPr>
      <w:r>
        <w:rPr>
          <w:rtl w:val="0"/>
          <w:lang w:val="en-US"/>
        </w:rPr>
        <w:t>This structural transformation affects the labor structure as well. In fact, Harris &amp; Todaro (1970, pp. 134</w:t>
      </w:r>
      <w:r>
        <w:rPr>
          <w:rtl w:val="0"/>
          <w:lang w:val="en-US"/>
        </w:rPr>
        <w:t>–</w:t>
      </w:r>
      <w:r>
        <w:rPr>
          <w:rtl w:val="0"/>
          <w:lang w:val="en-US"/>
        </w:rPr>
        <w:t xml:space="preserve">135) explain that while </w:t>
      </w:r>
      <w:r>
        <w:rPr>
          <w:rtl w:val="0"/>
          <w:lang w:val="en-US"/>
        </w:rPr>
        <w:t>“</w:t>
      </w:r>
      <w:r>
        <w:rPr>
          <w:rtl w:val="0"/>
          <w:lang w:val="en-US"/>
        </w:rPr>
        <w:t>the creation of an additional job in the urban area reduces agricultural output through induced migration,</w:t>
      </w:r>
      <w:r>
        <w:rPr>
          <w:rtl w:val="0"/>
          <w:lang w:val="en-US"/>
        </w:rPr>
        <w:t xml:space="preserve">” </w:t>
      </w:r>
      <w:r>
        <w:rPr>
          <w:rtl w:val="0"/>
          <w:lang w:val="en-US"/>
        </w:rPr>
        <w:t>however the opposite is not true.</w:t>
      </w:r>
      <w:r>
        <w:rPr>
          <w:vertAlign w:val="superscript"/>
        </w:rPr>
        <w:footnoteReference w:id="36"/>
      </w:r>
      <w:r>
        <w:rPr>
          <w:rtl w:val="0"/>
          <w:lang w:val="en-US"/>
        </w:rPr>
        <w:t xml:space="preserve"> This implies that agriculture-industry productivity differentials </w:t>
      </w:r>
      <w:r>
        <w:rPr>
          <w:rtl w:val="0"/>
          <w:lang w:val="en-US"/>
        </w:rPr>
        <w:t>“</w:t>
      </w:r>
      <w:r>
        <w:rPr>
          <w:rtl w:val="0"/>
          <w:lang w:val="en-US"/>
        </w:rPr>
        <w:t>may even increase with development.</w:t>
      </w:r>
      <w:r>
        <w:rPr>
          <w:rtl w:val="0"/>
          <w:lang w:val="en-US"/>
        </w:rPr>
        <w:t>”</w:t>
      </w:r>
      <w:r>
        <w:rPr>
          <w:vertAlign w:val="superscript"/>
        </w:rPr>
        <w:footnoteReference w:id="37"/>
      </w:r>
      <w:r>
        <w:rPr>
          <w:rtl w:val="0"/>
          <w:lang w:val="en-US"/>
        </w:rPr>
        <w:t xml:space="preserve"> Actually, Serrano &amp; Pinilla (2016) find that in Latin America there has been a declining role of agricultural exports as industrialization levels have increased. That said, it is important to say that </w:t>
      </w:r>
      <w:r>
        <w:rPr>
          <w:rtl w:val="0"/>
          <w:lang w:val="en-US"/>
        </w:rPr>
        <w:t>“</w:t>
      </w:r>
      <w:r>
        <w:rPr>
          <w:rtl w:val="0"/>
          <w:lang w:val="en-US"/>
        </w:rPr>
        <w:t>the agricultural sector declines relative to the overall economy but continues to expand absolutely.</w:t>
      </w:r>
      <w:r>
        <w:rPr>
          <w:rtl w:val="0"/>
          <w:lang w:val="en-US"/>
        </w:rPr>
        <w:t>”</w:t>
      </w:r>
      <w:r>
        <w:rPr>
          <w:vertAlign w:val="superscript"/>
        </w:rPr>
        <w:footnoteReference w:id="38"/>
      </w:r>
      <w:r>
        <w:rPr>
          <w:rtl w:val="0"/>
          <w:lang w:val="en-US"/>
        </w:rPr>
        <w:t xml:space="preserve"> In other words, it is the </w:t>
      </w:r>
      <w:r>
        <w:rPr>
          <w:rtl w:val="0"/>
          <w:lang w:val="en-US"/>
        </w:rPr>
        <w:t>“</w:t>
      </w:r>
      <w:r>
        <w:rPr>
          <w:rtl w:val="0"/>
          <w:lang w:val="en-US"/>
        </w:rPr>
        <w:t>the proportional contribution of agriculture to the growth</w:t>
      </w:r>
      <w:r>
        <w:rPr>
          <w:rtl w:val="0"/>
          <w:lang w:val="en-US"/>
        </w:rPr>
        <w:t>”</w:t>
      </w:r>
      <w:r>
        <w:rPr>
          <w:vertAlign w:val="superscript"/>
        </w:rPr>
        <w:footnoteReference w:id="39"/>
      </w:r>
      <w:r>
        <w:rPr>
          <w:rtl w:val="0"/>
          <w:lang w:val="en-US"/>
        </w:rPr>
        <w:t xml:space="preserve"> what decays, implying that in the long run the agricultural sector </w:t>
      </w:r>
      <w:r>
        <w:rPr>
          <w:rtl w:val="0"/>
          <w:lang w:val="en-US"/>
        </w:rPr>
        <w:t>“</w:t>
      </w:r>
      <w:r>
        <w:rPr>
          <w:rtl w:val="0"/>
          <w:lang w:val="en-US"/>
        </w:rPr>
        <w:t>must also grow,</w:t>
      </w:r>
      <w:r>
        <w:rPr>
          <w:rtl w:val="0"/>
          <w:lang w:val="en-US"/>
        </w:rPr>
        <w:t>”</w:t>
      </w:r>
      <w:r>
        <w:rPr>
          <w:vertAlign w:val="superscript"/>
        </w:rPr>
        <w:footnoteReference w:id="40"/>
      </w:r>
      <w:r>
        <w:rPr>
          <w:rtl w:val="0"/>
          <w:lang w:val="en-US"/>
        </w:rPr>
        <w:t xml:space="preserve"> specially given the continuing dependence on a constant supply of food.</w:t>
      </w:r>
      <w:r>
        <w:rPr>
          <w:vertAlign w:val="superscript"/>
        </w:rPr>
        <w:footnoteReference w:id="41"/>
      </w:r>
      <w:r>
        <w:rPr>
          <w:rtl w:val="0"/>
          <w:lang w:val="en-US"/>
        </w:rPr>
        <w:t xml:space="preserve"> Next</w:t>
      </w:r>
      <w:r>
        <w:rPr>
          <w:rtl w:val="0"/>
          <w:lang w:val="en-US"/>
        </w:rPr>
        <w:t xml:space="preserve"> section</w:t>
      </w:r>
      <w:r>
        <w:rPr>
          <w:rtl w:val="0"/>
          <w:lang w:val="en-US"/>
        </w:rPr>
        <w:t xml:space="preserve"> presents two cases with special references to structural transformations and political development.</w:t>
      </w:r>
      <w:bookmarkEnd w:id="1"/>
      <w:r>
        <w:br w:type="page"/>
      </w:r>
    </w:p>
    <w:p>
      <w:pPr>
        <w:pStyle w:val="Heading"/>
        <w:jc w:val="both"/>
      </w:pPr>
      <w:bookmarkStart w:name="briefhistoricalreferenceschileandargentinacasestudies" w:id="2"/>
      <w:r>
        <w:rPr>
          <w:rtl w:val="0"/>
          <w:lang w:val="en-US"/>
        </w:rPr>
        <w:t>Brief Historical References: Chile and Argentina</w:t>
      </w:r>
      <w:bookmarkEnd w:id="2"/>
    </w:p>
    <w:p>
      <w:pPr>
        <w:pStyle w:val="Heading 4"/>
        <w:jc w:val="both"/>
      </w:pPr>
      <w:bookmarkStart w:name="chileastoryofelitecompetitionandcompromises" w:id="3"/>
      <w:r>
        <w:rPr>
          <w:rtl w:val="0"/>
          <w:lang w:val="en-US"/>
        </w:rPr>
        <w:t>Chile: A Story of Elite Competition and Compromises</w:t>
      </w:r>
    </w:p>
    <w:p>
      <w:pPr>
        <w:pStyle w:val="First Paragraph"/>
        <w:jc w:val="both"/>
      </w:pPr>
      <w:r>
        <w:rPr>
          <w:rtl w:val="0"/>
          <w:lang w:val="en-US"/>
        </w:rPr>
        <w:t>Historically, Chilean agriculturalists had been a hegemonic group protected by norms and institutions that originated in colonial times. Those norms had survived due to institutional inertia, perpetuating their advantaged position.</w:t>
      </w:r>
      <w:r>
        <w:rPr>
          <w:vertAlign w:val="superscript"/>
        </w:rPr>
        <w:footnoteReference w:id="42"/>
      </w:r>
      <w:r>
        <w:rPr>
          <w:rtl w:val="0"/>
          <w:lang w:val="en-US"/>
        </w:rPr>
        <w:t xml:space="preserve"> As Collier &amp; Collier (2002, p. 106) argue, the </w:t>
      </w:r>
      <w:r>
        <w:rPr>
          <w:rtl w:val="0"/>
          <w:lang w:val="en-US"/>
        </w:rPr>
        <w:t>“</w:t>
      </w:r>
      <w:r>
        <w:rPr>
          <w:rtl w:val="0"/>
          <w:lang w:val="en-US"/>
        </w:rPr>
        <w:t>national government was dominated by [...] owners of large agricultural holdings,</w:t>
      </w:r>
      <w:r>
        <w:rPr>
          <w:rtl w:val="0"/>
          <w:lang w:val="en-US"/>
        </w:rPr>
        <w:t>”</w:t>
      </w:r>
      <w:r>
        <w:rPr>
          <w:vertAlign w:val="superscript"/>
        </w:rPr>
        <w:footnoteReference w:id="43"/>
      </w:r>
      <w:r>
        <w:rPr>
          <w:rtl w:val="0"/>
          <w:lang w:val="en-US"/>
        </w:rPr>
        <w:t xml:space="preserve"> while Zeitlin (1984, p. 13) explains that </w:t>
      </w:r>
      <w:r>
        <w:rPr>
          <w:rtl w:val="0"/>
          <w:lang w:val="en-US"/>
        </w:rPr>
        <w:t>“</w:t>
      </w:r>
      <w:r>
        <w:rPr>
          <w:rtl w:val="0"/>
          <w:lang w:val="en-US"/>
        </w:rPr>
        <w:t xml:space="preserve">landowners controlled both the vote and the labor power of the agrarian tenants [and] peasants [...] and this was the </w:t>
      </w:r>
      <w:r>
        <w:rPr>
          <w:rFonts w:ascii="Helvetica" w:hAnsi="Helvetica"/>
          <w:i w:val="1"/>
          <w:iCs w:val="1"/>
          <w:rtl w:val="0"/>
          <w:lang w:val="en-US"/>
        </w:rPr>
        <w:t>sine qua non</w:t>
      </w:r>
      <w:r>
        <w:rPr>
          <w:rtl w:val="0"/>
          <w:lang w:val="en-US"/>
        </w:rPr>
        <w:t xml:space="preserve"> of their continuing political hegemony.</w:t>
      </w:r>
      <w:r>
        <w:rPr>
          <w:rtl w:val="0"/>
          <w:lang w:val="en-US"/>
        </w:rPr>
        <w:t xml:space="preserve">” </w:t>
      </w:r>
      <w:r>
        <w:rPr>
          <w:rtl w:val="0"/>
          <w:lang w:val="en-US"/>
        </w:rPr>
        <w:t xml:space="preserve">Similarly, Baland &amp; Robinson (2008, p. 1748) explain that </w:t>
      </w:r>
      <w:r>
        <w:rPr>
          <w:rtl w:val="0"/>
          <w:lang w:val="en-US"/>
        </w:rPr>
        <w:t>“</w:t>
      </w:r>
      <w:r>
        <w:rPr>
          <w:rtl w:val="0"/>
          <w:lang w:val="en-US"/>
        </w:rPr>
        <w:t>[c]ongressional representation was heavily weighted in favor of rural districts.</w:t>
      </w:r>
      <w:r>
        <w:rPr>
          <w:rtl w:val="0"/>
          <w:lang w:val="en-US"/>
        </w:rPr>
        <w:t xml:space="preserve">” </w:t>
      </w:r>
      <w:r>
        <w:rPr>
          <w:rtl w:val="0"/>
          <w:lang w:val="en-US"/>
        </w:rPr>
        <w:t>In the presidency also, landowners were the single most represented group.</w:t>
      </w:r>
      <w:r>
        <w:rPr>
          <w:vertAlign w:val="superscript"/>
        </w:rPr>
        <w:footnoteReference w:id="44"/>
      </w:r>
    </w:p>
    <w:p>
      <w:pPr>
        <w:pStyle w:val="Body Text"/>
        <w:jc w:val="both"/>
      </w:pPr>
      <w:r>
        <w:rPr>
          <w:rtl w:val="0"/>
          <w:lang w:val="en-US"/>
        </w:rPr>
        <w:t xml:space="preserve">While on the one hand institutions, policies and other practices were biased against industrial elites, on the other, rapid industrial growth incentivized industrial elites to form pressure groups to offset the bias against them. The little public infrastructure that existed benefited the agricultural sector only. Zeitlin (1984, p. 41) explains that </w:t>
      </w:r>
      <w:r>
        <w:rPr>
          <w:rtl w:val="0"/>
          <w:lang w:val="en-US"/>
        </w:rPr>
        <w:t>“</w:t>
      </w:r>
      <w:r>
        <w:rPr>
          <w:rtl w:val="0"/>
          <w:lang w:val="en-US"/>
        </w:rPr>
        <w:t>the Montt regime did invest in the construction of Chile</w:t>
      </w:r>
      <w:r>
        <w:rPr>
          <w:rtl w:val="0"/>
          <w:lang w:val="en-US"/>
        </w:rPr>
        <w:t>’</w:t>
      </w:r>
      <w:r>
        <w:rPr>
          <w:rtl w:val="0"/>
          <w:lang w:val="en-US"/>
        </w:rPr>
        <w:t>s railways but only in the Central Valley and south-central zones [b]ut there was no public investment [...] in railroads built in the Norte Chico mining provinces.</w:t>
      </w:r>
      <w:r>
        <w:rPr>
          <w:rtl w:val="0"/>
          <w:lang w:val="en-US"/>
        </w:rPr>
        <w:t xml:space="preserve">” </w:t>
      </w:r>
      <w:r>
        <w:rPr>
          <w:rtl w:val="0"/>
          <w:lang w:val="en-US"/>
        </w:rPr>
        <w:t xml:space="preserve">To address this situation, industrialists started to </w:t>
      </w:r>
      <w:r>
        <w:rPr>
          <w:rtl w:val="0"/>
          <w:lang w:val="en-US"/>
        </w:rPr>
        <w:t>“</w:t>
      </w:r>
      <w:r>
        <w:rPr>
          <w:rtl w:val="0"/>
          <w:lang w:val="en-US"/>
        </w:rPr>
        <w:t>form trade associations to engage in lobbying and propaganda.</w:t>
      </w:r>
      <w:r>
        <w:rPr>
          <w:rtl w:val="0"/>
          <w:lang w:val="en-US"/>
        </w:rPr>
        <w:t>”</w:t>
      </w:r>
      <w:r>
        <w:rPr>
          <w:vertAlign w:val="superscript"/>
        </w:rPr>
        <w:footnoteReference w:id="45"/>
      </w:r>
      <w:r>
        <w:rPr>
          <w:rtl w:val="0"/>
          <w:lang w:val="en-US"/>
        </w:rPr>
        <w:t xml:space="preserve"> Eventually, these interests groups turned into political parties.</w:t>
      </w:r>
      <w:r>
        <w:rPr>
          <w:vertAlign w:val="superscript"/>
        </w:rPr>
        <w:footnoteReference w:id="46"/>
      </w:r>
      <w:r>
        <w:rPr>
          <w:rtl w:val="0"/>
          <w:lang w:val="en-US"/>
        </w:rPr>
        <w:t xml:space="preserve"> These new groups, backed by their economic leverage, put pressures to open the political system in a way that allowed industrial elites to gain egalitarian political conditions and equal access to state power. While initially both elites confronted each other in two civil wars,</w:t>
      </w:r>
      <w:r>
        <w:rPr>
          <w:vertAlign w:val="superscript"/>
        </w:rPr>
        <w:footnoteReference w:id="47"/>
      </w:r>
      <w:r>
        <w:rPr>
          <w:rtl w:val="0"/>
          <w:lang w:val="en-US"/>
        </w:rPr>
        <w:t xml:space="preserve"> war was not sustainable over time. Given their relative similar degrees of economic development, both elites could mobilize armies with similar capabilities. Under egalitarian conditions to engage in conflict, there were no incentives to make war, and thus conflict was avoided generating a status of inter-sectoral cooperation.</w:t>
      </w:r>
      <w:r>
        <w:rPr>
          <w:vertAlign w:val="superscript"/>
        </w:rPr>
        <w:footnoteReference w:id="48"/>
      </w:r>
      <w:r>
        <w:rPr>
          <w:rtl w:val="0"/>
          <w:lang w:val="en-US"/>
        </w:rPr>
        <w:t xml:space="preserve"> War was then more likely to exhaust all existent assets, leaving no clear winners after the conflict.</w:t>
      </w:r>
      <w:r>
        <w:rPr>
          <w:vertAlign w:val="superscript"/>
        </w:rPr>
        <w:footnoteReference w:id="49"/>
      </w:r>
      <w:r>
        <w:rPr>
          <w:rtl w:val="0"/>
          <w:lang w:val="en-US"/>
        </w:rPr>
        <w:t xml:space="preserve"> Consequently, Chilean agricultural and industrial elites opted for a political compromise. The keystone of these inter-elite compromises was the implementation of the income tax in 1924, which marked the beginning of an institutionalization path. As others have observed, </w:t>
      </w:r>
      <w:r>
        <w:rPr>
          <w:rtl w:val="0"/>
          <w:lang w:val="en-US"/>
        </w:rPr>
        <w:t>“</w:t>
      </w:r>
      <w:r>
        <w:rPr>
          <w:rtl w:val="0"/>
          <w:lang w:val="en-US"/>
        </w:rPr>
        <w:t xml:space="preserve">[t]here was visible bargaining: [the non-agricultural sector] (reluctantly) accepted taxation, </w:t>
      </w:r>
      <w:r>
        <w:rPr>
          <w:rFonts w:ascii="Helvetica" w:hAnsi="Helvetica"/>
          <w:i w:val="1"/>
          <w:iCs w:val="1"/>
          <w:rtl w:val="0"/>
          <w:lang w:val="en-US"/>
        </w:rPr>
        <w:t>while demanding state services and expecting to influence how tax revenues were spent</w:t>
      </w:r>
      <w:r>
        <w:rPr>
          <w:rtl w:val="0"/>
          <w:lang w:val="en-US"/>
        </w:rPr>
        <w:t>.</w:t>
      </w:r>
      <w:r>
        <w:rPr>
          <w:rtl w:val="0"/>
          <w:lang w:val="en-US"/>
        </w:rPr>
        <w:t>”</w:t>
      </w:r>
      <w:r>
        <w:rPr>
          <w:vertAlign w:val="superscript"/>
        </w:rPr>
        <w:footnoteReference w:id="50"/>
      </w:r>
      <w:r>
        <w:rPr>
          <w:rtl w:val="0"/>
          <w:lang w:val="en-US"/>
        </w:rPr>
        <w:t xml:space="preserve"> The expansion of political rights </w:t>
      </w:r>
      <w:r>
        <w:rPr>
          <w:rFonts w:ascii="Helvetica" w:hAnsi="Helvetica"/>
          <w:i w:val="1"/>
          <w:iCs w:val="1"/>
          <w:rtl w:val="0"/>
          <w:lang w:val="en-US"/>
        </w:rPr>
        <w:t>among the elite</w:t>
      </w:r>
      <w:r>
        <w:rPr>
          <w:rtl w:val="0"/>
          <w:lang w:val="en-US"/>
        </w:rPr>
        <w:t xml:space="preserve"> and the rise of the industrial sector shared the same timing. As Collier (1977, p. 683) has pointed out, </w:t>
      </w:r>
      <w:r>
        <w:rPr>
          <w:rtl w:val="0"/>
          <w:lang w:val="en-US"/>
        </w:rPr>
        <w:t>“</w:t>
      </w:r>
      <w:r>
        <w:rPr>
          <w:rtl w:val="0"/>
          <w:lang w:val="en-US"/>
        </w:rPr>
        <w:t>the real story of Chilean industrialization belongs to the Parliamentary period,</w:t>
      </w:r>
      <w:r>
        <w:rPr>
          <w:rtl w:val="0"/>
          <w:lang w:val="en-US"/>
        </w:rPr>
        <w:t xml:space="preserve">” </w:t>
      </w:r>
      <w:r>
        <w:rPr>
          <w:rtl w:val="0"/>
          <w:lang w:val="en-US"/>
        </w:rPr>
        <w:t>which goes from 1891 to 1925.</w:t>
      </w:r>
    </w:p>
    <w:p>
      <w:pPr>
        <w:pStyle w:val="Body Text"/>
        <w:jc w:val="both"/>
      </w:pPr>
      <w:r>
        <w:rPr>
          <w:rtl w:val="0"/>
          <w:lang w:val="en-US"/>
        </w:rPr>
        <w:t>Both sectors were efficient. While some have argued that the agriculture sector was a backwards sector,</w:t>
      </w:r>
      <w:r>
        <w:rPr>
          <w:vertAlign w:val="superscript"/>
        </w:rPr>
        <w:footnoteReference w:id="51"/>
      </w:r>
      <w:r>
        <w:rPr>
          <w:rtl w:val="0"/>
          <w:lang w:val="en-US"/>
        </w:rPr>
        <w:t xml:space="preserve"> Robles-Ortiz (2009, p. 511) has been the main referent to argue the contrary. He explains that agriculturalists adopted different mechanization processes, remarkably increasing its productivity and output. As predicted by the dual economy model, this led to a reallocation of labor, </w:t>
      </w:r>
      <w:r>
        <w:rPr>
          <w:rtl w:val="0"/>
          <w:lang w:val="en-US"/>
        </w:rPr>
        <w:t>“</w:t>
      </w:r>
      <w:r>
        <w:rPr>
          <w:rtl w:val="0"/>
          <w:lang w:val="en-US"/>
        </w:rPr>
        <w:t>especially in the 1870s with the onset of the nitrate economy [when] thousands of men left the countryside.</w:t>
      </w:r>
      <w:r>
        <w:rPr>
          <w:rtl w:val="0"/>
          <w:lang w:val="en-US"/>
        </w:rPr>
        <w:t>”</w:t>
      </w:r>
      <w:r>
        <w:rPr>
          <w:vertAlign w:val="superscript"/>
        </w:rPr>
        <w:footnoteReference w:id="52"/>
      </w:r>
      <w:r>
        <w:rPr>
          <w:rtl w:val="0"/>
          <w:lang w:val="en-US"/>
        </w:rPr>
        <w:t xml:space="preserve"> In fact, Segall (1962, p. 18) explains that the mining sector attracted so much labor that the countryside eventually run out of enough labor. He explains that by 1843, the landowning elite taking advantage of its advantaged political position would implement in Congress a law granting policeman the duty to force unemployed individuals without a known contract to work forcefully in the fields.</w:t>
      </w:r>
      <w:r>
        <w:rPr>
          <w:vertAlign w:val="superscript"/>
        </w:rPr>
        <w:footnoteReference w:id="53"/>
      </w:r>
      <w:r>
        <w:rPr>
          <w:rtl w:val="0"/>
          <w:lang w:val="en-US"/>
        </w:rPr>
        <w:t xml:space="preserve"> Moreover, the scarcity of rural labor around 1873 forced to pay laborers </w:t>
      </w:r>
      <w:r>
        <w:rPr>
          <w:rtl w:val="0"/>
          <w:lang w:val="en-US"/>
        </w:rPr>
        <w:t>“</w:t>
      </w:r>
      <w:r>
        <w:rPr>
          <w:rtl w:val="0"/>
          <w:lang w:val="en-US"/>
        </w:rPr>
        <w:t>twice as much as peons earned in the winter,</w:t>
      </w:r>
      <w:r>
        <w:rPr>
          <w:rtl w:val="0"/>
          <w:lang w:val="en-US"/>
        </w:rPr>
        <w:t>”</w:t>
      </w:r>
      <w:r>
        <w:rPr>
          <w:vertAlign w:val="superscript"/>
        </w:rPr>
        <w:footnoteReference w:id="54"/>
      </w:r>
      <w:r>
        <w:rPr>
          <w:rtl w:val="0"/>
          <w:lang w:val="en-US"/>
        </w:rPr>
        <w:t xml:space="preserve"> exacerbating the inter-sectoral conflict.</w:t>
      </w:r>
      <w:bookmarkEnd w:id="3"/>
    </w:p>
    <w:p>
      <w:pPr>
        <w:pStyle w:val="Heading 4"/>
        <w:jc w:val="both"/>
      </w:pPr>
      <w:bookmarkStart w:name="argentinaastoryofstructuralimbalances" w:id="4"/>
      <w:r>
        <w:rPr>
          <w:rtl w:val="0"/>
          <w:lang w:val="en-US"/>
        </w:rPr>
        <w:t>Argentina: A Story of Structural Imbalances</w:t>
      </w:r>
    </w:p>
    <w:p>
      <w:pPr>
        <w:pStyle w:val="First Paragraph"/>
        <w:jc w:val="both"/>
      </w:pPr>
      <w:r>
        <w:rPr>
          <w:rtl w:val="0"/>
          <w:lang w:val="en-US"/>
        </w:rPr>
        <w:t>In Argentina, there were two elites as well. Traditionally, it has been argued that the economic cleavage was between an export-oriented sector and an import-oriented sector. Based on the observation of others, I consider the overlap between the export and agricultural sectors, and the overlap between the import and the industrial sectors. As D</w:t>
      </w:r>
      <w:r>
        <w:rPr>
          <w:rtl w:val="0"/>
          <w:lang w:val="en-US"/>
        </w:rPr>
        <w:t>í</w:t>
      </w:r>
      <w:r>
        <w:rPr>
          <w:rtl w:val="0"/>
          <w:lang w:val="en-US"/>
        </w:rPr>
        <w:t xml:space="preserve">az-Alejandro (1966, p. 25) argues in his classic series of papers, </w:t>
      </w:r>
      <w:r>
        <w:rPr>
          <w:rtl w:val="0"/>
          <w:lang w:val="en-US"/>
        </w:rPr>
        <w:t>“</w:t>
      </w:r>
      <w:r>
        <w:rPr>
          <w:rtl w:val="0"/>
          <w:lang w:val="en-US"/>
        </w:rPr>
        <w:t>while the correspondence between exports and rural products, and between imports and manufactured goods has not been perfect [...] such correspondence has been quite close.</w:t>
      </w:r>
      <w:r>
        <w:rPr>
          <w:rtl w:val="0"/>
          <w:lang w:val="en-US"/>
        </w:rPr>
        <w:t>”</w:t>
      </w:r>
      <w:r>
        <w:rPr>
          <w:vertAlign w:val="superscript"/>
        </w:rPr>
        <w:footnoteReference w:id="55"/>
      </w:r>
    </w:p>
    <w:p>
      <w:pPr>
        <w:pStyle w:val="Body Text"/>
        <w:jc w:val="both"/>
      </w:pPr>
      <w:r>
        <w:rPr>
          <w:rtl w:val="0"/>
          <w:lang w:val="en-US"/>
        </w:rPr>
        <w:t xml:space="preserve">This case presents an interesting paradox. The Argentinean industrial sector was weaker compared to the Chilean industrial sector, however the former grew faster than the later. As some have argued, there </w:t>
      </w:r>
      <w:r>
        <w:rPr>
          <w:rtl w:val="0"/>
          <w:lang w:val="en-US"/>
        </w:rPr>
        <w:t>“</w:t>
      </w:r>
      <w:r>
        <w:rPr>
          <w:rtl w:val="0"/>
          <w:lang w:val="en-US"/>
        </w:rPr>
        <w:t>is little disagreement among economists that the period from 1875 to the eve of World War I [was] the Golden Age [...] of Argentinean economic history.</w:t>
      </w:r>
      <w:r>
        <w:rPr>
          <w:rtl w:val="0"/>
          <w:lang w:val="en-US"/>
        </w:rPr>
        <w:t>”</w:t>
      </w:r>
      <w:r>
        <w:rPr>
          <w:vertAlign w:val="superscript"/>
        </w:rPr>
        <w:footnoteReference w:id="56"/>
      </w:r>
      <w:r>
        <w:rPr>
          <w:rtl w:val="0"/>
          <w:lang w:val="en-US"/>
        </w:rPr>
        <w:t xml:space="preserve"> However, as Bulmer-Thomas (2003, p. 136) puts it, Argentina </w:t>
      </w:r>
      <w:r>
        <w:rPr>
          <w:rtl w:val="0"/>
          <w:lang w:val="en-US"/>
        </w:rPr>
        <w:t>“</w:t>
      </w:r>
      <w:r>
        <w:rPr>
          <w:rtl w:val="0"/>
          <w:lang w:val="en-US"/>
        </w:rPr>
        <w:t xml:space="preserve">had a relatively backward industrial structure for a country of its income and wealth. </w:t>
      </w:r>
      <w:r>
        <w:rPr>
          <w:rFonts w:ascii="Helvetica" w:hAnsi="Helvetica"/>
          <w:i w:val="1"/>
          <w:iCs w:val="1"/>
          <w:rtl w:val="0"/>
          <w:lang w:val="en-US"/>
        </w:rPr>
        <w:t>Indeed, industrial labor productivity was lower than in Chile</w:t>
      </w:r>
      <w:r>
        <w:rPr>
          <w:rtl w:val="0"/>
          <w:lang w:val="en-US"/>
        </w:rPr>
        <w:t xml:space="preserve"> [...] </w:t>
      </w:r>
      <w:r>
        <w:rPr>
          <w:rFonts w:ascii="Helvetica" w:hAnsi="Helvetica"/>
          <w:i w:val="1"/>
          <w:iCs w:val="1"/>
          <w:rtl w:val="0"/>
          <w:lang w:val="en-US"/>
        </w:rPr>
        <w:t>despite Argentina</w:t>
      </w:r>
      <w:r>
        <w:rPr>
          <w:rFonts w:ascii="Helvetica" w:hAnsi="Helvetica" w:hint="default"/>
          <w:i w:val="1"/>
          <w:iCs w:val="1"/>
          <w:rtl w:val="0"/>
          <w:lang w:val="en-US"/>
        </w:rPr>
        <w:t>’</w:t>
      </w:r>
      <w:r>
        <w:rPr>
          <w:rFonts w:ascii="Helvetica" w:hAnsi="Helvetica"/>
          <w:i w:val="1"/>
          <w:iCs w:val="1"/>
          <w:rtl w:val="0"/>
          <w:lang w:val="en-US"/>
        </w:rPr>
        <w:t>s superior income per head</w:t>
      </w:r>
      <w:r>
        <w:rPr>
          <w:rtl w:val="0"/>
          <w:lang w:val="en-US"/>
        </w:rPr>
        <w:t>.</w:t>
      </w:r>
      <w:r>
        <w:rPr>
          <w:rtl w:val="0"/>
          <w:lang w:val="en-US"/>
        </w:rPr>
        <w:t>”</w:t>
      </w:r>
      <w:r>
        <w:rPr>
          <w:vertAlign w:val="superscript"/>
        </w:rPr>
        <w:footnoteReference w:id="57"/>
      </w:r>
      <w:r>
        <w:rPr>
          <w:rtl w:val="0"/>
          <w:lang w:val="en-US"/>
        </w:rPr>
        <w:t xml:space="preserve"> The paradox can be explained by Argentina</w:t>
      </w:r>
      <w:r>
        <w:rPr>
          <w:rtl w:val="0"/>
          <w:lang w:val="en-US"/>
        </w:rPr>
        <w:t>’</w:t>
      </w:r>
      <w:r>
        <w:rPr>
          <w:rtl w:val="0"/>
          <w:lang w:val="en-US"/>
        </w:rPr>
        <w:t>s weak inter-elite structure, but particularly by the weakness of the industrial elite. The literature seems to agree on this point. Bulmer-Thomas (2003, p. 188) explains that among the factors that explain Argentina</w:t>
      </w:r>
      <w:r>
        <w:rPr>
          <w:rtl w:val="0"/>
          <w:lang w:val="en-US"/>
        </w:rPr>
        <w:t>’</w:t>
      </w:r>
      <w:r>
        <w:rPr>
          <w:rtl w:val="0"/>
          <w:lang w:val="en-US"/>
        </w:rPr>
        <w:t xml:space="preserve">s failure was </w:t>
      </w:r>
      <w:r>
        <w:rPr>
          <w:rtl w:val="0"/>
          <w:lang w:val="en-US"/>
        </w:rPr>
        <w:t>“</w:t>
      </w:r>
      <w:r>
        <w:rPr>
          <w:rtl w:val="0"/>
          <w:lang w:val="en-US"/>
        </w:rPr>
        <w:t>a social infrastructure geared to agroexports [</w:t>
      </w:r>
      <w:r>
        <w:rPr>
          <w:rFonts w:ascii="Helvetica" w:hAnsi="Helvetica"/>
          <w:i w:val="1"/>
          <w:iCs w:val="1"/>
          <w:rtl w:val="0"/>
          <w:lang w:val="en-US"/>
        </w:rPr>
        <w:t>and</w:t>
      </w:r>
      <w:r>
        <w:rPr>
          <w:rtl w:val="0"/>
          <w:lang w:val="en-US"/>
        </w:rPr>
        <w:t xml:space="preserve">] </w:t>
      </w:r>
      <w:r>
        <w:rPr>
          <w:rFonts w:ascii="Helvetica" w:hAnsi="Helvetica"/>
          <w:i w:val="1"/>
          <w:iCs w:val="1"/>
          <w:rtl w:val="0"/>
          <w:lang w:val="en-US"/>
        </w:rPr>
        <w:t>a powerful rural elite</w:t>
      </w:r>
      <w:r>
        <w:rPr>
          <w:rtl w:val="0"/>
          <w:lang w:val="en-US"/>
        </w:rPr>
        <w:t>.</w:t>
      </w:r>
      <w:r>
        <w:rPr>
          <w:rtl w:val="0"/>
          <w:lang w:val="en-US"/>
        </w:rPr>
        <w:t xml:space="preserve">” </w:t>
      </w:r>
      <w:r>
        <w:rPr>
          <w:rtl w:val="0"/>
          <w:lang w:val="en-US"/>
        </w:rPr>
        <w:t xml:space="preserve">A relatively powerful traditional sector suffocated the full potential of the modern sector, denying industrialists </w:t>
      </w:r>
      <w:r>
        <w:rPr>
          <w:rtl w:val="0"/>
          <w:lang w:val="en-US"/>
        </w:rPr>
        <w:t>“</w:t>
      </w:r>
      <w:r>
        <w:rPr>
          <w:rtl w:val="0"/>
          <w:lang w:val="en-US"/>
        </w:rPr>
        <w:t>the same status [the] agroexports</w:t>
      </w:r>
      <w:r>
        <w:rPr>
          <w:rtl w:val="0"/>
          <w:lang w:val="en-US"/>
        </w:rPr>
        <w:t xml:space="preserve">” </w:t>
      </w:r>
      <w:r>
        <w:rPr>
          <w:rtl w:val="0"/>
          <w:lang w:val="en-US"/>
        </w:rPr>
        <w:t>had.</w:t>
      </w:r>
      <w:r>
        <w:rPr>
          <w:vertAlign w:val="superscript"/>
        </w:rPr>
        <w:footnoteReference w:id="58"/>
      </w:r>
      <w:r>
        <w:rPr>
          <w:rtl w:val="0"/>
          <w:lang w:val="en-US"/>
        </w:rPr>
        <w:t xml:space="preserve"> And while the landed elites did promote industrialization via protectionist tariffs, they did so by imposing </w:t>
      </w:r>
      <w:r>
        <w:rPr>
          <w:rtl w:val="0"/>
          <w:lang w:val="en-US"/>
        </w:rPr>
        <w:t>“</w:t>
      </w:r>
      <w:r>
        <w:rPr>
          <w:rtl w:val="0"/>
          <w:lang w:val="en-US"/>
        </w:rPr>
        <w:t>modest tariff protection</w:t>
      </w:r>
      <w:r>
        <w:rPr>
          <w:rtl w:val="0"/>
          <w:lang w:val="en-US"/>
        </w:rPr>
        <w:t>”</w:t>
      </w:r>
      <w:r>
        <w:rPr>
          <w:vertAlign w:val="superscript"/>
        </w:rPr>
        <w:footnoteReference w:id="59"/>
      </w:r>
      <w:r>
        <w:rPr>
          <w:rtl w:val="0"/>
          <w:lang w:val="en-US"/>
        </w:rPr>
        <w:t xml:space="preserve"> which moreover were </w:t>
      </w:r>
      <w:r>
        <w:rPr>
          <w:rtl w:val="0"/>
          <w:lang w:val="en-US"/>
        </w:rPr>
        <w:t>“</w:t>
      </w:r>
      <w:r>
        <w:rPr>
          <w:rtl w:val="0"/>
          <w:lang w:val="en-US"/>
        </w:rPr>
        <w:t>not always consistent.</w:t>
      </w:r>
      <w:r>
        <w:rPr>
          <w:rtl w:val="0"/>
          <w:lang w:val="en-US"/>
        </w:rPr>
        <w:t>”</w:t>
      </w:r>
      <w:r>
        <w:rPr>
          <w:vertAlign w:val="superscript"/>
        </w:rPr>
        <w:footnoteReference w:id="60"/>
      </w:r>
      <w:r>
        <w:rPr>
          <w:rtl w:val="0"/>
          <w:lang w:val="en-US"/>
        </w:rPr>
        <w:t xml:space="preserve"> Thus, while agriculturalists were more cohesive than industrialists, they were still a weak class on its own. As others have argued, landowners had a hard time obtaining </w:t>
      </w:r>
      <w:r>
        <w:rPr>
          <w:rtl w:val="0"/>
          <w:lang w:val="en-US"/>
        </w:rPr>
        <w:t>“</w:t>
      </w:r>
      <w:r>
        <w:rPr>
          <w:rtl w:val="0"/>
          <w:lang w:val="en-US"/>
        </w:rPr>
        <w:t>certain types of inputs (fertilizers, tractors, etc.) which could conceivably have allowed it to react to the decline in the real prices [...] by increasing productivity.</w:t>
      </w:r>
      <w:r>
        <w:rPr>
          <w:rtl w:val="0"/>
          <w:lang w:val="en-US"/>
        </w:rPr>
        <w:t>”</w:t>
      </w:r>
      <w:r>
        <w:rPr>
          <w:vertAlign w:val="superscript"/>
        </w:rPr>
        <w:footnoteReference w:id="61"/>
      </w:r>
      <w:r>
        <w:rPr>
          <w:rtl w:val="0"/>
          <w:lang w:val="en-US"/>
        </w:rPr>
        <w:t xml:space="preserve"> Agricultural research was very limited too.</w:t>
      </w:r>
      <w:r>
        <w:rPr>
          <w:vertAlign w:val="superscript"/>
        </w:rPr>
        <w:footnoteReference w:id="62"/>
      </w:r>
      <w:r>
        <w:rPr>
          <w:rtl w:val="0"/>
          <w:lang w:val="en-US"/>
        </w:rPr>
        <w:t xml:space="preserve"> Not surprisingly, </w:t>
      </w:r>
      <w:r>
        <w:rPr>
          <w:rtl w:val="0"/>
          <w:lang w:val="en-US"/>
        </w:rPr>
        <w:t>“</w:t>
      </w:r>
      <w:r>
        <w:rPr>
          <w:rtl w:val="0"/>
          <w:lang w:val="en-US"/>
        </w:rPr>
        <w:t>in 1952 Argentina even had to spend precious foreign exchange to import wheat,</w:t>
      </w:r>
      <w:r>
        <w:rPr>
          <w:rtl w:val="0"/>
          <w:lang w:val="en-US"/>
        </w:rPr>
        <w:t>”</w:t>
      </w:r>
      <w:r>
        <w:rPr>
          <w:vertAlign w:val="superscript"/>
        </w:rPr>
        <w:footnoteReference w:id="63"/>
      </w:r>
      <w:r>
        <w:rPr>
          <w:rtl w:val="0"/>
          <w:lang w:val="en-US"/>
        </w:rPr>
        <w:t xml:space="preserve"> suggesting a complete mis-allocation of agricultural resources, and overall, supreme inefficiency regarding food production.</w:t>
      </w:r>
    </w:p>
    <w:p>
      <w:pPr>
        <w:pStyle w:val="Body Text"/>
        <w:jc w:val="both"/>
      </w:pPr>
      <w:r>
        <w:rPr>
          <w:rtl w:val="0"/>
          <w:lang w:val="en-US"/>
        </w:rPr>
        <w:t xml:space="preserve">In sum, these remarks suggest that </w:t>
      </w:r>
      <w:r>
        <w:rPr>
          <w:rFonts w:ascii="Helvetica" w:hAnsi="Helvetica"/>
          <w:i w:val="1"/>
          <w:iCs w:val="1"/>
          <w:rtl w:val="0"/>
          <w:lang w:val="en-US"/>
        </w:rPr>
        <w:t>un</w:t>
      </w:r>
      <w:r>
        <w:rPr>
          <w:rtl w:val="0"/>
          <w:lang w:val="en-US"/>
        </w:rPr>
        <w:t>balanced economic growth is associated with inter-sectoral political disparities, compromising long-term economic growth and further investments in state institutions. In an effort to suggest that this hypothesis could be generalized to other countries in Latin America, next provides evidence of different time-series models.</w:t>
      </w:r>
      <w:bookmarkEnd w:id="4"/>
      <w:r>
        <w:br w:type="page"/>
      </w:r>
    </w:p>
    <w:p>
      <w:pPr>
        <w:pStyle w:val="Heading"/>
        <w:jc w:val="both"/>
      </w:pPr>
      <w:bookmarkStart w:name="timeseriesanalysesvectorautoregressivemodelsandgrangercausalitytestsmethods" w:id="5"/>
      <w:r>
        <w:rPr>
          <w:rtl w:val="0"/>
          <w:lang w:val="en-US"/>
        </w:rPr>
        <w:t>Time Series Analyses: Vector Autoregressive Models and Granger Causality Tests</w:t>
      </w:r>
      <w:bookmarkEnd w:id="5"/>
    </w:p>
    <w:p>
      <w:pPr>
        <w:pStyle w:val="Default"/>
        <w:bidi w:val="0"/>
        <w:spacing w:after="240" w:line="180" w:lineRule="atLeast"/>
        <w:ind w:left="4683" w:right="0" w:firstLine="0"/>
        <w:jc w:val="both"/>
        <w:rPr>
          <w:rFonts w:ascii="Times" w:cs="Times" w:hAnsi="Times" w:eastAsia="Times"/>
          <w:b w:val="1"/>
          <w:bCs w:val="1"/>
          <w:i w:val="1"/>
          <w:iCs w:val="1"/>
          <w:sz w:val="16"/>
          <w:szCs w:val="16"/>
          <w:rtl w:val="0"/>
        </w:rPr>
      </w:pPr>
      <w:r>
        <w:rPr>
          <w:rFonts w:ascii="Times" w:hAnsi="Times"/>
          <w:i w:val="1"/>
          <w:iCs w:val="1"/>
          <w:sz w:val="16"/>
          <w:szCs w:val="16"/>
          <w:rtl w:val="0"/>
          <w:lang w:val="en-US"/>
        </w:rPr>
        <w:t>what a sector does is not fully attributable or credited to it but is contingent upon what happens in the other sectors</w:t>
      </w:r>
      <w:r>
        <w:rPr>
          <w:rFonts w:ascii="Times" w:hAnsi="Times"/>
          <w:sz w:val="16"/>
          <w:szCs w:val="16"/>
          <w:rtl w:val="0"/>
        </w:rPr>
        <w:t xml:space="preserve"> </w:t>
      </w:r>
      <w:r>
        <w:rPr>
          <w:rFonts w:ascii="Arial Unicode MS" w:cs="Arial Unicode MS" w:hAnsi="Arial Unicode MS" w:eastAsia="Arial Unicode MS"/>
          <w:b w:val="0"/>
          <w:bCs w:val="0"/>
          <w:i w:val="0"/>
          <w:iCs w:val="0"/>
          <w:sz w:val="16"/>
          <w:szCs w:val="16"/>
          <w:rtl w:val="0"/>
        </w:rPr>
        <w:br w:type="textWrapping"/>
      </w:r>
      <w:r>
        <w:rPr>
          <w:rFonts w:ascii="Times" w:hAnsi="Times"/>
          <w:b w:val="1"/>
          <w:bCs w:val="1"/>
          <w:i w:val="1"/>
          <w:iCs w:val="1"/>
          <w:sz w:val="16"/>
          <w:szCs w:val="16"/>
          <w:rtl w:val="0"/>
          <w:lang w:val="pt-PT"/>
        </w:rPr>
        <w:t xml:space="preserve">Kuznets [1961, 41] </w:t>
      </w:r>
    </w:p>
    <w:p>
      <w:pPr>
        <w:pStyle w:val="Default"/>
        <w:bidi w:val="0"/>
        <w:spacing w:after="240" w:line="180" w:lineRule="atLeast"/>
        <w:ind w:left="4683" w:right="0" w:firstLine="0"/>
        <w:jc w:val="both"/>
        <w:rPr>
          <w:rFonts w:ascii="Times" w:cs="Times" w:hAnsi="Times" w:eastAsia="Times"/>
          <w:i w:val="1"/>
          <w:iCs w:val="1"/>
          <w:color w:val="000000"/>
          <w:sz w:val="16"/>
          <w:szCs w:val="16"/>
          <w:rtl w:val="0"/>
        </w:rPr>
      </w:pPr>
      <w:r>
        <w:rPr>
          <w:rFonts w:ascii="Times" w:hAnsi="Times"/>
          <w:i w:val="1"/>
          <w:iCs w:val="1"/>
          <w:sz w:val="16"/>
          <w:szCs w:val="16"/>
          <w:rtl w:val="0"/>
          <w:lang w:val="en-US"/>
        </w:rPr>
        <w:t>Structural change is clearly an endogenous process, driven by a variety of economic forces [...] also in the statistical sense</w:t>
      </w:r>
      <w:r>
        <w:rPr>
          <w:rFonts w:ascii="Arial Unicode MS" w:cs="Arial Unicode MS" w:hAnsi="Arial Unicode MS" w:eastAsia="Arial Unicode MS"/>
          <w:b w:val="0"/>
          <w:bCs w:val="0"/>
          <w:i w:val="0"/>
          <w:iCs w:val="0"/>
          <w:sz w:val="16"/>
          <w:szCs w:val="16"/>
          <w:rtl w:val="0"/>
        </w:rPr>
        <w:br w:type="textWrapping"/>
      </w:r>
      <w:r>
        <w:rPr>
          <w:rFonts w:ascii="Times" w:hAnsi="Times"/>
          <w:b w:val="1"/>
          <w:bCs w:val="1"/>
          <w:i w:val="1"/>
          <w:iCs w:val="1"/>
          <w:sz w:val="16"/>
          <w:szCs w:val="16"/>
          <w:rtl w:val="0"/>
          <w:lang w:val="en-US"/>
        </w:rPr>
        <w:t>Temple and W</w:t>
      </w:r>
      <w:r>
        <w:rPr>
          <w:rFonts w:ascii="Times" w:hAnsi="Times" w:hint="default"/>
          <w:b w:val="1"/>
          <w:bCs w:val="1"/>
          <w:i w:val="1"/>
          <w:iCs w:val="1"/>
          <w:sz w:val="16"/>
          <w:szCs w:val="16"/>
          <w:rtl w:val="0"/>
          <w:lang w:val="de-DE"/>
        </w:rPr>
        <w:t>öß</w:t>
      </w:r>
      <w:r>
        <w:rPr>
          <w:rFonts w:ascii="Times" w:hAnsi="Times"/>
          <w:b w:val="1"/>
          <w:bCs w:val="1"/>
          <w:i w:val="1"/>
          <w:iCs w:val="1"/>
          <w:sz w:val="16"/>
          <w:szCs w:val="16"/>
          <w:rtl w:val="0"/>
          <w:lang w:val="pt-PT"/>
        </w:rPr>
        <w:t xml:space="preserve">mann [2006, 212] </w:t>
      </w:r>
    </w:p>
    <w:p>
      <w:pPr>
        <w:pStyle w:val="First Paragraph"/>
        <w:jc w:val="both"/>
      </w:pPr>
    </w:p>
    <w:p>
      <w:pPr>
        <w:pStyle w:val="Heading 4"/>
        <w:jc w:val="both"/>
      </w:pPr>
      <w:bookmarkStart w:name="grangercausalitytests" w:id="6"/>
      <w:r>
        <w:rPr>
          <w:rtl w:val="0"/>
          <w:lang w:val="en-US"/>
        </w:rPr>
        <w:t>Granger-causality Tests</w:t>
      </w:r>
    </w:p>
    <w:p>
      <w:pPr>
        <w:pStyle w:val="First Paragraph"/>
        <w:jc w:val="both"/>
      </w:pPr>
      <w:r>
        <w:rPr>
          <w:rtl w:val="0"/>
          <w:lang w:val="en-US"/>
        </w:rPr>
        <w:t xml:space="preserve">The emergence of a new industrial sector rose a new politically disenfranchised elite who demanded political and economic reforms beneficial to them, ending years of political sectoral unbalances. In exchange for these demands, the industrial sector accepted to be income-taxed, setting countries in a path of both political and long-run economic development. The income tax, as an institution that contributed to develop further state capacities and institutional development, should then be associated with long-term economic growth, and consequently with a secular decline of agriculture and substantial expansion of manufacturing. To confirm this hypothesis, the theory should pass a number of tests. First, </w:t>
      </w:r>
      <w:r>
        <w:rPr>
          <w:rFonts w:ascii="Helvetica" w:hAnsi="Helvetica"/>
          <w:i w:val="1"/>
          <w:iCs w:val="1"/>
          <w:rtl w:val="0"/>
          <w:lang w:val="en-US"/>
        </w:rPr>
        <w:t>before</w:t>
      </w:r>
      <w:r>
        <w:rPr>
          <w:rtl w:val="0"/>
          <w:lang w:val="en-US"/>
        </w:rPr>
        <w:t xml:space="preserve"> the inter-sectoral compromises (i.e., before the income tax law was implemented), political institutions and social norms inherited from the colonial period were designed to allocate economic inputs (and hence </w:t>
      </w:r>
      <w:r>
        <w:rPr>
          <w:rFonts w:ascii="Helvetica" w:hAnsi="Helvetica"/>
          <w:i w:val="1"/>
          <w:iCs w:val="1"/>
          <w:rtl w:val="0"/>
          <w:lang w:val="en-US"/>
        </w:rPr>
        <w:t>growth</w:t>
      </w:r>
      <w:r>
        <w:rPr>
          <w:rtl w:val="0"/>
          <w:lang w:val="en-US"/>
        </w:rPr>
        <w:t xml:space="preserve">) in a way that benefited the landowning class only. Hence, I expect the transference of economic inputs went </w:t>
      </w:r>
      <w:r>
        <w:rPr>
          <w:rFonts w:ascii="Helvetica" w:hAnsi="Helvetica"/>
          <w:i w:val="1"/>
          <w:iCs w:val="1"/>
          <w:rtl w:val="0"/>
          <w:lang w:val="en-US"/>
        </w:rPr>
        <w:t>from</w:t>
      </w:r>
      <w:r>
        <w:rPr>
          <w:rtl w:val="0"/>
          <w:lang w:val="en-US"/>
        </w:rPr>
        <w:t xml:space="preserve"> the industrial sector </w:t>
      </w:r>
      <w:r>
        <w:rPr>
          <w:rFonts w:ascii="Helvetica" w:hAnsi="Helvetica"/>
          <w:i w:val="1"/>
          <w:iCs w:val="1"/>
          <w:rtl w:val="0"/>
          <w:lang w:val="en-US"/>
        </w:rPr>
        <w:t>to</w:t>
      </w:r>
      <w:r>
        <w:rPr>
          <w:rtl w:val="0"/>
          <w:lang w:val="en-US"/>
        </w:rPr>
        <w:t xml:space="preserve"> the agriculture sector, a </w:t>
      </w:r>
      <w:r>
        <w:rPr>
          <w:rFonts w:ascii="Helvetica" w:hAnsi="Helvetica"/>
          <w:i w:val="1"/>
          <w:iCs w:val="1"/>
          <w:rtl w:val="0"/>
          <w:lang w:val="en-US"/>
        </w:rPr>
        <w:t>backwards</w:t>
      </w:r>
      <w:r>
        <w:rPr>
          <w:rtl w:val="0"/>
          <w:lang w:val="en-US"/>
        </w:rPr>
        <w:t xml:space="preserve"> equilibrium as stated by the dual sector model. Second, </w:t>
      </w:r>
      <w:r>
        <w:rPr>
          <w:rFonts w:ascii="Helvetica" w:hAnsi="Helvetica"/>
          <w:i w:val="1"/>
          <w:iCs w:val="1"/>
          <w:rtl w:val="0"/>
          <w:lang w:val="en-US"/>
        </w:rPr>
        <w:t>after</w:t>
      </w:r>
      <w:r>
        <w:rPr>
          <w:rtl w:val="0"/>
          <w:lang w:val="en-US"/>
        </w:rPr>
        <w:t xml:space="preserve"> the income tax was implemented, we should see a </w:t>
      </w:r>
      <w:r>
        <w:rPr>
          <w:rFonts w:ascii="Helvetica" w:hAnsi="Helvetica"/>
          <w:i w:val="1"/>
          <w:iCs w:val="1"/>
          <w:rtl w:val="0"/>
          <w:lang w:val="en-US"/>
        </w:rPr>
        <w:t>reversion</w:t>
      </w:r>
      <w:r>
        <w:rPr>
          <w:rtl w:val="0"/>
          <w:lang w:val="en-US"/>
        </w:rPr>
        <w:t xml:space="preserve"> of the flow of inputs, generating growth </w:t>
      </w:r>
      <w:r>
        <w:rPr>
          <w:rFonts w:ascii="Helvetica" w:hAnsi="Helvetica"/>
          <w:i w:val="1"/>
          <w:iCs w:val="1"/>
          <w:rtl w:val="0"/>
          <w:lang w:val="en-US"/>
        </w:rPr>
        <w:t>from</w:t>
      </w:r>
      <w:r>
        <w:rPr>
          <w:rtl w:val="0"/>
          <w:lang w:val="en-US"/>
        </w:rPr>
        <w:t xml:space="preserve"> the agricultural sector </w:t>
      </w:r>
      <w:r>
        <w:rPr>
          <w:rFonts w:ascii="Helvetica" w:hAnsi="Helvetica"/>
          <w:i w:val="1"/>
          <w:iCs w:val="1"/>
          <w:rtl w:val="0"/>
          <w:lang w:val="en-US"/>
        </w:rPr>
        <w:t>to</w:t>
      </w:r>
      <w:r>
        <w:rPr>
          <w:rtl w:val="0"/>
          <w:lang w:val="en-US"/>
        </w:rPr>
        <w:t xml:space="preserve"> the industrial sector. In econometric terms, we should see that the income tax reverted the way in which one sector </w:t>
      </w:r>
      <w:r>
        <w:rPr>
          <w:rtl w:val="0"/>
          <w:lang w:val="en-US"/>
        </w:rPr>
        <w:t>‘</w:t>
      </w:r>
      <w:r>
        <w:rPr>
          <w:rtl w:val="0"/>
          <w:lang w:val="en-US"/>
        </w:rPr>
        <w:t>Granger-caused</w:t>
      </w:r>
      <w:r>
        <w:rPr>
          <w:rtl w:val="0"/>
          <w:lang w:val="en-US"/>
        </w:rPr>
        <w:t xml:space="preserve">’ </w:t>
      </w:r>
      <w:r>
        <w:rPr>
          <w:rtl w:val="0"/>
          <w:lang w:val="en-US"/>
        </w:rPr>
        <w:t>the other.</w:t>
      </w:r>
      <w:r>
        <w:rPr>
          <w:vertAlign w:val="superscript"/>
        </w:rPr>
        <w:footnoteReference w:id="64"/>
      </w:r>
      <w:r>
        <w:rPr>
          <w:rtl w:val="0"/>
          <w:lang w:val="en-US"/>
        </w:rPr>
        <w:t xml:space="preserve"> Lutkepohl (2006, p. 42) explains that if some variable  forecasts variable  (and not vise versa),  is said to </w:t>
      </w:r>
      <w:r>
        <w:rPr>
          <w:rtl w:val="0"/>
          <w:lang w:val="en-US"/>
        </w:rPr>
        <w:t>‘</w:t>
      </w:r>
      <w:r>
        <w:rPr>
          <w:rtl w:val="0"/>
          <w:lang w:val="en-US"/>
        </w:rPr>
        <w:t>Granger-cause</w:t>
      </w:r>
      <w:r>
        <w:rPr>
          <w:rtl w:val="0"/>
          <w:lang w:val="en-US"/>
        </w:rPr>
        <w:t xml:space="preserve">’ </w:t>
      </w:r>
      <w:r>
        <w:rPr>
          <w:rtl w:val="0"/>
          <w:lang w:val="en-US"/>
        </w:rPr>
        <w:t xml:space="preserve">. According to Granger (1980, p. 349), this concept of </w:t>
      </w:r>
      <w:r>
        <w:rPr>
          <w:rtl w:val="0"/>
          <w:lang w:val="en-US"/>
        </w:rPr>
        <w:t>‘</w:t>
      </w:r>
      <w:r>
        <w:rPr>
          <w:rtl w:val="0"/>
          <w:lang w:val="en-US"/>
        </w:rPr>
        <w:t>causation</w:t>
      </w:r>
      <w:r>
        <w:rPr>
          <w:rtl w:val="0"/>
          <w:lang w:val="en-US"/>
        </w:rPr>
        <w:t xml:space="preserve">’ </w:t>
      </w:r>
      <w:r>
        <w:rPr>
          <w:rtl w:val="0"/>
          <w:lang w:val="en-US"/>
        </w:rPr>
        <w:t xml:space="preserve">is based on the idea </w:t>
      </w:r>
      <w:r>
        <w:rPr>
          <w:rtl w:val="0"/>
          <w:lang w:val="en-US"/>
        </w:rPr>
        <w:t>“</w:t>
      </w:r>
      <w:r>
        <w:rPr>
          <w:rtl w:val="0"/>
          <w:lang w:val="en-US"/>
        </w:rPr>
        <w:t>that the future cannot cause the past.</w:t>
      </w:r>
      <w:r>
        <w:rPr>
          <w:rtl w:val="0"/>
          <w:lang w:val="en-US"/>
        </w:rPr>
        <w:t>”</w:t>
      </w:r>
      <w:r>
        <w:rPr>
          <w:vertAlign w:val="superscript"/>
        </w:rPr>
        <w:footnoteReference w:id="65"/>
      </w:r>
    </w:p>
    <w:p>
      <w:pPr>
        <w:pStyle w:val="Body Text"/>
        <w:jc w:val="both"/>
      </w:pPr>
      <w:r>
        <w:rPr>
          <w:rtl w:val="0"/>
          <w:lang w:val="en-US"/>
        </w:rPr>
        <w:t xml:space="preserve">To test this hypothesis I utilize the </w:t>
      </w:r>
      <w:r>
        <w:rPr>
          <w:rStyle w:val="Hyperlink.0"/>
        </w:rPr>
        <w:fldChar w:fldCharType="begin" w:fldLock="0"/>
      </w:r>
      <w:r>
        <w:rPr>
          <w:rStyle w:val="Hyperlink.0"/>
        </w:rPr>
        <w:instrText xml:space="preserve"> HYPERLINK "http://moxlad-staging.herokuapp.com/home/en?"</w:instrText>
      </w:r>
      <w:r>
        <w:rPr>
          <w:rStyle w:val="Hyperlink.0"/>
        </w:rPr>
        <w:fldChar w:fldCharType="separate" w:fldLock="0"/>
      </w:r>
      <w:r>
        <w:rPr>
          <w:rStyle w:val="Hyperlink.0"/>
          <w:rtl w:val="0"/>
          <w:lang w:val="en-US"/>
        </w:rPr>
        <w:t>MOxLAD</w:t>
      </w:r>
      <w:r>
        <w:rPr/>
        <w:fldChar w:fldCharType="end" w:fldLock="0"/>
      </w:r>
      <w:r>
        <w:rPr>
          <w:rtl w:val="0"/>
          <w:lang w:val="en-US"/>
        </w:rPr>
        <w:t xml:space="preserve"> data, particularly the </w:t>
      </w:r>
      <w:r>
        <w:rPr>
          <w:rFonts w:ascii="Helvetica" w:hAnsi="Helvetica"/>
          <w:i w:val="1"/>
          <w:iCs w:val="1"/>
          <w:rtl w:val="0"/>
          <w:lang w:val="en-US"/>
        </w:rPr>
        <w:t>agriculture value-added</w:t>
      </w:r>
      <w:r>
        <w:rPr>
          <w:rtl w:val="0"/>
          <w:lang w:val="en-US"/>
        </w:rPr>
        <w:t xml:space="preserve"> and </w:t>
      </w:r>
      <w:r>
        <w:rPr>
          <w:rFonts w:ascii="Helvetica" w:hAnsi="Helvetica"/>
          <w:i w:val="1"/>
          <w:iCs w:val="1"/>
          <w:rtl w:val="0"/>
          <w:lang w:val="en-US"/>
        </w:rPr>
        <w:t>manufacturing value-added</w:t>
      </w:r>
      <w:r>
        <w:rPr>
          <w:rtl w:val="0"/>
          <w:lang w:val="en-US"/>
        </w:rPr>
        <w:t xml:space="preserve"> variables.</w:t>
      </w:r>
      <w:r>
        <w:rPr>
          <w:vertAlign w:val="superscript"/>
        </w:rPr>
        <w:footnoteReference w:id="66"/>
      </w:r>
      <w:r>
        <w:rPr>
          <w:rtl w:val="0"/>
          <w:lang w:val="en-US"/>
        </w:rPr>
        <w:t xml:space="preserve"> The dataset spans from as early as 1900 to as late as 2010.</w:t>
      </w:r>
      <w:r>
        <w:rPr>
          <w:vertAlign w:val="superscript"/>
        </w:rPr>
        <w:footnoteReference w:id="67"/>
      </w:r>
      <w:r>
        <w:rPr>
          <w:rtl w:val="0"/>
          <w:lang w:val="en-US"/>
        </w:rPr>
        <w:t xml:space="preserve"> </w:t>
      </w:r>
      <w:r>
        <w:rPr>
          <w:rtl w:val="0"/>
          <w:lang w:val="en-US"/>
        </w:rPr>
        <w:t xml:space="preserve">Table A1 </w:t>
      </w:r>
      <w:r>
        <w:rPr>
          <w:rtl w:val="0"/>
          <w:lang w:val="en-US"/>
        </w:rPr>
        <w:t xml:space="preserve">specifies the available time-span. Using secondary information, the table also states </w:t>
      </w:r>
      <w:r>
        <w:rPr>
          <w:rFonts w:ascii="Helvetica" w:hAnsi="Helvetica"/>
          <w:i w:val="1"/>
          <w:iCs w:val="1"/>
          <w:rtl w:val="0"/>
          <w:lang w:val="en-US"/>
        </w:rPr>
        <w:t>when</w:t>
      </w:r>
      <w:r>
        <w:rPr>
          <w:rtl w:val="0"/>
          <w:lang w:val="en-US"/>
        </w:rPr>
        <w:t xml:space="preserve"> the income tax was implemented, what the law was and its corresponding source(s).</w:t>
      </w:r>
      <w:r>
        <w:rPr>
          <w:vertAlign w:val="superscript"/>
        </w:rPr>
        <w:footnoteReference w:id="68"/>
      </w:r>
      <w:r>
        <w:rPr>
          <w:rtl w:val="0"/>
          <w:lang w:val="en-US"/>
        </w:rPr>
        <w:t xml:space="preserve"> Following Mahoney (2010, p. 5) I consider two </w:t>
      </w:r>
      <w:r>
        <w:rPr>
          <w:rtl w:val="0"/>
          <w:lang w:val="en-US"/>
        </w:rPr>
        <w:t>‘</w:t>
      </w:r>
      <w:r>
        <w:rPr>
          <w:rtl w:val="0"/>
          <w:lang w:val="en-US"/>
        </w:rPr>
        <w:t>advanced</w:t>
      </w:r>
      <w:r>
        <w:rPr>
          <w:rtl w:val="0"/>
          <w:lang w:val="en-US"/>
        </w:rPr>
        <w:t xml:space="preserve">’ </w:t>
      </w:r>
      <w:r>
        <w:rPr>
          <w:rtl w:val="0"/>
          <w:lang w:val="en-US"/>
        </w:rPr>
        <w:t xml:space="preserve">economy countries (Chile and Argentina), two </w:t>
      </w:r>
      <w:r>
        <w:rPr>
          <w:rtl w:val="0"/>
          <w:lang w:val="en-US"/>
        </w:rPr>
        <w:t>‘</w:t>
      </w:r>
      <w:r>
        <w:rPr>
          <w:rtl w:val="0"/>
          <w:lang w:val="en-US"/>
        </w:rPr>
        <w:t>intermediate</w:t>
      </w:r>
      <w:r>
        <w:rPr>
          <w:rtl w:val="0"/>
          <w:lang w:val="en-US"/>
        </w:rPr>
        <w:t xml:space="preserve">’ </w:t>
      </w:r>
      <w:r>
        <w:rPr>
          <w:rtl w:val="0"/>
          <w:lang w:val="en-US"/>
        </w:rPr>
        <w:t xml:space="preserve">countries (Mexico and Colombia) and two </w:t>
      </w:r>
      <w:r>
        <w:rPr>
          <w:rtl w:val="0"/>
          <w:lang w:val="en-US"/>
        </w:rPr>
        <w:t>‘</w:t>
      </w:r>
      <w:r>
        <w:rPr>
          <w:rtl w:val="0"/>
          <w:lang w:val="en-US"/>
        </w:rPr>
        <w:t>less advanced</w:t>
      </w:r>
      <w:r>
        <w:rPr>
          <w:rtl w:val="0"/>
          <w:lang w:val="en-US"/>
        </w:rPr>
        <w:t xml:space="preserve">’ </w:t>
      </w:r>
      <w:r>
        <w:rPr>
          <w:rtl w:val="0"/>
          <w:lang w:val="en-US"/>
        </w:rPr>
        <w:t>countries (Guatemala and Nicaragua). shows the sectoral outputs for each country, both before and after the income tax law was implemented.</w:t>
      </w:r>
    </w:p>
    <w:p>
      <w:pPr>
        <w:pStyle w:val="Body Text"/>
        <w:jc w:val="both"/>
      </w:pPr>
      <w:r>
        <w:rPr>
          <w:rtl w:val="0"/>
          <w:lang w:val="en-US"/>
        </w:rPr>
        <w:t>In</w:t>
      </w:r>
      <w:r>
        <w:rPr>
          <w:rtl w:val="0"/>
          <w:lang w:val="en-US"/>
        </w:rPr>
        <w:t xml:space="preserve"> Table 1</w:t>
      </w:r>
      <w:r>
        <w:rPr>
          <w:rtl w:val="0"/>
          <w:lang w:val="en-US"/>
        </w:rPr>
        <w:t xml:space="preserve"> I test for Granger-causation, i.e. the directionality in which economic growth was produced both prior and after the implementation of the income tax law.</w:t>
      </w:r>
      <w:r>
        <w:rPr>
          <w:vertAlign w:val="superscript"/>
        </w:rPr>
        <w:footnoteReference w:id="69"/>
      </w:r>
      <w:r>
        <w:rPr>
          <w:rtl w:val="0"/>
          <w:lang w:val="en-US"/>
        </w:rPr>
        <w:t xml:space="preserve"> The table strongly suggests that the income tax caused a structural transformation in (almost) all </w:t>
      </w:r>
      <w:r>
        <w:rPr>
          <w:rtl w:val="0"/>
          <w:lang w:val="en-US"/>
        </w:rPr>
        <w:t>‘</w:t>
      </w:r>
      <w:r>
        <w:rPr>
          <w:rtl w:val="0"/>
          <w:lang w:val="en-US"/>
        </w:rPr>
        <w:t>developed</w:t>
      </w:r>
      <w:r>
        <w:rPr>
          <w:rtl w:val="0"/>
          <w:lang w:val="en-US"/>
        </w:rPr>
        <w:t xml:space="preserve">’ </w:t>
      </w:r>
      <w:r>
        <w:rPr>
          <w:rtl w:val="0"/>
          <w:lang w:val="en-US"/>
        </w:rPr>
        <w:t>countries, namely Chile, Colombia and Mexico. In all these cases the income tax reverted the initial inter-sectoral growth equilibrium suggesting a contested elite structure, as the case of Chile conveys. Before the income tax law, industrial development Granger-caused agricultural development, and after the income tax law, the agricultural sector Granger-caused industrial development (all p-values are significant at the  level).</w:t>
      </w:r>
      <w:r>
        <w:rPr>
          <w:vertAlign w:val="superscript"/>
        </w:rPr>
        <w:footnoteReference w:id="70"/>
      </w:r>
      <w:r>
        <w:rPr>
          <w:rtl w:val="0"/>
          <w:lang w:val="en-US"/>
        </w:rPr>
        <w:t xml:space="preserve"> These results suggest that the implementation of the income tax was associated to the overthrowing of the political institutions and practices that permitted agricultural expansion at the expenses of the modern sector, and that the reversion of the original backwards macroeconomic structure set in motion a path of long-term economic development. In Nicaragua and Guatemala the tests suggest the exact opposite (all p-values are significant at the  level).</w:t>
      </w:r>
      <w:r>
        <w:rPr>
          <w:vertAlign w:val="superscript"/>
        </w:rPr>
        <w:footnoteReference w:id="71"/>
      </w:r>
      <w:r>
        <w:rPr>
          <w:rtl w:val="0"/>
          <w:lang w:val="en-US"/>
        </w:rPr>
        <w:t xml:space="preserve"> The implementation of the income tax in these countries did </w:t>
      </w:r>
      <w:r>
        <w:rPr>
          <w:rFonts w:ascii="Helvetica" w:hAnsi="Helvetica"/>
          <w:i w:val="1"/>
          <w:iCs w:val="1"/>
          <w:rtl w:val="0"/>
          <w:lang w:val="en-US"/>
        </w:rPr>
        <w:t>not</w:t>
      </w:r>
      <w:r>
        <w:rPr>
          <w:rtl w:val="0"/>
          <w:lang w:val="en-US"/>
        </w:rPr>
        <w:t xml:space="preserve"> revert the initial backward macroeconomic equilibrium because when implemented, it did not reflect the inter-sectoral tensions, challenges and compromises proper of the contested political economies. The industrial sector never had enough economic leverage to politically confront the landowning elite (see </w:t>
      </w:r>
      <w:r>
        <w:rPr>
          <w:rtl w:val="0"/>
          <w:lang w:val="en-US"/>
        </w:rPr>
        <w:t>Table 1</w:t>
      </w:r>
      <w:r>
        <w:rPr>
          <w:rtl w:val="0"/>
          <w:lang w:val="en-US"/>
        </w:rPr>
        <w:t>) and hence industrialists never posed credible threats to the status quo, relaxing the endogenous incentives to invest in state institutions. The Argentinian case is different. In line with the historical references, the Granger tests are inconclusive, and no significant results were found, suggesting weak inter-sectoral linkages.</w:t>
      </w:r>
      <w:bookmarkEnd w:id="6"/>
    </w:p>
    <w:p>
      <w:pPr>
        <w:pStyle w:val="Heading 4"/>
        <w:jc w:val="both"/>
      </w:pPr>
      <w:bookmarkStart w:name="vectorautoregressivemodelsvarsandimpulseresponseanalysisirfs" w:id="7"/>
      <w:r>
        <w:rPr>
          <w:rtl w:val="0"/>
          <w:lang w:val="en-US"/>
        </w:rPr>
        <w:t>Vector Autoregressive Models (VARs) and Impulse Response Analysis (IRFs)</w:t>
      </w:r>
    </w:p>
    <w:p>
      <w:pPr>
        <w:pStyle w:val="First Paragraph"/>
        <w:jc w:val="both"/>
      </w:pPr>
      <w:r>
        <w:rPr>
          <w:rtl w:val="0"/>
          <w:lang w:val="en-US"/>
        </w:rPr>
        <w:t>Once we have determined the directionality of economic growth is associated with the imposition of the income tax law, it is necessary to establish the inter-sectoral long-run economic equilibrium. This relationship is an endogenous one.</w:t>
      </w:r>
      <w:r>
        <w:rPr>
          <w:vertAlign w:val="superscript"/>
        </w:rPr>
        <w:footnoteReference w:id="72"/>
      </w:r>
      <w:r>
        <w:rPr>
          <w:rtl w:val="0"/>
          <w:lang w:val="en-US"/>
        </w:rPr>
        <w:t xml:space="preserve"> If this endogeneity is not accounted for, the error term and the regressors will be correlated, and so OLS will be inconsistent. Additionally, growth rates are usually integrated. </w:t>
      </w:r>
      <w:r>
        <w:rPr>
          <w:rtl w:val="0"/>
          <w:lang w:val="en-US"/>
        </w:rPr>
        <w:t>‘</w:t>
      </w:r>
      <w:r>
        <w:rPr>
          <w:rtl w:val="0"/>
          <w:lang w:val="en-US"/>
        </w:rPr>
        <w:t>Unit root</w:t>
      </w:r>
      <w:r>
        <w:rPr>
          <w:rtl w:val="0"/>
          <w:lang w:val="en-US"/>
        </w:rPr>
        <w:t xml:space="preserve">’ </w:t>
      </w:r>
      <w:r>
        <w:rPr>
          <w:rtl w:val="0"/>
          <w:lang w:val="en-US"/>
        </w:rPr>
        <w:t xml:space="preserve">or </w:t>
      </w:r>
      <w:r>
        <w:rPr>
          <w:rtl w:val="0"/>
          <w:lang w:val="en-US"/>
        </w:rPr>
        <w:t>‘</w:t>
      </w:r>
      <w:r>
        <w:rPr>
          <w:rtl w:val="0"/>
          <w:lang w:val="en-US"/>
        </w:rPr>
        <w:t>integrated</w:t>
      </w:r>
      <w:r>
        <w:rPr>
          <w:rtl w:val="0"/>
          <w:lang w:val="en-US"/>
        </w:rPr>
        <w:t xml:space="preserve">’ </w:t>
      </w:r>
      <w:r>
        <w:rPr>
          <w:rFonts w:ascii="Helvetica" w:hAnsi="Helvetica"/>
          <w:i w:val="1"/>
          <w:iCs w:val="1"/>
          <w:rtl w:val="0"/>
          <w:lang w:val="en-US"/>
        </w:rPr>
        <w:t>I(1)</w:t>
      </w:r>
      <w:r>
        <w:rPr>
          <w:rtl w:val="0"/>
          <w:lang w:val="en-US"/>
        </w:rPr>
        <w:t xml:space="preserve"> vectors</w:t>
      </w:r>
      <w:r>
        <w:rPr>
          <w:vertAlign w:val="superscript"/>
        </w:rPr>
        <w:footnoteReference w:id="73"/>
      </w:r>
      <w:r>
        <w:rPr>
          <w:rtl w:val="0"/>
          <w:lang w:val="en-US"/>
        </w:rPr>
        <w:t xml:space="preserve"> are time-series that </w:t>
      </w:r>
      <w:r>
        <w:rPr>
          <w:rtl w:val="0"/>
          <w:lang w:val="en-US"/>
        </w:rPr>
        <w:t>“</w:t>
      </w:r>
      <w:r>
        <w:rPr>
          <w:rtl w:val="0"/>
          <w:lang w:val="en-US"/>
        </w:rPr>
        <w:t>wander</w:t>
      </w:r>
      <w:r>
        <w:rPr>
          <w:rtl w:val="0"/>
          <w:lang w:val="en-US"/>
        </w:rPr>
        <w:t xml:space="preserve">” </w:t>
      </w:r>
      <w:r>
        <w:rPr>
          <w:rtl w:val="0"/>
          <w:lang w:val="en-US"/>
        </w:rPr>
        <w:t>up and down, yet they never revert to a given mean.</w:t>
      </w:r>
      <w:r>
        <w:rPr>
          <w:vertAlign w:val="superscript"/>
        </w:rPr>
        <w:footnoteReference w:id="74"/>
      </w:r>
      <w:r>
        <w:rPr>
          <w:rtl w:val="0"/>
          <w:lang w:val="en-US"/>
        </w:rPr>
        <w:t xml:space="preserve"> Moreover, two integrated vectors that are mutually endogenous, such as industrial and agricultural outputs, imply a </w:t>
      </w:r>
      <w:r>
        <w:rPr>
          <w:rtl w:val="0"/>
          <w:lang w:val="en-US"/>
        </w:rPr>
        <w:t>‘</w:t>
      </w:r>
      <w:r>
        <w:rPr>
          <w:rtl w:val="0"/>
          <w:lang w:val="en-US"/>
        </w:rPr>
        <w:t>cointegrated</w:t>
      </w:r>
      <w:r>
        <w:rPr>
          <w:rtl w:val="0"/>
          <w:lang w:val="en-US"/>
        </w:rPr>
        <w:t xml:space="preserve">’ </w:t>
      </w:r>
      <w:r>
        <w:rPr>
          <w:rtl w:val="0"/>
          <w:lang w:val="en-US"/>
        </w:rPr>
        <w:t>CI(1) relationship, imposing additional statistical restrictions.</w:t>
      </w:r>
      <w:r>
        <w:rPr>
          <w:vertAlign w:val="superscript"/>
        </w:rPr>
        <w:footnoteReference w:id="75"/>
      </w:r>
      <w:r>
        <w:rPr>
          <w:rtl w:val="0"/>
          <w:lang w:val="en-US"/>
        </w:rPr>
        <w:t xml:space="preserve"> A </w:t>
      </w:r>
      <w:r>
        <w:rPr>
          <w:rtl w:val="0"/>
          <w:lang w:val="en-US"/>
        </w:rPr>
        <w:t>“</w:t>
      </w:r>
      <w:r>
        <w:rPr>
          <w:rtl w:val="0"/>
          <w:lang w:val="en-US"/>
        </w:rPr>
        <w:t>set of integrated time-series is said to be cointegrated if some linear combination of the series in levels produces a stationary series,</w:t>
      </w:r>
      <w:r>
        <w:rPr>
          <w:rtl w:val="0"/>
          <w:lang w:val="en-US"/>
        </w:rPr>
        <w:t xml:space="preserve">” </w:t>
      </w:r>
      <w:r>
        <w:rPr>
          <w:rtl w:val="0"/>
          <w:lang w:val="en-US"/>
        </w:rPr>
        <w:t xml:space="preserve">or </w:t>
      </w:r>
      <w:r>
        <w:rPr>
          <w:rFonts w:ascii="Helvetica" w:hAnsi="Helvetica"/>
          <w:i w:val="1"/>
          <w:iCs w:val="1"/>
          <w:rtl w:val="0"/>
          <w:lang w:val="en-US"/>
        </w:rPr>
        <w:t>I(0)</w:t>
      </w:r>
      <w:r>
        <w:rPr>
          <w:rtl w:val="0"/>
          <w:lang w:val="en-US"/>
        </w:rPr>
        <w:t>.</w:t>
      </w:r>
      <w:r>
        <w:rPr>
          <w:vertAlign w:val="superscript"/>
        </w:rPr>
        <w:footnoteReference w:id="76"/>
      </w:r>
      <w:r>
        <w:rPr>
          <w:rtl w:val="0"/>
          <w:lang w:val="en-US"/>
        </w:rPr>
        <w:t xml:space="preserve"> The economic literature generally coincides in that economic growth is an I(1) process, and that sectoral development is a CI(1) process.</w:t>
      </w:r>
    </w:p>
    <w:p>
      <w:pPr>
        <w:pStyle w:val="Body Text"/>
        <w:jc w:val="both"/>
      </w:pPr>
      <w:r>
        <w:rPr>
          <w:rtl w:val="0"/>
          <w:lang w:val="en-US"/>
        </w:rPr>
        <w:t>Integration and cointegration are assumptions that should be tested. The first step is to find strong evidence of integration in each of the series. In</w:t>
      </w:r>
      <w:r>
        <w:rPr>
          <w:rtl w:val="0"/>
          <w:lang w:val="en-US"/>
        </w:rPr>
        <w:t xml:space="preserve"> Table A2</w:t>
      </w:r>
      <w:r>
        <w:rPr>
          <w:rtl w:val="0"/>
          <w:lang w:val="en-US"/>
        </w:rPr>
        <w:t xml:space="preserve"> I show several unit root tests.</w:t>
      </w:r>
      <w:r>
        <w:rPr>
          <w:vertAlign w:val="superscript"/>
        </w:rPr>
        <w:footnoteReference w:id="77"/>
      </w:r>
      <w:r>
        <w:rPr>
          <w:rtl w:val="0"/>
          <w:lang w:val="en-US"/>
        </w:rPr>
        <w:t xml:space="preserve"> The table indicates that all variables, periods, sectors and countries have I(1) processes. The second step is to find evidence of cointegration.</w:t>
      </w:r>
      <w:r>
        <w:rPr>
          <w:vertAlign w:val="superscript"/>
        </w:rPr>
        <w:footnoteReference w:id="78"/>
      </w:r>
      <w:r>
        <w:rPr>
          <w:rtl w:val="0"/>
          <w:lang w:val="en-US"/>
        </w:rPr>
        <w:t xml:space="preserve"> Substantively, cointegration would mean that there is a long-lasting mutual inter-sectoral economic </w:t>
      </w:r>
      <w:r>
        <w:rPr>
          <w:rFonts w:ascii="Helvetica" w:hAnsi="Helvetica"/>
          <w:i w:val="1"/>
          <w:iCs w:val="1"/>
          <w:rtl w:val="0"/>
          <w:lang w:val="en-US"/>
        </w:rPr>
        <w:t>dependence</w:t>
      </w:r>
      <w:r>
        <w:rPr>
          <w:rtl w:val="0"/>
          <w:lang w:val="en-US"/>
        </w:rPr>
        <w:t xml:space="preserve">, allowing </w:t>
      </w:r>
      <w:r>
        <w:rPr>
          <w:rFonts w:ascii="Helvetica" w:hAnsi="Helvetica"/>
          <w:i w:val="1"/>
          <w:iCs w:val="1"/>
          <w:rtl w:val="0"/>
          <w:lang w:val="en-US"/>
        </w:rPr>
        <w:t>both</w:t>
      </w:r>
      <w:r>
        <w:rPr>
          <w:rtl w:val="0"/>
          <w:lang w:val="en-US"/>
        </w:rPr>
        <w:t xml:space="preserve"> sectors to grow in a balanced fashion. The political correlate of balanced growth is that both elites would have the same economic leverage to influence the state and policy outcomes. In turn, failure to find evidence of cointegration would imply coordination failures between the two sectors (economic backwardness), the delayed emergence of a political challenger, the lack of a sectoral political conflict, and consequently a politically unchallenged landed elite. Given that the maximum number of cointegrated vectors is 1, I only test for the minimum number of cointegrated relationships.</w:t>
      </w:r>
      <w:r>
        <w:rPr>
          <w:vertAlign w:val="superscript"/>
        </w:rPr>
        <w:footnoteReference w:id="79"/>
      </w:r>
      <w:r>
        <w:rPr>
          <w:rtl w:val="0"/>
          <w:lang w:val="en-US"/>
        </w:rPr>
        <w:t xml:space="preserve"> I expect to find evidence of cointegration only in the </w:t>
      </w:r>
      <w:r>
        <w:rPr>
          <w:rtl w:val="0"/>
          <w:lang w:val="en-US"/>
        </w:rPr>
        <w:t>‘</w:t>
      </w:r>
      <w:r>
        <w:rPr>
          <w:rtl w:val="0"/>
          <w:lang w:val="en-US"/>
        </w:rPr>
        <w:t>developed</w:t>
      </w:r>
      <w:r>
        <w:rPr>
          <w:rtl w:val="0"/>
          <w:lang w:val="en-US"/>
        </w:rPr>
        <w:t xml:space="preserve">’ </w:t>
      </w:r>
      <w:r>
        <w:rPr>
          <w:rtl w:val="0"/>
          <w:lang w:val="en-US"/>
        </w:rPr>
        <w:t xml:space="preserve">cases. Following Johansen (1988), indicates that all </w:t>
      </w:r>
      <w:r>
        <w:rPr>
          <w:rtl w:val="0"/>
          <w:lang w:val="en-US"/>
        </w:rPr>
        <w:t>‘</w:t>
      </w:r>
      <w:r>
        <w:rPr>
          <w:rtl w:val="0"/>
          <w:lang w:val="en-US"/>
        </w:rPr>
        <w:t>developed</w:t>
      </w:r>
      <w:r>
        <w:rPr>
          <w:rtl w:val="0"/>
          <w:lang w:val="en-US"/>
        </w:rPr>
        <w:t xml:space="preserve">’ </w:t>
      </w:r>
      <w:r>
        <w:rPr>
          <w:rtl w:val="0"/>
          <w:lang w:val="en-US"/>
        </w:rPr>
        <w:t xml:space="preserve">and </w:t>
      </w:r>
      <w:r>
        <w:rPr>
          <w:rtl w:val="0"/>
          <w:lang w:val="en-US"/>
        </w:rPr>
        <w:t>‘</w:t>
      </w:r>
      <w:r>
        <w:rPr>
          <w:rtl w:val="0"/>
          <w:lang w:val="en-US"/>
        </w:rPr>
        <w:t>semi-developed</w:t>
      </w:r>
      <w:r>
        <w:rPr>
          <w:rtl w:val="0"/>
          <w:lang w:val="en-US"/>
        </w:rPr>
        <w:t xml:space="preserve">’ </w:t>
      </w:r>
      <w:r>
        <w:rPr>
          <w:rtl w:val="0"/>
          <w:lang w:val="en-US"/>
        </w:rPr>
        <w:t xml:space="preserve">countries have cointegrated series, while </w:t>
      </w:r>
      <w:r>
        <w:rPr>
          <w:rtl w:val="0"/>
          <w:lang w:val="en-US"/>
        </w:rPr>
        <w:t>‘</w:t>
      </w:r>
      <w:r>
        <w:rPr>
          <w:rtl w:val="0"/>
          <w:lang w:val="en-US"/>
        </w:rPr>
        <w:t>less developed</w:t>
      </w:r>
      <w:r>
        <w:rPr>
          <w:rtl w:val="0"/>
          <w:lang w:val="en-US"/>
        </w:rPr>
        <w:t xml:space="preserve">’ </w:t>
      </w:r>
      <w:r>
        <w:rPr>
          <w:rtl w:val="0"/>
          <w:lang w:val="en-US"/>
        </w:rPr>
        <w:t>countries do not have cointegrated series.</w:t>
      </w:r>
      <w:r>
        <w:rPr>
          <w:vertAlign w:val="superscript"/>
        </w:rPr>
        <w:footnoteReference w:id="80"/>
      </w:r>
    </w:p>
    <w:p>
      <w:pPr>
        <w:pStyle w:val="Body Text"/>
        <w:jc w:val="both"/>
      </w:pPr>
      <w:r>
        <w:rPr>
          <w:rtl w:val="0"/>
          <w:lang w:val="en-US"/>
        </w:rPr>
        <w:t xml:space="preserve">Cointegration </w:t>
      </w:r>
      <w:r>
        <w:rPr>
          <w:rtl w:val="0"/>
          <w:lang w:val="en-US"/>
        </w:rPr>
        <w:t>“</w:t>
      </w:r>
      <w:r>
        <w:rPr>
          <w:rtl w:val="0"/>
          <w:lang w:val="en-US"/>
        </w:rPr>
        <w:t>implies a particular kind of model</w:t>
      </w:r>
      <w:r>
        <w:rPr>
          <w:rtl w:val="0"/>
          <w:lang w:val="en-US"/>
        </w:rPr>
        <w:t xml:space="preserve">” </w:t>
      </w:r>
      <w:r>
        <w:rPr>
          <w:rtl w:val="0"/>
          <w:lang w:val="en-US"/>
        </w:rPr>
        <w:t>to estimate the series.</w:t>
      </w:r>
      <w:r>
        <w:rPr>
          <w:vertAlign w:val="superscript"/>
        </w:rPr>
        <w:footnoteReference w:id="81"/>
      </w:r>
      <w:r>
        <w:rPr>
          <w:rtl w:val="0"/>
          <w:lang w:val="en-US"/>
        </w:rPr>
        <w:t xml:space="preserve"> If traditional methods are used, given the interdependent relationship of these kinds of time-series, the results will be spurious.</w:t>
      </w:r>
      <w:r>
        <w:rPr>
          <w:vertAlign w:val="superscript"/>
        </w:rPr>
        <w:footnoteReference w:id="82"/>
      </w:r>
      <w:r>
        <w:rPr>
          <w:rtl w:val="0"/>
          <w:lang w:val="en-US"/>
        </w:rPr>
        <w:t xml:space="preserve"> I use the vector-autoregressive approach (VAR) specified in Johansen (1988) which among several advantages, is estimated via MLE. Another advantage is that VAR models do not need to specify the number of cointegrated vectors as opposed to error correction models.</w:t>
      </w:r>
      <w:r>
        <w:rPr>
          <w:vertAlign w:val="superscript"/>
        </w:rPr>
        <w:footnoteReference w:id="83"/>
      </w:r>
      <w:r>
        <w:rPr>
          <w:rtl w:val="0"/>
          <w:lang w:val="en-US"/>
        </w:rPr>
        <w:t xml:space="preserve"> Formally, I will model the next reduced form VAR in differences, one per country, both before and after the income tax law was passed:</w:t>
      </w:r>
    </w:p>
    <w:p>
      <w:pPr>
        <w:pStyle w:val="Default"/>
        <w:bidi w:val="0"/>
        <w:spacing w:after="240" w:line="300" w:lineRule="atLeast"/>
        <w:ind w:left="0" w:right="0" w:firstLine="0"/>
        <w:jc w:val="left"/>
        <w:rPr>
          <w:rFonts w:ascii="Times" w:cs="Times" w:hAnsi="Times" w:eastAsia="Times"/>
          <w:position w:val="-3"/>
          <w:sz w:val="24"/>
          <w:szCs w:val="24"/>
          <w:rtl w:val="0"/>
        </w:rPr>
      </w:pP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M</w:t>
      </w:r>
      <w:r>
        <w:rPr>
          <w:rFonts w:ascii="Times" w:hAnsi="Times"/>
          <w:position w:val="-3"/>
          <w:sz w:val="19"/>
          <w:szCs w:val="19"/>
          <w:rtl w:val="0"/>
        </w:rPr>
        <w:t>t</w:t>
      </w:r>
      <w:r>
        <w:rPr>
          <w:rFonts w:ascii="Times" w:hAnsi="Times"/>
          <w:position w:val="-6"/>
          <w:sz w:val="13"/>
          <w:szCs w:val="13"/>
          <w:rtl w:val="0"/>
        </w:rPr>
        <w:t xml:space="preserve">m </w:t>
      </w:r>
      <w:r>
        <w:rPr>
          <w:rFonts w:ascii="Times" w:hAnsi="Times"/>
          <w:position w:val="-3"/>
          <w:sz w:val="27"/>
          <w:szCs w:val="27"/>
          <w:rtl w:val="0"/>
        </w:rPr>
        <w:t xml:space="preserve">= </w:t>
      </w:r>
      <w:r>
        <w:rPr>
          <w:rFonts w:ascii="Times" w:hAnsi="Times" w:hint="default"/>
          <w:position w:val="-3"/>
          <w:sz w:val="27"/>
          <w:szCs w:val="27"/>
          <w:rtl w:val="0"/>
        </w:rPr>
        <w:t>α</w:t>
      </w:r>
      <w:r>
        <w:rPr>
          <w:rFonts w:ascii="Times" w:hAnsi="Times"/>
          <w:position w:val="-3"/>
          <w:sz w:val="19"/>
          <w:szCs w:val="19"/>
          <w:rtl w:val="0"/>
        </w:rPr>
        <w:t xml:space="preserve">m </w:t>
      </w:r>
      <w:r>
        <w:rPr>
          <w:rFonts w:ascii="Times" w:hAnsi="Times"/>
          <w:position w:val="-3"/>
          <w:sz w:val="27"/>
          <w:szCs w:val="27"/>
          <w:rtl w:val="0"/>
        </w:rPr>
        <w:t>+</w:t>
      </w:r>
      <w:r>
        <w:rPr>
          <w:rFonts w:ascii="Times" w:hAnsi="Times" w:hint="default"/>
          <w:position w:val="-3"/>
          <w:sz w:val="27"/>
          <w:szCs w:val="27"/>
          <w:rtl w:val="0"/>
        </w:rPr>
        <w:t>β</w:t>
      </w:r>
      <w:r>
        <w:rPr>
          <w:rFonts w:ascii="Times" w:hAnsi="Times"/>
          <w:position w:val="-3"/>
          <w:sz w:val="19"/>
          <w:szCs w:val="19"/>
          <w:rtl w:val="0"/>
        </w:rPr>
        <w:t xml:space="preserve">m </w:t>
      </w: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M</w:t>
      </w:r>
      <w:r>
        <w:rPr>
          <w:rFonts w:ascii="Times" w:hAnsi="Times"/>
          <w:position w:val="-3"/>
          <w:sz w:val="19"/>
          <w:szCs w:val="19"/>
          <w:rtl w:val="0"/>
        </w:rPr>
        <w:t>t</w:t>
      </w:r>
      <w:r>
        <w:rPr>
          <w:rFonts w:ascii="Times" w:hAnsi="Times" w:hint="default"/>
          <w:position w:val="-3"/>
          <w:sz w:val="19"/>
          <w:szCs w:val="19"/>
          <w:rtl w:val="0"/>
        </w:rPr>
        <w:t>−</w:t>
      </w:r>
      <w:r>
        <w:rPr>
          <w:rFonts w:ascii="Times" w:hAnsi="Times"/>
          <w:position w:val="-3"/>
          <w:sz w:val="19"/>
          <w:szCs w:val="19"/>
          <w:rtl w:val="0"/>
        </w:rPr>
        <w:t xml:space="preserve">l </w:t>
      </w:r>
      <w:r>
        <w:rPr>
          <w:rFonts w:ascii="Times" w:hAnsi="Times"/>
          <w:position w:val="-3"/>
          <w:sz w:val="27"/>
          <w:szCs w:val="27"/>
          <w:rtl w:val="0"/>
        </w:rPr>
        <w:t>+</w:t>
      </w:r>
      <w:r>
        <w:rPr>
          <w:rFonts w:ascii="Times" w:hAnsi="Times" w:hint="default"/>
          <w:position w:val="-3"/>
          <w:sz w:val="27"/>
          <w:szCs w:val="27"/>
          <w:rtl w:val="0"/>
        </w:rPr>
        <w:t>β</w:t>
      </w:r>
      <w:r>
        <w:rPr>
          <w:rFonts w:ascii="Times" w:hAnsi="Times"/>
          <w:position w:val="-3"/>
          <w:sz w:val="19"/>
          <w:szCs w:val="19"/>
          <w:rtl w:val="0"/>
        </w:rPr>
        <w:t xml:space="preserve">m </w:t>
      </w: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A</w:t>
      </w:r>
      <w:r>
        <w:rPr>
          <w:rFonts w:ascii="Times" w:hAnsi="Times"/>
          <w:position w:val="-3"/>
          <w:sz w:val="19"/>
          <w:szCs w:val="19"/>
          <w:rtl w:val="0"/>
        </w:rPr>
        <w:t>t</w:t>
      </w:r>
      <w:r>
        <w:rPr>
          <w:rFonts w:ascii="Times" w:hAnsi="Times" w:hint="default"/>
          <w:position w:val="-3"/>
          <w:sz w:val="19"/>
          <w:szCs w:val="19"/>
          <w:rtl w:val="0"/>
        </w:rPr>
        <w:t>−</w:t>
      </w:r>
      <w:r>
        <w:rPr>
          <w:rFonts w:ascii="Times" w:hAnsi="Times"/>
          <w:position w:val="-3"/>
          <w:sz w:val="19"/>
          <w:szCs w:val="19"/>
          <w:rtl w:val="0"/>
        </w:rPr>
        <w:t xml:space="preserve">l </w:t>
      </w:r>
      <w:r>
        <w:rPr>
          <w:rFonts w:ascii="Times" w:hAnsi="Times"/>
          <w:position w:val="-3"/>
          <w:sz w:val="27"/>
          <w:szCs w:val="27"/>
          <w:rtl w:val="0"/>
        </w:rPr>
        <w:t>+</w:t>
      </w:r>
      <w:r>
        <w:rPr>
          <w:rFonts w:ascii="Times" w:hAnsi="Times" w:hint="default"/>
          <w:position w:val="-3"/>
          <w:sz w:val="27"/>
          <w:szCs w:val="27"/>
          <w:rtl w:val="0"/>
        </w:rPr>
        <w:t>ε</w:t>
      </w:r>
      <w:r>
        <w:rPr>
          <w:rFonts w:ascii="Times" w:hAnsi="Times"/>
          <w:position w:val="-3"/>
          <w:sz w:val="19"/>
          <w:szCs w:val="19"/>
          <w:rtl w:val="0"/>
        </w:rPr>
        <w:t>t</w:t>
      </w:r>
      <w:r>
        <w:rPr>
          <w:rFonts w:ascii="Times" w:hAnsi="Times"/>
          <w:position w:val="-6"/>
          <w:sz w:val="13"/>
          <w:szCs w:val="13"/>
          <w:rtl w:val="0"/>
        </w:rPr>
        <w:t xml:space="preserve">m </w:t>
      </w:r>
      <w:r>
        <w:rPr>
          <w:rFonts w:ascii="Times" w:cs="Times" w:hAnsi="Times" w:eastAsia="Times"/>
          <w:position w:val="-6"/>
          <w:sz w:val="13"/>
          <w:szCs w:val="13"/>
          <w:rtl w:val="0"/>
        </w:rPr>
        <w:tab/>
        <w:tab/>
        <w:tab/>
        <w:tab/>
        <w:tab/>
        <w:tab/>
        <w:tab/>
        <w:t>(1)</w:t>
      </w:r>
      <w:r>
        <w:rPr>
          <w:rFonts w:ascii="Arial Unicode MS" w:cs="Arial Unicode MS" w:hAnsi="Arial Unicode MS" w:eastAsia="Arial Unicode MS"/>
          <w:b w:val="0"/>
          <w:bCs w:val="0"/>
          <w:i w:val="0"/>
          <w:iCs w:val="0"/>
          <w:position w:val="-6"/>
          <w:sz w:val="13"/>
          <w:szCs w:val="13"/>
          <w:rtl w:val="0"/>
        </w:rPr>
        <w:br w:type="textWrapping"/>
      </w: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A</w:t>
      </w:r>
      <w:r>
        <w:rPr>
          <w:rFonts w:ascii="Times" w:hAnsi="Times"/>
          <w:position w:val="-3"/>
          <w:sz w:val="19"/>
          <w:szCs w:val="19"/>
          <w:rtl w:val="0"/>
        </w:rPr>
        <w:t>t</w:t>
      </w:r>
      <w:r>
        <w:rPr>
          <w:rFonts w:ascii="Times" w:hAnsi="Times"/>
          <w:position w:val="-6"/>
          <w:sz w:val="13"/>
          <w:szCs w:val="13"/>
          <w:rtl w:val="0"/>
        </w:rPr>
        <w:t xml:space="preserve">a </w:t>
      </w:r>
      <w:r>
        <w:rPr>
          <w:rFonts w:ascii="Times" w:hAnsi="Times"/>
          <w:position w:val="-3"/>
          <w:sz w:val="27"/>
          <w:szCs w:val="27"/>
          <w:rtl w:val="0"/>
        </w:rPr>
        <w:t xml:space="preserve">= </w:t>
      </w:r>
      <w:r>
        <w:rPr>
          <w:rFonts w:ascii="Times" w:hAnsi="Times" w:hint="default"/>
          <w:position w:val="-3"/>
          <w:sz w:val="27"/>
          <w:szCs w:val="27"/>
          <w:rtl w:val="0"/>
        </w:rPr>
        <w:t>α</w:t>
      </w:r>
      <w:r>
        <w:rPr>
          <w:rFonts w:ascii="Times" w:hAnsi="Times"/>
          <w:position w:val="-3"/>
          <w:sz w:val="19"/>
          <w:szCs w:val="19"/>
          <w:rtl w:val="0"/>
        </w:rPr>
        <w:t xml:space="preserve">a </w:t>
      </w:r>
      <w:r>
        <w:rPr>
          <w:rFonts w:ascii="Times" w:hAnsi="Times"/>
          <w:position w:val="-3"/>
          <w:sz w:val="27"/>
          <w:szCs w:val="27"/>
          <w:rtl w:val="0"/>
        </w:rPr>
        <w:t>+</w:t>
      </w:r>
      <w:r>
        <w:rPr>
          <w:rFonts w:ascii="Times" w:hAnsi="Times" w:hint="default"/>
          <w:position w:val="-3"/>
          <w:sz w:val="27"/>
          <w:szCs w:val="27"/>
          <w:rtl w:val="0"/>
        </w:rPr>
        <w:t>β</w:t>
      </w:r>
      <w:r>
        <w:rPr>
          <w:rFonts w:ascii="Times" w:hAnsi="Times"/>
          <w:position w:val="-3"/>
          <w:sz w:val="19"/>
          <w:szCs w:val="19"/>
          <w:rtl w:val="0"/>
        </w:rPr>
        <w:t xml:space="preserve">a </w:t>
      </w: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M</w:t>
      </w:r>
      <w:r>
        <w:rPr>
          <w:rFonts w:ascii="Times" w:hAnsi="Times"/>
          <w:position w:val="-3"/>
          <w:sz w:val="19"/>
          <w:szCs w:val="19"/>
          <w:rtl w:val="0"/>
        </w:rPr>
        <w:t>t</w:t>
      </w:r>
      <w:r>
        <w:rPr>
          <w:rFonts w:ascii="Times" w:hAnsi="Times" w:hint="default"/>
          <w:position w:val="-3"/>
          <w:sz w:val="19"/>
          <w:szCs w:val="19"/>
          <w:rtl w:val="0"/>
        </w:rPr>
        <w:t>−</w:t>
      </w:r>
      <w:r>
        <w:rPr>
          <w:rFonts w:ascii="Times" w:hAnsi="Times"/>
          <w:position w:val="-3"/>
          <w:sz w:val="19"/>
          <w:szCs w:val="19"/>
          <w:rtl w:val="0"/>
        </w:rPr>
        <w:t xml:space="preserve">l </w:t>
      </w:r>
      <w:r>
        <w:rPr>
          <w:rFonts w:ascii="Times" w:hAnsi="Times"/>
          <w:position w:val="-3"/>
          <w:sz w:val="27"/>
          <w:szCs w:val="27"/>
          <w:rtl w:val="0"/>
        </w:rPr>
        <w:t>+</w:t>
      </w:r>
      <w:r>
        <w:rPr>
          <w:rFonts w:ascii="Times" w:hAnsi="Times" w:hint="default"/>
          <w:position w:val="-3"/>
          <w:sz w:val="27"/>
          <w:szCs w:val="27"/>
          <w:rtl w:val="0"/>
        </w:rPr>
        <w:t>β</w:t>
      </w:r>
      <w:r>
        <w:rPr>
          <w:rFonts w:ascii="Times" w:hAnsi="Times"/>
          <w:position w:val="-3"/>
          <w:sz w:val="19"/>
          <w:szCs w:val="19"/>
          <w:rtl w:val="0"/>
        </w:rPr>
        <w:t xml:space="preserve">a </w:t>
      </w:r>
      <w:r>
        <w:rPr>
          <w:rFonts w:ascii="Arial Unicode MS" w:cs="Arial Unicode MS" w:hAnsi="Arial Unicode MS" w:eastAsia="Arial Unicode MS" w:hint="default"/>
          <w:b w:val="0"/>
          <w:bCs w:val="0"/>
          <w:i w:val="0"/>
          <w:iCs w:val="0"/>
          <w:position w:val="-3"/>
          <w:sz w:val="27"/>
          <w:szCs w:val="27"/>
          <w:rtl w:val="0"/>
        </w:rPr>
        <w:t>△</w:t>
      </w:r>
      <w:r>
        <w:rPr>
          <w:rFonts w:ascii="Times" w:hAnsi="Times"/>
          <w:position w:val="-3"/>
          <w:sz w:val="27"/>
          <w:szCs w:val="27"/>
          <w:rtl w:val="0"/>
        </w:rPr>
        <w:t>A</w:t>
      </w:r>
      <w:r>
        <w:rPr>
          <w:rFonts w:ascii="Times" w:hAnsi="Times"/>
          <w:position w:val="-3"/>
          <w:sz w:val="19"/>
          <w:szCs w:val="19"/>
          <w:rtl w:val="0"/>
        </w:rPr>
        <w:t>t</w:t>
      </w:r>
      <w:r>
        <w:rPr>
          <w:rFonts w:ascii="Times" w:hAnsi="Times" w:hint="default"/>
          <w:position w:val="-3"/>
          <w:sz w:val="19"/>
          <w:szCs w:val="19"/>
          <w:rtl w:val="0"/>
        </w:rPr>
        <w:t>−</w:t>
      </w:r>
      <w:r>
        <w:rPr>
          <w:rFonts w:ascii="Times" w:hAnsi="Times"/>
          <w:position w:val="-3"/>
          <w:sz w:val="19"/>
          <w:szCs w:val="19"/>
          <w:rtl w:val="0"/>
        </w:rPr>
        <w:t xml:space="preserve">l </w:t>
      </w:r>
      <w:r>
        <w:rPr>
          <w:rFonts w:ascii="Times" w:hAnsi="Times"/>
          <w:position w:val="-3"/>
          <w:sz w:val="27"/>
          <w:szCs w:val="27"/>
          <w:rtl w:val="0"/>
        </w:rPr>
        <w:t>+</w:t>
      </w:r>
      <w:r>
        <w:rPr>
          <w:rFonts w:ascii="Times" w:hAnsi="Times" w:hint="default"/>
          <w:position w:val="-3"/>
          <w:sz w:val="27"/>
          <w:szCs w:val="27"/>
          <w:rtl w:val="0"/>
        </w:rPr>
        <w:t>ε</w:t>
      </w:r>
      <w:r>
        <w:rPr>
          <w:rFonts w:ascii="Times" w:hAnsi="Times"/>
          <w:position w:val="-3"/>
          <w:sz w:val="19"/>
          <w:szCs w:val="19"/>
          <w:rtl w:val="0"/>
        </w:rPr>
        <w:t>t</w:t>
      </w:r>
      <w:r>
        <w:rPr>
          <w:rFonts w:ascii="Times" w:hAnsi="Times"/>
          <w:position w:val="-6"/>
          <w:sz w:val="13"/>
          <w:szCs w:val="13"/>
          <w:rtl w:val="0"/>
        </w:rPr>
        <w:t xml:space="preserve">a </w:t>
      </w:r>
    </w:p>
    <w:p>
      <w:pPr>
        <w:pStyle w:val="Body Text"/>
        <w:jc w:val="both"/>
      </w:pPr>
      <w:r>
        <w:rPr>
          <w:rtl w:val="0"/>
          <w:lang w:val="en-US"/>
        </w:rPr>
        <w:t xml:space="preserve">Notice that in both lines the different dependent variables are expressed as a function of the </w:t>
      </w:r>
      <w:r>
        <w:rPr>
          <w:rFonts w:ascii="Helvetica" w:hAnsi="Helvetica"/>
          <w:i w:val="1"/>
          <w:iCs w:val="1"/>
          <w:rtl w:val="0"/>
          <w:lang w:val="en-US"/>
        </w:rPr>
        <w:t>same</w:t>
      </w:r>
      <w:r>
        <w:rPr>
          <w:rtl w:val="0"/>
          <w:lang w:val="en-US"/>
        </w:rPr>
        <w:t xml:space="preserve"> set of lagged independent variables. Since the number of lags  varies by country </w:t>
      </w:r>
      <w:r>
        <w:rPr>
          <w:rFonts w:ascii="Helvetica" w:hAnsi="Helvetica"/>
          <w:i w:val="1"/>
          <w:iCs w:val="1"/>
          <w:rtl w:val="0"/>
          <w:lang w:val="en-US"/>
        </w:rPr>
        <w:t>and</w:t>
      </w:r>
      <w:r>
        <w:rPr>
          <w:rtl w:val="0"/>
          <w:lang w:val="en-US"/>
        </w:rPr>
        <w:t xml:space="preserve"> time-span (i.e. before/after the income tax law),</w:t>
      </w:r>
      <w:r>
        <w:rPr>
          <w:rtl w:val="0"/>
          <w:lang w:val="en-US"/>
        </w:rPr>
        <w:t xml:space="preserve"> Equation 1</w:t>
      </w:r>
      <w:r>
        <w:rPr>
          <w:rtl w:val="0"/>
          <w:lang w:val="en-US"/>
        </w:rPr>
        <w:t xml:space="preserve"> is in standard form. </w:t>
      </w:r>
      <w:r>
        <w:rPr>
          <w:rtl w:val="0"/>
          <w:lang w:val="en-US"/>
        </w:rPr>
        <w:t xml:space="preserve"> Table A3 </w:t>
      </w:r>
      <w:r>
        <w:rPr>
          <w:rtl w:val="0"/>
          <w:lang w:val="en-US"/>
        </w:rPr>
        <w:t>describes the optimal lags specified in each country regression.</w:t>
      </w:r>
      <w:r>
        <w:rPr>
          <w:vertAlign w:val="superscript"/>
        </w:rPr>
        <w:footnoteReference w:id="84"/>
      </w:r>
      <w:r>
        <w:rPr>
          <w:rtl w:val="0"/>
          <w:lang w:val="en-US"/>
        </w:rPr>
        <w:t xml:space="preserve"> Most tests give satisfactory results.</w:t>
      </w:r>
    </w:p>
    <w:p>
      <w:pPr>
        <w:pStyle w:val="Body Text"/>
        <w:jc w:val="both"/>
      </w:pPr>
      <w:r>
        <w:rPr>
          <w:rtl w:val="0"/>
          <w:lang w:val="en-US"/>
        </w:rPr>
        <w:t xml:space="preserve">Given that </w:t>
      </w:r>
      <w:r>
        <w:rPr>
          <w:rtl w:val="0"/>
          <w:lang w:val="en-US"/>
        </w:rPr>
        <w:t>“</w:t>
      </w:r>
      <w:r>
        <w:rPr>
          <w:rtl w:val="0"/>
          <w:lang w:val="en-US"/>
        </w:rPr>
        <w:t>it is often difficult to draw any conclusions from the large number of coefficient estimates in a VAR system,</w:t>
      </w:r>
      <w:r>
        <w:rPr>
          <w:rtl w:val="0"/>
          <w:lang w:val="en-US"/>
        </w:rPr>
        <w:t>”</w:t>
      </w:r>
      <w:r>
        <w:rPr>
          <w:vertAlign w:val="superscript"/>
        </w:rPr>
        <w:footnoteReference w:id="85"/>
      </w:r>
      <w:r>
        <w:rPr>
          <w:rtl w:val="0"/>
          <w:lang w:val="en-US"/>
        </w:rPr>
        <w:t xml:space="preserve"> econometricians usually turn to the analyses of </w:t>
      </w:r>
      <w:r>
        <w:rPr>
          <w:rFonts w:ascii="Helvetica" w:hAnsi="Helvetica"/>
          <w:i w:val="1"/>
          <w:iCs w:val="1"/>
          <w:rtl w:val="0"/>
          <w:lang w:val="en-US"/>
        </w:rPr>
        <w:t>impulse response functions</w:t>
      </w:r>
      <w:r>
        <w:rPr>
          <w:rtl w:val="0"/>
          <w:lang w:val="en-US"/>
        </w:rPr>
        <w:t xml:space="preserve"> (IRFs), which are derived from VAR analyses.</w:t>
      </w:r>
      <w:r>
        <w:rPr>
          <w:vertAlign w:val="superscript"/>
        </w:rPr>
        <w:footnoteReference w:id="86"/>
      </w:r>
      <w:r>
        <w:rPr>
          <w:rtl w:val="0"/>
          <w:lang w:val="en-US"/>
        </w:rPr>
        <w:t xml:space="preserve"> “</w:t>
      </w:r>
      <w:r>
        <w:rPr>
          <w:rtl w:val="0"/>
          <w:lang w:val="en-US"/>
        </w:rPr>
        <w:t>Impulse responses trace out the response of current and future values of each of the variables to a one-unit increase in the current value of one of the VAR errors.</w:t>
      </w:r>
      <w:r>
        <w:rPr>
          <w:rtl w:val="0"/>
          <w:lang w:val="en-US"/>
        </w:rPr>
        <w:t>”</w:t>
      </w:r>
      <w:r>
        <w:rPr>
          <w:vertAlign w:val="superscript"/>
        </w:rPr>
        <w:footnoteReference w:id="87"/>
      </w:r>
      <w:r>
        <w:rPr>
          <w:rtl w:val="0"/>
          <w:lang w:val="en-US"/>
        </w:rPr>
        <w:t xml:space="preserve"> </w:t>
      </w:r>
      <w:r>
        <w:rPr>
          <w:rtl w:val="0"/>
          <w:lang w:val="en-US"/>
        </w:rPr>
        <w:t xml:space="preserve">Figure 2 </w:t>
      </w:r>
      <w:r>
        <w:rPr>
          <w:rtl w:val="0"/>
          <w:lang w:val="en-US"/>
        </w:rPr>
        <w:t xml:space="preserve">shows four panels for each of the six countries, one for the response of agriculture to industrial growth (left column), one for the response of industrial growth to agricultural growth (right column), both before (top row) and after (bottom row) the implementation of the income tax. Similar to the Granger-causality tests, I expect politically </w:t>
      </w:r>
      <w:r>
        <w:rPr>
          <w:rtl w:val="0"/>
          <w:lang w:val="en-US"/>
        </w:rPr>
        <w:t>‘</w:t>
      </w:r>
      <w:r>
        <w:rPr>
          <w:rtl w:val="0"/>
          <w:lang w:val="en-US"/>
        </w:rPr>
        <w:t>developed</w:t>
      </w:r>
      <w:r>
        <w:rPr>
          <w:rtl w:val="0"/>
          <w:lang w:val="en-US"/>
        </w:rPr>
        <w:t xml:space="preserve">’ </w:t>
      </w:r>
      <w:r>
        <w:rPr>
          <w:rtl w:val="0"/>
          <w:lang w:val="en-US"/>
        </w:rPr>
        <w:t xml:space="preserve">countries to have gone through a process of structural transformation reverting the initial backwards development trap. However, this time I am able to observe the intensity of the responses and how long it took them to die out. The X-axis are years, and represent any year. The Y-axis is </w:t>
      </w:r>
      <w:r>
        <w:rPr>
          <w:rFonts w:ascii="Helvetica" w:hAnsi="Helvetica"/>
          <w:i w:val="1"/>
          <w:iCs w:val="1"/>
          <w:rtl w:val="0"/>
          <w:lang w:val="en-US"/>
        </w:rPr>
        <w:t>not</w:t>
      </w:r>
      <w:r>
        <w:rPr>
          <w:rtl w:val="0"/>
          <w:lang w:val="en-US"/>
        </w:rPr>
        <w:t xml:space="preserve"> growth, but response to equilibrium. That is, the reaction of one sector once the other one is shocked.</w:t>
      </w:r>
      <w:r>
        <w:rPr>
          <w:vertAlign w:val="superscript"/>
        </w:rPr>
        <w:footnoteReference w:id="88"/>
      </w:r>
    </w:p>
    <w:p>
      <w:pPr>
        <w:pStyle w:val="Body Text"/>
        <w:jc w:val="both"/>
      </w:pPr>
      <w:r>
        <w:rPr>
          <w:rtl w:val="0"/>
          <w:lang w:val="en-US"/>
        </w:rPr>
        <w:t xml:space="preserve">Figure 2 </w:t>
      </w:r>
      <w:r>
        <w:rPr>
          <w:rtl w:val="0"/>
          <w:lang w:val="en-US"/>
        </w:rPr>
        <w:t xml:space="preserve">suggests that all </w:t>
      </w:r>
      <w:r>
        <w:rPr>
          <w:rtl w:val="0"/>
          <w:lang w:val="en-US"/>
        </w:rPr>
        <w:t>‘</w:t>
      </w:r>
      <w:r>
        <w:rPr>
          <w:rtl w:val="0"/>
          <w:lang w:val="en-US"/>
        </w:rPr>
        <w:t>developed</w:t>
      </w:r>
      <w:r>
        <w:rPr>
          <w:rtl w:val="0"/>
          <w:lang w:val="en-US"/>
        </w:rPr>
        <w:t xml:space="preserve">’ </w:t>
      </w:r>
      <w:r>
        <w:rPr>
          <w:rtl w:val="0"/>
          <w:lang w:val="en-US"/>
        </w:rPr>
        <w:t>countries switched from a backwards equilibrium to a modern economic growth strategy after the income tax was implemented. For example, a shock to industrial growth in Chile before the tax has a positive and increasing effect on agriculture. However, after the income tax is adopted, a shock on industry has a negligible effect on agricultural output. This suggests that the political institutions before the tax were oriented to channel all economic resources in a way such that to give advantage to the agricultural sector and the landed elites. This situation was reverted after the income tax law. Colombia and Mexico show a similar pattern. While the analyses on the Argentinean case suggest that there is a long-term inter-sectoral relationship (</w:t>
      </w:r>
      <w:r>
        <w:rPr>
          <w:rtl w:val="0"/>
          <w:lang w:val="en-US"/>
        </w:rPr>
        <w:t>Table 2</w:t>
      </w:r>
      <w:r>
        <w:rPr>
          <w:rtl w:val="0"/>
          <w:lang w:val="en-US"/>
        </w:rPr>
        <w:t>), according to</w:t>
      </w:r>
      <w:r>
        <w:rPr>
          <w:rtl w:val="0"/>
          <w:lang w:val="en-US"/>
        </w:rPr>
        <w:t xml:space="preserve"> Figure 2</w:t>
      </w:r>
      <w:r>
        <w:rPr>
          <w:rtl w:val="0"/>
          <w:lang w:val="en-US"/>
        </w:rPr>
        <w:t xml:space="preserve"> and</w:t>
      </w:r>
      <w:r>
        <w:rPr>
          <w:rtl w:val="0"/>
          <w:lang w:val="en-US"/>
        </w:rPr>
        <w:t xml:space="preserve"> Table 1 </w:t>
      </w:r>
      <w:r>
        <w:rPr>
          <w:rtl w:val="0"/>
          <w:lang w:val="en-US"/>
        </w:rPr>
        <w:t xml:space="preserve">this relationship is weak, indicating weak inter-sectoral complementarity. Nicaragua and Guatemala are the prototypical backward cases. In each case, the economy was designed to develop the agricultural sector completely at the expenses of the industrial sector. This goes in line with the null findings of cointegration in </w:t>
      </w:r>
      <w:r>
        <w:rPr>
          <w:rtl w:val="0"/>
          <w:lang w:val="en-US"/>
        </w:rPr>
        <w:t xml:space="preserve"> Table 2 </w:t>
      </w:r>
      <w:r>
        <w:rPr>
          <w:rtl w:val="0"/>
          <w:lang w:val="en-US"/>
        </w:rPr>
        <w:t xml:space="preserve">and Granger-causality tests in </w:t>
      </w:r>
      <w:r>
        <w:rPr>
          <w:rtl w:val="0"/>
          <w:lang w:val="en-US"/>
        </w:rPr>
        <w:t>Table 1</w:t>
      </w:r>
      <w:r>
        <w:rPr>
          <w:rtl w:val="0"/>
          <w:lang w:val="en-US"/>
        </w:rPr>
        <w:t xml:space="preserve">. In these cases the effect of a shock to agricultural output on industrial output is zero both before and after the implementation of the income tax law, suggesting a situation of </w:t>
      </w:r>
      <w:r>
        <w:rPr>
          <w:rFonts w:ascii="Helvetica" w:hAnsi="Helvetica"/>
          <w:i w:val="1"/>
          <w:iCs w:val="1"/>
          <w:rtl w:val="0"/>
          <w:lang w:val="en-US"/>
        </w:rPr>
        <w:t>unbalanced</w:t>
      </w:r>
      <w:r>
        <w:rPr>
          <w:rtl w:val="0"/>
          <w:lang w:val="en-US"/>
        </w:rPr>
        <w:t xml:space="preserve"> economic growth. The political correlate is the lack of a strong political challenger. </w:t>
      </w:r>
      <w:r>
        <w:rPr>
          <w:rtl w:val="0"/>
          <w:lang w:val="en-US"/>
        </w:rPr>
        <w:t xml:space="preserve">Table 1 </w:t>
      </w:r>
      <w:r>
        <w:rPr>
          <w:rtl w:val="0"/>
          <w:lang w:val="en-US"/>
        </w:rPr>
        <w:t>suggests that the industrial sector was always week, indicating that their corresponding political elites were unable to contest the landowning class. In both cases the implementation of the income tax did not revert the initial backward macroeconomic equilibrium because when implemented, it did not reflect the inter-sectoral tensions, challenges and compromises proper of the contested political economies.</w:t>
      </w:r>
      <w:bookmarkEnd w:id="7"/>
    </w:p>
    <w:p>
      <w:pPr>
        <w:pStyle w:val="Heading"/>
        <w:jc w:val="both"/>
      </w:pPr>
      <w:r>
        <w:br w:type="page"/>
      </w:r>
    </w:p>
    <w:p>
      <w:pPr>
        <w:pStyle w:val="Heading"/>
        <w:jc w:val="both"/>
      </w:pPr>
      <w:bookmarkStart w:name="discussiondiscussion" w:id="8"/>
      <w:r>
        <w:rPr>
          <w:rtl w:val="0"/>
          <w:lang w:val="en-US"/>
        </w:rPr>
        <w:t>Discussion</w:t>
      </w:r>
    </w:p>
    <w:p>
      <w:pPr>
        <w:pStyle w:val="First Paragraph"/>
        <w:jc w:val="both"/>
      </w:pPr>
      <w:r>
        <w:rPr>
          <w:rtl w:val="0"/>
          <w:lang w:val="en-US"/>
        </w:rPr>
        <w:t xml:space="preserve">Elites split along economic interests will use state power to influence certain policies and hence, growth and state building in different ways. I have argued that the emergence of the industrial sector caused political development by rising a political challenger. The argument differs deeply from modernization theory. What causes political development is not industrialization </w:t>
      </w:r>
      <w:r>
        <w:rPr>
          <w:rFonts w:ascii="Helvetica" w:hAnsi="Helvetica"/>
          <w:i w:val="1"/>
          <w:iCs w:val="1"/>
          <w:rtl w:val="0"/>
          <w:lang w:val="en-US"/>
        </w:rPr>
        <w:t>per se</w:t>
      </w:r>
      <w:r>
        <w:rPr>
          <w:rtl w:val="0"/>
          <w:lang w:val="en-US"/>
        </w:rPr>
        <w:t xml:space="preserve">, but the development of a productive landed elite which supplied labor and cheap foodstuff to the modern sector, promoting </w:t>
      </w:r>
      <w:r>
        <w:rPr>
          <w:rFonts w:ascii="Helvetica" w:hAnsi="Helvetica"/>
          <w:i w:val="1"/>
          <w:iCs w:val="1"/>
          <w:rtl w:val="0"/>
          <w:lang w:val="en-US"/>
        </w:rPr>
        <w:t>balanced</w:t>
      </w:r>
      <w:r>
        <w:rPr>
          <w:rtl w:val="0"/>
          <w:lang w:val="en-US"/>
        </w:rPr>
        <w:t xml:space="preserve"> economic development between the </w:t>
      </w:r>
      <w:r>
        <w:rPr>
          <w:rFonts w:ascii="Helvetica" w:hAnsi="Helvetica"/>
          <w:i w:val="1"/>
          <w:iCs w:val="1"/>
          <w:rtl w:val="0"/>
          <w:lang w:val="en-US"/>
        </w:rPr>
        <w:t>two</w:t>
      </w:r>
      <w:r>
        <w:rPr>
          <w:rtl w:val="0"/>
          <w:lang w:val="en-US"/>
        </w:rPr>
        <w:t xml:space="preserve"> sectors. In turn, balanced growth politically empowered </w:t>
      </w:r>
      <w:r>
        <w:rPr>
          <w:rFonts w:ascii="Helvetica" w:hAnsi="Helvetica"/>
          <w:i w:val="1"/>
          <w:iCs w:val="1"/>
          <w:rtl w:val="0"/>
          <w:lang w:val="en-US"/>
        </w:rPr>
        <w:t>both</w:t>
      </w:r>
      <w:r>
        <w:rPr>
          <w:rtl w:val="0"/>
          <w:lang w:val="en-US"/>
        </w:rPr>
        <w:t xml:space="preserve"> economic elites. When there were weak inter-sectoral linkages and lack of economic complementarity between the two sectors, countries not only failed to grow, but also produced uncontested political environments, and investments in political institutions were less likely. The radical transformation of the economy is a precondition for political development.</w:t>
      </w:r>
    </w:p>
    <w:p>
      <w:pPr>
        <w:pStyle w:val="Body Text"/>
        <w:jc w:val="both"/>
      </w:pPr>
      <w:r>
        <w:rPr>
          <w:rtl w:val="0"/>
          <w:lang w:val="en-US"/>
        </w:rPr>
        <w:t>Two brief historical references were discussed. The Chilean case stresses the importance of sectoral competition and the role of income taxation, while the Argentinean case focuses on an important issue, namely, the overlap between the export/agriculture and import/industry, a recurrent topic in Latin American economic history. Time-series analyses, particularly, Granger-causality tests and VAR models (and IRFs) were presented in an effort to suggest that this theory can be applied to other countries in the region. There are good reasons to believe that the theory has general applicability to other cases.</w:t>
      </w:r>
      <w:bookmarkEnd w:id="8"/>
    </w:p>
    <w:p>
      <w:pPr>
        <w:pStyle w:val="Heading"/>
        <w:jc w:val="both"/>
      </w:pPr>
      <w:r>
        <w:br w:type="page"/>
      </w:r>
    </w:p>
    <w:p>
      <w:pPr>
        <w:pStyle w:val="Heading"/>
        <w:jc w:val="both"/>
      </w:pPr>
      <w:r>
        <w:rPr>
          <w:rtl w:val="0"/>
          <w:lang w:val="en-US"/>
        </w:rPr>
        <w:t>In-Text Figures and Tables</w:t>
      </w:r>
    </w:p>
    <w:p>
      <w:pPr>
        <w:pStyle w:val="Body Text"/>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427588</wp:posOffset>
            </wp:positionV>
            <wp:extent cx="5943551" cy="43225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ructural_Breaks_Paper.pdf"/>
                    <pic:cNvPicPr>
                      <a:picLocks noChangeAspect="1"/>
                    </pic:cNvPicPr>
                  </pic:nvPicPr>
                  <pic:blipFill>
                    <a:blip r:embed="rId4">
                      <a:extLst/>
                    </a:blip>
                    <a:srcRect l="0" t="0" r="0" b="0"/>
                    <a:stretch>
                      <a:fillRect/>
                    </a:stretch>
                  </pic:blipFill>
                  <pic:spPr>
                    <a:xfrm>
                      <a:off x="0" y="0"/>
                      <a:ext cx="5943551" cy="4322582"/>
                    </a:xfrm>
                    <a:prstGeom prst="rect">
                      <a:avLst/>
                    </a:prstGeom>
                    <a:ln w="12700" cap="flat">
                      <a:noFill/>
                      <a:miter lim="400000"/>
                    </a:ln>
                    <a:effectLst/>
                  </pic:spPr>
                </pic:pic>
              </a:graphicData>
            </a:graphic>
          </wp:anchor>
        </w:drawing>
      </w:r>
    </w:p>
    <w:p>
      <w:pPr>
        <w:pStyle w:val="Body Text"/>
        <w:jc w:val="center"/>
      </w:pPr>
      <w:r>
        <w:rPr>
          <w:rFonts w:ascii="Helvetica" w:hAnsi="Helvetica"/>
          <w:b w:val="1"/>
          <w:bCs w:val="1"/>
          <w:rtl w:val="0"/>
          <w:lang w:val="en-US"/>
        </w:rPr>
        <w:t>Fig</w:t>
      </w:r>
      <w:r>
        <w:rPr>
          <w:rFonts w:ascii="Helvetica" w:hAnsi="Helvetica"/>
          <w:b w:val="1"/>
          <w:bCs w:val="1"/>
          <w:rtl w:val="0"/>
          <w:lang w:val="en-US"/>
        </w:rPr>
        <w:t>.</w:t>
      </w:r>
      <w:r>
        <w:rPr>
          <w:rFonts w:ascii="Helvetica" w:hAnsi="Helvetica"/>
          <w:b w:val="1"/>
          <w:bCs w:val="1"/>
          <w:rtl w:val="0"/>
          <w:lang w:val="en-US"/>
        </w:rPr>
        <w:t xml:space="preserve"> 1</w:t>
      </w:r>
      <w:r>
        <w:rPr>
          <w:rtl w:val="0"/>
          <w:lang w:val="en-US"/>
        </w:rPr>
        <w:t>: Sectoral Outputs Before and After the Implementation of the Income Tax Law</w:t>
      </w:r>
    </w:p>
    <w:p>
      <w:pPr>
        <w:pStyle w:val="Body Text"/>
        <w:jc w:val="center"/>
      </w:pPr>
      <w:r>
        <w:br w:type="page"/>
      </w:r>
    </w:p>
    <w:p>
      <w:pPr>
        <w:pStyle w:val="Body Text"/>
        <w:jc w:val="center"/>
      </w:pPr>
    </w:p>
    <w:p>
      <w:pPr>
        <w:pStyle w:val="Body Text"/>
        <w:jc w:val="center"/>
      </w:pPr>
      <w:r>
        <w:drawing>
          <wp:anchor distT="152400" distB="152400" distL="152400" distR="152400" simplePos="0" relativeHeight="251660288" behindDoc="0" locked="0" layoutInCell="1" allowOverlap="1">
            <wp:simplePos x="0" y="0"/>
            <wp:positionH relativeFrom="margin">
              <wp:posOffset>528381</wp:posOffset>
            </wp:positionH>
            <wp:positionV relativeFrom="page">
              <wp:posOffset>914400</wp:posOffset>
            </wp:positionV>
            <wp:extent cx="5241175"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able1.jpeg"/>
                    <pic:cNvPicPr>
                      <a:picLocks noChangeAspect="1"/>
                    </pic:cNvPicPr>
                  </pic:nvPicPr>
                  <pic:blipFill>
                    <a:blip r:embed="rId5">
                      <a:extLst/>
                    </a:blip>
                    <a:stretch>
                      <a:fillRect/>
                    </a:stretch>
                  </pic:blipFill>
                  <pic:spPr>
                    <a:xfrm>
                      <a:off x="0" y="0"/>
                      <a:ext cx="5241175" cy="5943600"/>
                    </a:xfrm>
                    <a:prstGeom prst="rect">
                      <a:avLst/>
                    </a:prstGeom>
                    <a:ln w="12700" cap="flat">
                      <a:noFill/>
                      <a:miter lim="400000"/>
                    </a:ln>
                    <a:effectLst/>
                  </pic:spPr>
                </pic:pic>
              </a:graphicData>
            </a:graphic>
          </wp:anchor>
        </w:drawing>
      </w:r>
      <w:r>
        <w:br w:type="page"/>
      </w:r>
    </w:p>
    <w:p>
      <w:pPr>
        <w:pStyle w:val="Heading"/>
        <w:jc w:val="both"/>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366517</wp:posOffset>
            </wp:positionV>
            <wp:extent cx="5943600" cy="213422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able2.jpeg"/>
                    <pic:cNvPicPr>
                      <a:picLocks noChangeAspect="1"/>
                    </pic:cNvPicPr>
                  </pic:nvPicPr>
                  <pic:blipFill>
                    <a:blip r:embed="rId6">
                      <a:extLst/>
                    </a:blip>
                    <a:stretch>
                      <a:fillRect/>
                    </a:stretch>
                  </pic:blipFill>
                  <pic:spPr>
                    <a:xfrm>
                      <a:off x="0" y="0"/>
                      <a:ext cx="5943600" cy="2134220"/>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p>
    <w:p>
      <w:pPr>
        <w:pStyle w:val="Body Text"/>
      </w:pPr>
    </w:p>
    <w:p>
      <w:pPr>
        <w:pStyle w:val="Body Text"/>
      </w:pPr>
    </w:p>
    <w:p>
      <w:pPr>
        <w:pStyle w:val="Body Text"/>
      </w:pPr>
      <w:r>
        <w:br w:type="page"/>
      </w:r>
    </w:p>
    <w:p>
      <w:pPr>
        <w:pStyle w:val="Body Text"/>
        <w:jc w:val="center"/>
      </w:pPr>
      <w:r>
        <w:rPr>
          <w:rFonts w:ascii="Helvetica" w:hAnsi="Helvetica"/>
          <w:b w:val="1"/>
          <w:bCs w:val="1"/>
          <w:rtl w:val="0"/>
          <w:lang w:val="en-US"/>
        </w:rPr>
        <w:t>Fig</w:t>
      </w:r>
      <w:r>
        <w:rPr>
          <w:rFonts w:ascii="Helvetica" w:hAnsi="Helvetica"/>
          <w:b w:val="1"/>
          <w:bCs w:val="1"/>
          <w:rtl w:val="0"/>
          <w:lang w:val="en-US"/>
        </w:rPr>
        <w:t>.</w:t>
      </w:r>
      <w:r>
        <w:rPr>
          <w:rFonts w:ascii="Helvetica" w:hAnsi="Helvetica"/>
          <w:b w:val="1"/>
          <w:bCs w:val="1"/>
          <w:rtl w:val="0"/>
          <w:lang w:val="en-US"/>
        </w:rPr>
        <w:t xml:space="preserve"> </w:t>
      </w:r>
      <w:r>
        <w:rPr>
          <w:rFonts w:ascii="Helvetica" w:hAnsi="Helvetica"/>
          <w:b w:val="1"/>
          <w:bCs w:val="1"/>
          <w:rtl w:val="0"/>
          <w:lang w:val="en-US"/>
        </w:rPr>
        <w:t>2</w:t>
      </w:r>
      <w:r>
        <w:rPr>
          <w:rtl w:val="0"/>
          <w:lang w:val="en-US"/>
        </w:rPr>
        <w:t>: VAR Impulse Response Functions: Sectoral Responses to Each Other</w:t>
      </w:r>
      <w:r>
        <w:rPr>
          <w:rtl w:val="0"/>
          <w:lang w:val="en-US"/>
        </w:rPr>
        <w:t>’</w:t>
      </w:r>
      <w:r>
        <w:rPr>
          <w:rtl w:val="0"/>
          <w:lang w:val="en-US"/>
        </w:rPr>
        <w:t>s Growths</w:t>
      </w:r>
    </w:p>
    <w:p>
      <w:pPr>
        <w:pStyle w:val="Body Text"/>
        <w:jc w:val="center"/>
      </w:pPr>
      <w:r>
        <w:drawing>
          <wp:anchor distT="152400" distB="152400" distL="152400" distR="152400" simplePos="0" relativeHeight="251662336" behindDoc="0" locked="0" layoutInCell="1" allowOverlap="1">
            <wp:simplePos x="0" y="0"/>
            <wp:positionH relativeFrom="margin">
              <wp:posOffset>-146068</wp:posOffset>
            </wp:positionH>
            <wp:positionV relativeFrom="page">
              <wp:posOffset>914399</wp:posOffset>
            </wp:positionV>
            <wp:extent cx="6083319" cy="442423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RF_Paper.pdf"/>
                    <pic:cNvPicPr>
                      <a:picLocks noChangeAspect="1"/>
                    </pic:cNvPicPr>
                  </pic:nvPicPr>
                  <pic:blipFill>
                    <a:blip r:embed="rId7">
                      <a:extLst/>
                    </a:blip>
                    <a:stretch>
                      <a:fillRect/>
                    </a:stretch>
                  </pic:blipFill>
                  <pic:spPr>
                    <a:xfrm>
                      <a:off x="0" y="0"/>
                      <a:ext cx="6083319" cy="4424232"/>
                    </a:xfrm>
                    <a:prstGeom prst="rect">
                      <a:avLst/>
                    </a:prstGeom>
                    <a:ln w="12700" cap="flat">
                      <a:noFill/>
                      <a:miter lim="400000"/>
                    </a:ln>
                    <a:effectLst/>
                  </pic:spPr>
                </pic:pic>
              </a:graphicData>
            </a:graphic>
          </wp:anchor>
        </w:drawing>
      </w:r>
    </w:p>
    <w:p>
      <w:pPr>
        <w:pStyle w:val="Body Text"/>
      </w:pPr>
    </w:p>
    <w:p>
      <w:pPr>
        <w:pStyle w:val="Body Text"/>
      </w:pPr>
      <w:r>
        <w:br w:type="page"/>
      </w:r>
    </w:p>
    <w:p>
      <w:pPr>
        <w:pStyle w:val="Heading"/>
        <w:jc w:val="both"/>
      </w:pPr>
      <w:bookmarkStart w:name="appendix" w:id="9"/>
      <w:r>
        <w:rPr>
          <w:rtl w:val="0"/>
          <w:lang w:val="da-DK"/>
        </w:rPr>
        <w:t>Appendix</w:t>
      </w:r>
      <w:r>
        <w:drawing>
          <wp:anchor distT="152400" distB="152400" distL="152400" distR="152400" simplePos="0" relativeHeight="251663360" behindDoc="0" locked="0" layoutInCell="1" allowOverlap="1">
            <wp:simplePos x="0" y="0"/>
            <wp:positionH relativeFrom="margin">
              <wp:posOffset>-266414</wp:posOffset>
            </wp:positionH>
            <wp:positionV relativeFrom="line">
              <wp:posOffset>328868</wp:posOffset>
            </wp:positionV>
            <wp:extent cx="6463729" cy="312553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ableA1.jpeg"/>
                    <pic:cNvPicPr>
                      <a:picLocks noChangeAspect="1"/>
                    </pic:cNvPicPr>
                  </pic:nvPicPr>
                  <pic:blipFill>
                    <a:blip r:embed="rId8">
                      <a:extLst/>
                    </a:blip>
                    <a:stretch>
                      <a:fillRect/>
                    </a:stretch>
                  </pic:blipFill>
                  <pic:spPr>
                    <a:xfrm>
                      <a:off x="0" y="0"/>
                      <a:ext cx="6463729" cy="3125532"/>
                    </a:xfrm>
                    <a:prstGeom prst="rect">
                      <a:avLst/>
                    </a:prstGeom>
                    <a:ln w="12700" cap="flat">
                      <a:noFill/>
                      <a:miter lim="400000"/>
                    </a:ln>
                    <a:effectLst/>
                  </pic:spPr>
                </pic:pic>
              </a:graphicData>
            </a:graphic>
          </wp:anchor>
        </w:drawing>
      </w:r>
    </w:p>
    <w:p>
      <w:pPr>
        <w:pStyle w:val="First Paragraph"/>
        <w:jc w:val="both"/>
      </w:pPr>
    </w:p>
    <w:p>
      <w:pPr>
        <w:pStyle w:val="First Paragraph"/>
        <w:jc w:val="both"/>
      </w:pPr>
      <w:r>
        <w:br w:type="page"/>
      </w:r>
    </w:p>
    <w:p>
      <w:pPr>
        <w:pStyle w:val="Body Text"/>
      </w:pPr>
      <w:r>
        <w:drawing>
          <wp:anchor distT="152400" distB="152400" distL="152400" distR="152400" simplePos="0" relativeHeight="251664384" behindDoc="0" locked="0" layoutInCell="1" allowOverlap="1">
            <wp:simplePos x="0" y="0"/>
            <wp:positionH relativeFrom="page">
              <wp:posOffset>1081791</wp:posOffset>
            </wp:positionH>
            <wp:positionV relativeFrom="page">
              <wp:posOffset>387340</wp:posOffset>
            </wp:positionV>
            <wp:extent cx="5608818" cy="7342252"/>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ableA2.jpeg"/>
                    <pic:cNvPicPr>
                      <a:picLocks noChangeAspect="1"/>
                    </pic:cNvPicPr>
                  </pic:nvPicPr>
                  <pic:blipFill>
                    <a:blip r:embed="rId9">
                      <a:extLst/>
                    </a:blip>
                    <a:stretch>
                      <a:fillRect/>
                    </a:stretch>
                  </pic:blipFill>
                  <pic:spPr>
                    <a:xfrm>
                      <a:off x="0" y="0"/>
                      <a:ext cx="5608818" cy="7342252"/>
                    </a:xfrm>
                    <a:prstGeom prst="rect">
                      <a:avLst/>
                    </a:prstGeom>
                    <a:ln w="12700" cap="flat">
                      <a:noFill/>
                      <a:miter lim="400000"/>
                    </a:ln>
                    <a:effectLst/>
                  </pic:spPr>
                </pic:pic>
              </a:graphicData>
            </a:graphic>
          </wp:anchor>
        </w:drawing>
      </w:r>
      <w:r>
        <w:br w:type="page"/>
      </w:r>
    </w:p>
    <w:p>
      <w:pPr>
        <w:pStyle w:val="First Paragraph"/>
        <w:jc w:val="both"/>
      </w:pPr>
      <w:r>
        <w:drawing>
          <wp:anchor distT="152400" distB="152400" distL="152400" distR="152400" simplePos="0" relativeHeight="251665408" behindDoc="0" locked="0" layoutInCell="1" allowOverlap="1">
            <wp:simplePos x="0" y="0"/>
            <wp:positionH relativeFrom="margin">
              <wp:posOffset>-6349</wp:posOffset>
            </wp:positionH>
            <wp:positionV relativeFrom="page">
              <wp:posOffset>914400</wp:posOffset>
            </wp:positionV>
            <wp:extent cx="5943600" cy="316353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ableA3.jpeg"/>
                    <pic:cNvPicPr>
                      <a:picLocks noChangeAspect="1"/>
                    </pic:cNvPicPr>
                  </pic:nvPicPr>
                  <pic:blipFill>
                    <a:blip r:embed="rId10">
                      <a:extLst/>
                    </a:blip>
                    <a:stretch>
                      <a:fillRect/>
                    </a:stretch>
                  </pic:blipFill>
                  <pic:spPr>
                    <a:xfrm>
                      <a:off x="0" y="0"/>
                      <a:ext cx="5943600" cy="3163530"/>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r>
        <w:br w:type="page"/>
      </w:r>
    </w:p>
    <w:p>
      <w:pPr>
        <w:pStyle w:val="First Paragraph"/>
        <w:jc w:val="both"/>
      </w:pPr>
      <w:r>
        <w:rPr>
          <w:rFonts w:ascii="Helvetica" w:hAnsi="Helvetica"/>
          <w:b w:val="1"/>
          <w:bCs w:val="1"/>
          <w:color w:val="345a8a"/>
          <w:sz w:val="32"/>
          <w:szCs w:val="32"/>
          <w:u w:color="345a8a"/>
          <w:rtl w:val="0"/>
          <w:lang w:val="en-US"/>
        </w:rPr>
        <w:t>References</w:t>
      </w:r>
      <w:r>
        <w:br w:type="textWrapping"/>
      </w:r>
    </w:p>
    <w:p>
      <w:pPr>
        <w:pStyle w:val="Bibliography"/>
        <w:jc w:val="both"/>
      </w:pPr>
      <w:r>
        <w:rPr>
          <w:rtl w:val="0"/>
          <w:lang w:val="en-US"/>
        </w:rPr>
        <w:t xml:space="preserve">Acemoglu, D., &amp; Robinson, J. (2009). </w:t>
      </w:r>
      <w:r>
        <w:rPr>
          <w:rFonts w:ascii="Helvetica" w:hAnsi="Helvetica"/>
          <w:i w:val="1"/>
          <w:iCs w:val="1"/>
          <w:rtl w:val="0"/>
          <w:lang w:val="en-US"/>
        </w:rPr>
        <w:t>Economic origins of dictatorship and democracy</w:t>
      </w:r>
      <w:r>
        <w:rPr>
          <w:rtl w:val="0"/>
          <w:lang w:val="en-US"/>
        </w:rPr>
        <w:t>. Cambridge University Press.</w:t>
      </w:r>
    </w:p>
    <w:p>
      <w:pPr>
        <w:pStyle w:val="Bibliography"/>
        <w:jc w:val="both"/>
      </w:pPr>
      <w:r>
        <w:rPr>
          <w:rtl w:val="0"/>
          <w:lang w:val="en-US"/>
        </w:rPr>
        <w:t xml:space="preserve">Ansell, B., &amp; Samuels, D. (2014). </w:t>
      </w:r>
      <w:r>
        <w:rPr>
          <w:rFonts w:ascii="Helvetica" w:hAnsi="Helvetica"/>
          <w:i w:val="1"/>
          <w:iCs w:val="1"/>
          <w:rtl w:val="0"/>
          <w:lang w:val="en-US"/>
        </w:rPr>
        <w:t>Inequality and democratization: An elite-competition approach</w:t>
      </w:r>
      <w:r>
        <w:rPr>
          <w:rtl w:val="0"/>
          <w:lang w:val="en-US"/>
        </w:rPr>
        <w:t>. Cambridge University Press.</w:t>
      </w:r>
    </w:p>
    <w:p>
      <w:pPr>
        <w:pStyle w:val="Bibliography"/>
        <w:jc w:val="both"/>
      </w:pPr>
      <w:r>
        <w:rPr>
          <w:rtl w:val="0"/>
          <w:lang w:val="en-US"/>
        </w:rPr>
        <w:t xml:space="preserve">Astorga, P., Berges, A., &amp; Fitzgerald, V. (2005). The Standard of Living in Latin America During the Twentieth Century. </w:t>
      </w:r>
      <w:r>
        <w:rPr>
          <w:rFonts w:ascii="Helvetica" w:hAnsi="Helvetica"/>
          <w:i w:val="1"/>
          <w:iCs w:val="1"/>
          <w:rtl w:val="0"/>
          <w:lang w:val="en-US"/>
        </w:rPr>
        <w:t>Economic History Review</w:t>
      </w:r>
      <w:r>
        <w:rPr>
          <w:rtl w:val="0"/>
          <w:lang w:val="en-US"/>
        </w:rPr>
        <w:t xml:space="preserve">, </w:t>
      </w:r>
      <w:r>
        <w:rPr>
          <w:rFonts w:ascii="Helvetica" w:hAnsi="Helvetica"/>
          <w:i w:val="1"/>
          <w:iCs w:val="1"/>
          <w:rtl w:val="0"/>
          <w:lang w:val="en-US"/>
        </w:rPr>
        <w:t>58</w:t>
      </w:r>
      <w:r>
        <w:rPr>
          <w:rtl w:val="0"/>
          <w:lang w:val="en-US"/>
        </w:rPr>
        <w:t>(4), 765</w:t>
      </w:r>
      <w:r>
        <w:rPr>
          <w:rtl w:val="0"/>
          <w:lang w:val="en-US"/>
        </w:rPr>
        <w:t>–</w:t>
      </w:r>
      <w:r>
        <w:rPr>
          <w:rtl w:val="0"/>
          <w:lang w:val="en-US"/>
        </w:rPr>
        <w:t xml:space="preserve">796. Retrieved from </w:t>
      </w:r>
      <w:r>
        <w:rPr>
          <w:rStyle w:val="Hyperlink.0"/>
        </w:rPr>
        <w:fldChar w:fldCharType="begin" w:fldLock="0"/>
      </w:r>
      <w:r>
        <w:rPr>
          <w:rStyle w:val="Hyperlink.0"/>
        </w:rPr>
        <w:instrText xml:space="preserve"> HYPERLINK "http://doi.wiley.com/10.1111/j.1468-0289.2005.00321.x"</w:instrText>
      </w:r>
      <w:r>
        <w:rPr>
          <w:rStyle w:val="Hyperlink.0"/>
        </w:rPr>
        <w:fldChar w:fldCharType="separate" w:fldLock="0"/>
      </w:r>
      <w:r>
        <w:rPr>
          <w:rStyle w:val="Hyperlink.0"/>
          <w:rtl w:val="0"/>
          <w:lang w:val="en-US"/>
        </w:rPr>
        <w:t>http://doi.wiley.com/10.1111/j.1468-0289.2005.00321.x</w:t>
      </w:r>
      <w:r>
        <w:rPr/>
        <w:fldChar w:fldCharType="end" w:fldLock="0"/>
      </w:r>
    </w:p>
    <w:p>
      <w:pPr>
        <w:pStyle w:val="Bibliography"/>
        <w:jc w:val="both"/>
      </w:pPr>
      <w:r>
        <w:rPr>
          <w:rtl w:val="0"/>
          <w:lang w:val="en-US"/>
        </w:rPr>
        <w:t xml:space="preserve">Baer, W., &amp; Herve, M. (1966). Employment and Industrialization in Developing Countries. </w:t>
      </w:r>
      <w:r>
        <w:rPr>
          <w:rFonts w:ascii="Helvetica" w:hAnsi="Helvetica"/>
          <w:i w:val="1"/>
          <w:iCs w:val="1"/>
          <w:rtl w:val="0"/>
          <w:lang w:val="en-US"/>
        </w:rPr>
        <w:t>The Quarterly Journal of Economics</w:t>
      </w:r>
      <w:r>
        <w:rPr>
          <w:rtl w:val="0"/>
          <w:lang w:val="en-US"/>
        </w:rPr>
        <w:t xml:space="preserve">, </w:t>
      </w:r>
      <w:r>
        <w:rPr>
          <w:rFonts w:ascii="Helvetica" w:hAnsi="Helvetica"/>
          <w:i w:val="1"/>
          <w:iCs w:val="1"/>
          <w:rtl w:val="0"/>
          <w:lang w:val="en-US"/>
        </w:rPr>
        <w:t>80</w:t>
      </w:r>
      <w:r>
        <w:rPr>
          <w:rtl w:val="0"/>
          <w:lang w:val="en-US"/>
        </w:rPr>
        <w:t>(1), 88</w:t>
      </w:r>
      <w:r>
        <w:rPr>
          <w:rtl w:val="0"/>
          <w:lang w:val="en-US"/>
        </w:rPr>
        <w:t>–</w:t>
      </w:r>
      <w:r>
        <w:rPr>
          <w:rtl w:val="0"/>
          <w:lang w:val="en-US"/>
        </w:rPr>
        <w:t xml:space="preserve">107. Retrieved from </w:t>
      </w:r>
      <w:r>
        <w:rPr>
          <w:rStyle w:val="Hyperlink.0"/>
          <w:rtl w:val="0"/>
          <w:lang w:val="en-US"/>
        </w:rPr>
        <w:t>http://qje.oxfordjournals.org/lookup/doi/10.2307/1879592 http://qje.oxfordjournals.org/lookup/doi/10.2307/1880581</w:t>
      </w:r>
    </w:p>
    <w:p>
      <w:pPr>
        <w:pStyle w:val="Bibliography"/>
        <w:jc w:val="both"/>
      </w:pPr>
      <w:r>
        <w:rPr>
          <w:rtl w:val="0"/>
          <w:lang w:val="en-US"/>
        </w:rPr>
        <w:t xml:space="preserve">Baland, J. M., &amp; Robinson, J. (2008). Land and Power: Theory and Evidence from Chile. </w:t>
      </w:r>
      <w:r>
        <w:rPr>
          <w:rFonts w:ascii="Helvetica" w:hAnsi="Helvetica"/>
          <w:i w:val="1"/>
          <w:iCs w:val="1"/>
          <w:rtl w:val="0"/>
          <w:lang w:val="en-US"/>
        </w:rPr>
        <w:t>American Economic Review</w:t>
      </w:r>
      <w:r>
        <w:rPr>
          <w:rtl w:val="0"/>
          <w:lang w:val="en-US"/>
        </w:rPr>
        <w:t xml:space="preserve">, </w:t>
      </w:r>
      <w:r>
        <w:rPr>
          <w:rFonts w:ascii="Helvetica" w:hAnsi="Helvetica"/>
          <w:i w:val="1"/>
          <w:iCs w:val="1"/>
          <w:rtl w:val="0"/>
          <w:lang w:val="en-US"/>
        </w:rPr>
        <w:t>98</w:t>
      </w:r>
      <w:r>
        <w:rPr>
          <w:rtl w:val="0"/>
          <w:lang w:val="en-US"/>
        </w:rPr>
        <w:t>(5), 1737</w:t>
      </w:r>
      <w:r>
        <w:rPr>
          <w:rtl w:val="0"/>
          <w:lang w:val="en-US"/>
        </w:rPr>
        <w:t>–</w:t>
      </w:r>
      <w:r>
        <w:rPr>
          <w:rtl w:val="0"/>
          <w:lang w:val="en-US"/>
        </w:rPr>
        <w:t>1765.</w:t>
      </w:r>
    </w:p>
    <w:p>
      <w:pPr>
        <w:pStyle w:val="Bibliography"/>
        <w:jc w:val="both"/>
      </w:pPr>
      <w:r>
        <w:rPr>
          <w:rtl w:val="0"/>
          <w:lang w:val="en-US"/>
        </w:rPr>
        <w:t xml:space="preserve">Bauer, A. (2008). </w:t>
      </w:r>
      <w:r>
        <w:rPr>
          <w:rFonts w:ascii="Helvetica" w:hAnsi="Helvetica"/>
          <w:i w:val="1"/>
          <w:iCs w:val="1"/>
          <w:rtl w:val="0"/>
          <w:lang w:val="en-US"/>
        </w:rPr>
        <w:t>Chilean rural society: From the spanish conquest to 1930</w:t>
      </w:r>
      <w:r>
        <w:rPr>
          <w:rtl w:val="0"/>
          <w:lang w:val="en-US"/>
        </w:rPr>
        <w:t>. Cambridge University Press.</w:t>
      </w:r>
    </w:p>
    <w:p>
      <w:pPr>
        <w:pStyle w:val="Bibliography"/>
        <w:jc w:val="both"/>
      </w:pPr>
      <w:r>
        <w:rPr>
          <w:rtl w:val="0"/>
          <w:lang w:val="en-US"/>
        </w:rPr>
        <w:t xml:space="preserve">Beck, N. (1992). The Methodology of Cointegration. </w:t>
      </w:r>
      <w:r>
        <w:rPr>
          <w:rFonts w:ascii="Helvetica" w:hAnsi="Helvetica"/>
          <w:i w:val="1"/>
          <w:iCs w:val="1"/>
          <w:rtl w:val="0"/>
          <w:lang w:val="en-US"/>
        </w:rPr>
        <w:t>Political Analysis</w:t>
      </w:r>
      <w:r>
        <w:rPr>
          <w:rtl w:val="0"/>
          <w:lang w:val="en-US"/>
        </w:rPr>
        <w:t xml:space="preserve">, </w:t>
      </w:r>
      <w:r>
        <w:rPr>
          <w:rFonts w:ascii="Helvetica" w:hAnsi="Helvetica"/>
          <w:i w:val="1"/>
          <w:iCs w:val="1"/>
          <w:rtl w:val="0"/>
          <w:lang w:val="en-US"/>
        </w:rPr>
        <w:t>4</w:t>
      </w:r>
      <w:r>
        <w:rPr>
          <w:rtl w:val="0"/>
          <w:lang w:val="en-US"/>
        </w:rPr>
        <w:t>, 237</w:t>
      </w:r>
      <w:r>
        <w:rPr>
          <w:rtl w:val="0"/>
          <w:lang w:val="en-US"/>
        </w:rPr>
        <w:t>–</w:t>
      </w:r>
      <w:r>
        <w:rPr>
          <w:rtl w:val="0"/>
          <w:lang w:val="en-US"/>
        </w:rPr>
        <w:t xml:space="preserve">247. Retrieved from </w:t>
      </w:r>
      <w:r>
        <w:rPr>
          <w:rStyle w:val="Hyperlink.0"/>
        </w:rPr>
        <w:fldChar w:fldCharType="begin" w:fldLock="0"/>
      </w:r>
      <w:r>
        <w:rPr>
          <w:rStyle w:val="Hyperlink.0"/>
        </w:rPr>
        <w:instrText xml:space="preserve"> HYPERLINK "http://www.jstor.org/stable/23321238"</w:instrText>
      </w:r>
      <w:r>
        <w:rPr>
          <w:rStyle w:val="Hyperlink.0"/>
        </w:rPr>
        <w:fldChar w:fldCharType="separate" w:fldLock="0"/>
      </w:r>
      <w:r>
        <w:rPr>
          <w:rStyle w:val="Hyperlink.0"/>
          <w:rtl w:val="0"/>
          <w:lang w:val="en-US"/>
        </w:rPr>
        <w:t>http://www.jstor.org/stable/23321238</w:t>
      </w:r>
      <w:r>
        <w:rPr/>
        <w:fldChar w:fldCharType="end" w:fldLock="0"/>
      </w:r>
    </w:p>
    <w:p>
      <w:pPr>
        <w:pStyle w:val="Bibliography"/>
        <w:jc w:val="both"/>
      </w:pPr>
      <w:r>
        <w:rPr>
          <w:rtl w:val="0"/>
          <w:lang w:val="en-US"/>
        </w:rPr>
        <w:t xml:space="preserve">Bergquist, C. (1986). </w:t>
      </w:r>
      <w:r>
        <w:rPr>
          <w:rFonts w:ascii="Helvetica" w:hAnsi="Helvetica"/>
          <w:i w:val="1"/>
          <w:iCs w:val="1"/>
          <w:rtl w:val="0"/>
          <w:lang w:val="en-US"/>
        </w:rPr>
        <w:t>Coffee and Conflict in Colombia, 1886-1910</w:t>
      </w:r>
      <w:r>
        <w:rPr>
          <w:rtl w:val="0"/>
          <w:lang w:val="en-US"/>
        </w:rPr>
        <w:t>. Duke University Press.</w:t>
      </w:r>
    </w:p>
    <w:p>
      <w:pPr>
        <w:pStyle w:val="Bibliography"/>
        <w:jc w:val="both"/>
      </w:pPr>
      <w:r>
        <w:rPr>
          <w:rtl w:val="0"/>
          <w:lang w:val="en-US"/>
        </w:rPr>
        <w:t xml:space="preserve">Blaydes, L., &amp; Kayser, M. (2011). Counting Calories: Democracy and Distribution in the Developing World. </w:t>
      </w:r>
      <w:r>
        <w:rPr>
          <w:rFonts w:ascii="Helvetica" w:hAnsi="Helvetica"/>
          <w:i w:val="1"/>
          <w:iCs w:val="1"/>
          <w:rtl w:val="0"/>
          <w:lang w:val="en-US"/>
        </w:rPr>
        <w:t>International Studies Quarterly</w:t>
      </w:r>
      <w:r>
        <w:rPr>
          <w:rtl w:val="0"/>
          <w:lang w:val="en-US"/>
        </w:rPr>
        <w:t xml:space="preserve">, </w:t>
      </w:r>
      <w:r>
        <w:rPr>
          <w:rFonts w:ascii="Helvetica" w:hAnsi="Helvetica"/>
          <w:i w:val="1"/>
          <w:iCs w:val="1"/>
          <w:rtl w:val="0"/>
          <w:lang w:val="en-US"/>
        </w:rPr>
        <w:t>55</w:t>
      </w:r>
      <w:r>
        <w:rPr>
          <w:rtl w:val="0"/>
          <w:lang w:val="en-US"/>
        </w:rPr>
        <w:t>(4), 887</w:t>
      </w:r>
      <w:r>
        <w:rPr>
          <w:rtl w:val="0"/>
          <w:lang w:val="en-US"/>
        </w:rPr>
        <w:t>–</w:t>
      </w:r>
      <w:r>
        <w:rPr>
          <w:rtl w:val="0"/>
          <w:lang w:val="en-US"/>
        </w:rPr>
        <w:t xml:space="preserve">908. Retrieved from </w:t>
      </w:r>
      <w:r>
        <w:rPr>
          <w:rStyle w:val="Hyperlink.0"/>
        </w:rPr>
        <w:fldChar w:fldCharType="begin" w:fldLock="0"/>
      </w:r>
      <w:r>
        <w:rPr>
          <w:rStyle w:val="Hyperlink.0"/>
        </w:rPr>
        <w:instrText xml:space="preserve"> HYPERLINK "http://isq.oxfordjournals.org/cgi/doi/10.1111/j.1468-2478.2011.00692.x"</w:instrText>
      </w:r>
      <w:r>
        <w:rPr>
          <w:rStyle w:val="Hyperlink.0"/>
        </w:rPr>
        <w:fldChar w:fldCharType="separate" w:fldLock="0"/>
      </w:r>
      <w:r>
        <w:rPr>
          <w:rStyle w:val="Hyperlink.0"/>
          <w:rtl w:val="0"/>
          <w:lang w:val="en-US"/>
        </w:rPr>
        <w:t>http://isq.oxfordjournals.org/cgi/doi/10.1111/j.1468-2478.2011.00692.x</w:t>
      </w:r>
      <w:r>
        <w:rPr/>
        <w:fldChar w:fldCharType="end" w:fldLock="0"/>
      </w:r>
    </w:p>
    <w:p>
      <w:pPr>
        <w:pStyle w:val="Bibliography"/>
        <w:jc w:val="both"/>
      </w:pPr>
      <w:r>
        <w:rPr>
          <w:rtl w:val="0"/>
          <w:lang w:val="en-US"/>
        </w:rPr>
        <w:t>Blunch, N.-H., &amp; Verner, D. (2006). Shared Sectoral Growth Versus the Dual Economy Model: Evidence from Cote d</w:t>
      </w:r>
      <w:r>
        <w:rPr>
          <w:rtl w:val="0"/>
          <w:lang w:val="en-US"/>
        </w:rPr>
        <w:t>’</w:t>
      </w:r>
      <w:r>
        <w:rPr>
          <w:rtl w:val="0"/>
          <w:lang w:val="en-US"/>
        </w:rPr>
        <w:t xml:space="preserve">Ivoire, Ghana, and Zimbabwe. </w:t>
      </w:r>
      <w:r>
        <w:rPr>
          <w:rFonts w:ascii="Helvetica" w:hAnsi="Helvetica"/>
          <w:i w:val="1"/>
          <w:iCs w:val="1"/>
          <w:rtl w:val="0"/>
          <w:lang w:val="en-US"/>
        </w:rPr>
        <w:t>African Development Review</w:t>
      </w:r>
      <w:r>
        <w:rPr>
          <w:rtl w:val="0"/>
          <w:lang w:val="en-US"/>
        </w:rPr>
        <w:t xml:space="preserve">, </w:t>
      </w:r>
      <w:r>
        <w:rPr>
          <w:rFonts w:ascii="Helvetica" w:hAnsi="Helvetica"/>
          <w:i w:val="1"/>
          <w:iCs w:val="1"/>
          <w:rtl w:val="0"/>
          <w:lang w:val="en-US"/>
        </w:rPr>
        <w:t>18</w:t>
      </w:r>
      <w:r>
        <w:rPr>
          <w:rtl w:val="0"/>
          <w:lang w:val="en-US"/>
        </w:rPr>
        <w:t>(3), 283</w:t>
      </w:r>
      <w:r>
        <w:rPr>
          <w:rtl w:val="0"/>
          <w:lang w:val="en-US"/>
        </w:rPr>
        <w:t>–</w:t>
      </w:r>
      <w:r>
        <w:rPr>
          <w:rtl w:val="0"/>
          <w:lang w:val="en-US"/>
        </w:rPr>
        <w:t xml:space="preserve">308. Retrieved from </w:t>
      </w:r>
      <w:r>
        <w:rPr>
          <w:rStyle w:val="Hyperlink.0"/>
        </w:rPr>
        <w:fldChar w:fldCharType="begin" w:fldLock="0"/>
      </w:r>
      <w:r>
        <w:rPr>
          <w:rStyle w:val="Hyperlink.0"/>
        </w:rPr>
        <w:instrText xml:space="preserve"> HYPERLINK "http://doi.wiley.com/10.1111/j.1467-8268.2006.00150.x"</w:instrText>
      </w:r>
      <w:r>
        <w:rPr>
          <w:rStyle w:val="Hyperlink.0"/>
        </w:rPr>
        <w:fldChar w:fldCharType="separate" w:fldLock="0"/>
      </w:r>
      <w:r>
        <w:rPr>
          <w:rStyle w:val="Hyperlink.0"/>
          <w:rtl w:val="0"/>
          <w:lang w:val="en-US"/>
        </w:rPr>
        <w:t>http://doi.wiley.com/10.1111/j.1467-8268.2006.00150.x</w:t>
      </w:r>
      <w:r>
        <w:rPr/>
        <w:fldChar w:fldCharType="end" w:fldLock="0"/>
      </w:r>
    </w:p>
    <w:p>
      <w:pPr>
        <w:pStyle w:val="Bibliography"/>
        <w:jc w:val="both"/>
      </w:pPr>
      <w:r>
        <w:rPr>
          <w:rtl w:val="0"/>
          <w:lang w:val="en-US"/>
        </w:rPr>
        <w:t xml:space="preserve">Boix, C. (2003). </w:t>
      </w:r>
      <w:r>
        <w:rPr>
          <w:rFonts w:ascii="Helvetica" w:hAnsi="Helvetica"/>
          <w:i w:val="1"/>
          <w:iCs w:val="1"/>
          <w:rtl w:val="0"/>
          <w:lang w:val="en-US"/>
        </w:rPr>
        <w:t>Democracy and redistribution</w:t>
      </w:r>
      <w:r>
        <w:rPr>
          <w:rtl w:val="0"/>
          <w:lang w:val="en-US"/>
        </w:rPr>
        <w:t>. Cambridge University Press.</w:t>
      </w:r>
    </w:p>
    <w:p>
      <w:pPr>
        <w:pStyle w:val="Bibliography"/>
        <w:jc w:val="both"/>
      </w:pPr>
      <w:r>
        <w:rPr>
          <w:rtl w:val="0"/>
          <w:lang w:val="en-US"/>
        </w:rPr>
        <w:t xml:space="preserve">Boix, C. (2015). </w:t>
      </w:r>
      <w:r>
        <w:rPr>
          <w:rFonts w:ascii="Helvetica" w:hAnsi="Helvetica"/>
          <w:i w:val="1"/>
          <w:iCs w:val="1"/>
          <w:rtl w:val="0"/>
          <w:lang w:val="en-US"/>
        </w:rPr>
        <w:t>Political order and inequality: Their foundations and their consequences for human welfare</w:t>
      </w:r>
      <w:r>
        <w:rPr>
          <w:rtl w:val="0"/>
          <w:lang w:val="en-US"/>
        </w:rPr>
        <w:t>. Cambridge Studies in Comparative Politics.</w:t>
      </w:r>
    </w:p>
    <w:p>
      <w:pPr>
        <w:pStyle w:val="Bibliography"/>
        <w:jc w:val="both"/>
      </w:pPr>
      <w:r>
        <w:rPr>
          <w:rtl w:val="0"/>
          <w:lang w:val="en-US"/>
        </w:rPr>
        <w:t xml:space="preserve">Box-Steffensmeier, J., Freeman, J., Hitt, M., &amp; Pevehouse, J. (2014). </w:t>
      </w:r>
      <w:r>
        <w:rPr>
          <w:rFonts w:ascii="Helvetica" w:hAnsi="Helvetica"/>
          <w:i w:val="1"/>
          <w:iCs w:val="1"/>
          <w:rtl w:val="0"/>
          <w:lang w:val="en-US"/>
        </w:rPr>
        <w:t>Time series analysis for the social sciences</w:t>
      </w:r>
      <w:r>
        <w:rPr>
          <w:rtl w:val="0"/>
          <w:lang w:val="en-US"/>
        </w:rPr>
        <w:t>. Cambridge University Press.</w:t>
      </w:r>
    </w:p>
    <w:p>
      <w:pPr>
        <w:pStyle w:val="Bibliography"/>
        <w:jc w:val="both"/>
      </w:pPr>
      <w:r>
        <w:rPr>
          <w:rtl w:val="0"/>
          <w:lang w:val="en-US"/>
        </w:rPr>
        <w:t xml:space="preserve">Brautigam, D., Fjeldstad, O.-H., &amp; Moore, M. (2008). </w:t>
      </w:r>
      <w:r>
        <w:rPr>
          <w:rFonts w:ascii="Helvetica" w:hAnsi="Helvetica"/>
          <w:i w:val="1"/>
          <w:iCs w:val="1"/>
          <w:rtl w:val="0"/>
          <w:lang w:val="en-US"/>
        </w:rPr>
        <w:t>Taxation and State-Building in Developing Countries: Capacity and Consent</w:t>
      </w:r>
      <w:r>
        <w:rPr>
          <w:rtl w:val="0"/>
          <w:lang w:val="en-US"/>
        </w:rPr>
        <w:t xml:space="preserve"> (p. 261). Cambridge University Press. Retrieved from </w:t>
      </w:r>
      <w:r>
        <w:rPr>
          <w:rStyle w:val="Hyperlink.0"/>
        </w:rPr>
        <w:fldChar w:fldCharType="begin" w:fldLock="0"/>
      </w:r>
      <w:r>
        <w:rPr>
          <w:rStyle w:val="Hyperlink.0"/>
        </w:rPr>
        <w:instrText xml:space="preserve"> HYPERLINK "http://books.google.be/books?id=yKqioeqwsTkC"</w:instrText>
      </w:r>
      <w:r>
        <w:rPr>
          <w:rStyle w:val="Hyperlink.0"/>
        </w:rPr>
        <w:fldChar w:fldCharType="separate" w:fldLock="0"/>
      </w:r>
      <w:r>
        <w:rPr>
          <w:rStyle w:val="Hyperlink.0"/>
          <w:rtl w:val="0"/>
          <w:lang w:val="en-US"/>
        </w:rPr>
        <w:t>http://books.google.be/books?id=yKqioeqwsTkC</w:t>
      </w:r>
      <w:r>
        <w:rPr/>
        <w:fldChar w:fldCharType="end" w:fldLock="0"/>
      </w:r>
    </w:p>
    <w:p>
      <w:pPr>
        <w:pStyle w:val="Bibliography"/>
        <w:jc w:val="both"/>
      </w:pPr>
      <w:r>
        <w:rPr>
          <w:rtl w:val="0"/>
          <w:lang w:val="en-US"/>
        </w:rPr>
        <w:t xml:space="preserve">Bulmer-Thomas, V. (2003). </w:t>
      </w:r>
      <w:r>
        <w:rPr>
          <w:rFonts w:ascii="Helvetica" w:hAnsi="Helvetica"/>
          <w:i w:val="1"/>
          <w:iCs w:val="1"/>
          <w:rtl w:val="0"/>
          <w:lang w:val="en-US"/>
        </w:rPr>
        <w:t>The Economic History of Latin America since Independence</w:t>
      </w:r>
      <w:r>
        <w:rPr>
          <w:rtl w:val="0"/>
          <w:lang w:val="en-US"/>
        </w:rPr>
        <w:t>. Cambridge University Press.</w:t>
      </w:r>
    </w:p>
    <w:p>
      <w:pPr>
        <w:pStyle w:val="Bibliography"/>
        <w:jc w:val="both"/>
      </w:pPr>
      <w:r>
        <w:rPr>
          <w:rtl w:val="0"/>
          <w:lang w:val="en-US"/>
        </w:rPr>
        <w:t xml:space="preserve">Campos, N., Karanasos, M., &amp; Tan, B. (2016). From Riches to Rags, and Back? Institutional Change, Financial Development and Economic Growth in Argentina since 1890. </w:t>
      </w:r>
      <w:r>
        <w:rPr>
          <w:rFonts w:ascii="Helvetica" w:hAnsi="Helvetica"/>
          <w:i w:val="1"/>
          <w:iCs w:val="1"/>
          <w:rtl w:val="0"/>
          <w:lang w:val="en-US"/>
        </w:rPr>
        <w:t>The Journal of Development Studies</w:t>
      </w:r>
      <w:r>
        <w:rPr>
          <w:rtl w:val="0"/>
          <w:lang w:val="en-US"/>
        </w:rPr>
        <w:t xml:space="preserve">, </w:t>
      </w:r>
      <w:r>
        <w:rPr>
          <w:rFonts w:ascii="Helvetica" w:hAnsi="Helvetica"/>
          <w:i w:val="1"/>
          <w:iCs w:val="1"/>
          <w:rtl w:val="0"/>
          <w:lang w:val="en-US"/>
        </w:rPr>
        <w:t>52</w:t>
      </w:r>
      <w:r>
        <w:rPr>
          <w:rtl w:val="0"/>
          <w:lang w:val="en-US"/>
        </w:rPr>
        <w:t>(2), 206</w:t>
      </w:r>
      <w:r>
        <w:rPr>
          <w:rtl w:val="0"/>
          <w:lang w:val="en-US"/>
        </w:rPr>
        <w:t>–</w:t>
      </w:r>
      <w:r>
        <w:rPr>
          <w:rtl w:val="0"/>
          <w:lang w:val="en-US"/>
        </w:rPr>
        <w:t xml:space="preserve">223. Routledge. Retrieved from </w:t>
      </w:r>
      <w:r>
        <w:rPr>
          <w:rStyle w:val="Hyperlink.0"/>
        </w:rPr>
        <w:fldChar w:fldCharType="begin" w:fldLock="0"/>
      </w:r>
      <w:r>
        <w:rPr>
          <w:rStyle w:val="Hyperlink.0"/>
        </w:rPr>
        <w:instrText xml:space="preserve"> HYPERLINK "http://www.tandfonline.com/doi/full/10.1080/00220388.2015.1060317"</w:instrText>
      </w:r>
      <w:r>
        <w:rPr>
          <w:rStyle w:val="Hyperlink.0"/>
        </w:rPr>
        <w:fldChar w:fldCharType="separate" w:fldLock="0"/>
      </w:r>
      <w:r>
        <w:rPr>
          <w:rStyle w:val="Hyperlink.0"/>
          <w:rtl w:val="0"/>
          <w:lang w:val="en-US"/>
        </w:rPr>
        <w:t>http://www.tandfonline.com/doi/full/10.1080/00220388.2015.1060317</w:t>
      </w:r>
      <w:r>
        <w:rPr/>
        <w:fldChar w:fldCharType="end" w:fldLock="0"/>
      </w:r>
    </w:p>
    <w:p>
      <w:pPr>
        <w:pStyle w:val="Bibliography"/>
        <w:jc w:val="both"/>
      </w:pPr>
      <w:r>
        <w:rPr>
          <w:rtl w:val="0"/>
          <w:lang w:val="en-US"/>
        </w:rPr>
        <w:t xml:space="preserve">Capoccia, G., &amp; Kelemen, D. (2007). The Study of Critical Junctures Theory, Narrative, and Counterfactuals in Historical Institutionalism. </w:t>
      </w:r>
      <w:r>
        <w:rPr>
          <w:rFonts w:ascii="Helvetica" w:hAnsi="Helvetica"/>
          <w:i w:val="1"/>
          <w:iCs w:val="1"/>
          <w:rtl w:val="0"/>
          <w:lang w:val="en-US"/>
        </w:rPr>
        <w:t>World Politics</w:t>
      </w:r>
      <w:r>
        <w:rPr>
          <w:rtl w:val="0"/>
          <w:lang w:val="en-US"/>
        </w:rPr>
        <w:t xml:space="preserve">, </w:t>
      </w:r>
      <w:r>
        <w:rPr>
          <w:rFonts w:ascii="Helvetica" w:hAnsi="Helvetica"/>
          <w:i w:val="1"/>
          <w:iCs w:val="1"/>
          <w:rtl w:val="0"/>
          <w:lang w:val="en-US"/>
        </w:rPr>
        <w:t>59</w:t>
      </w:r>
      <w:r>
        <w:rPr>
          <w:rtl w:val="0"/>
          <w:lang w:val="en-US"/>
        </w:rPr>
        <w:t>(April), 341</w:t>
      </w:r>
      <w:r>
        <w:rPr>
          <w:rtl w:val="0"/>
          <w:lang w:val="en-US"/>
        </w:rPr>
        <w:t>–</w:t>
      </w:r>
      <w:r>
        <w:rPr>
          <w:rtl w:val="0"/>
          <w:lang w:val="en-US"/>
        </w:rPr>
        <w:t>369.</w:t>
      </w:r>
    </w:p>
    <w:p>
      <w:pPr>
        <w:pStyle w:val="Bibliography"/>
        <w:jc w:val="both"/>
      </w:pPr>
      <w:r>
        <w:rPr>
          <w:rtl w:val="0"/>
          <w:lang w:val="en-US"/>
        </w:rPr>
        <w:t xml:space="preserve">Caselli, F. (2005). Accounting for Cross-Country Income Differences. In </w:t>
      </w:r>
      <w:r>
        <w:rPr>
          <w:rFonts w:ascii="Helvetica" w:hAnsi="Helvetica"/>
          <w:i w:val="1"/>
          <w:iCs w:val="1"/>
          <w:rtl w:val="0"/>
          <w:lang w:val="en-US"/>
        </w:rPr>
        <w:t>Handbook of economic growth</w:t>
      </w:r>
      <w:r>
        <w:rPr>
          <w:rtl w:val="0"/>
          <w:lang w:val="en-US"/>
        </w:rPr>
        <w:t xml:space="preserve"> (Vol. 1, pp. 679</w:t>
      </w:r>
      <w:r>
        <w:rPr>
          <w:rtl w:val="0"/>
          <w:lang w:val="en-US"/>
        </w:rPr>
        <w:t>–</w:t>
      </w:r>
      <w:r>
        <w:rPr>
          <w:rtl w:val="0"/>
          <w:lang w:val="en-US"/>
        </w:rPr>
        <w:t>741).</w:t>
      </w:r>
    </w:p>
    <w:p>
      <w:pPr>
        <w:pStyle w:val="Bibliography"/>
        <w:jc w:val="both"/>
      </w:pPr>
      <w:r>
        <w:rPr>
          <w:rtl w:val="0"/>
          <w:lang w:val="en-US"/>
        </w:rPr>
        <w:t xml:space="preserve">Clark, G. (2009). </w:t>
      </w:r>
      <w:r>
        <w:rPr>
          <w:rFonts w:ascii="Helvetica" w:hAnsi="Helvetica"/>
          <w:i w:val="1"/>
          <w:iCs w:val="1"/>
          <w:rtl w:val="0"/>
          <w:lang w:val="en-US"/>
        </w:rPr>
        <w:t>A farewell to alms: A brief economic history of the world</w:t>
      </w:r>
      <w:r>
        <w:rPr>
          <w:rtl w:val="0"/>
          <w:lang w:val="en-US"/>
        </w:rPr>
        <w:t>. Princeton University Press.</w:t>
      </w:r>
    </w:p>
    <w:p>
      <w:pPr>
        <w:pStyle w:val="Bibliography"/>
        <w:jc w:val="both"/>
      </w:pPr>
      <w:r>
        <w:rPr>
          <w:rtl w:val="0"/>
          <w:lang w:val="en-US"/>
        </w:rPr>
        <w:t xml:space="preserve">Collier, R., &amp; Collier, D. (2002). </w:t>
      </w:r>
      <w:r>
        <w:rPr>
          <w:rFonts w:ascii="Helvetica" w:hAnsi="Helvetica"/>
          <w:i w:val="1"/>
          <w:iCs w:val="1"/>
          <w:rtl w:val="0"/>
          <w:lang w:val="en-US"/>
        </w:rPr>
        <w:t>Shaping the political arena: Critical junctures, the labor movement, and regime dynamics in latin america</w:t>
      </w:r>
      <w:r>
        <w:rPr>
          <w:rtl w:val="0"/>
          <w:lang w:val="en-US"/>
        </w:rPr>
        <w:t>. University of Notre Dame Press.</w:t>
      </w:r>
    </w:p>
    <w:p>
      <w:pPr>
        <w:pStyle w:val="Bibliography"/>
        <w:jc w:val="both"/>
      </w:pPr>
      <w:r>
        <w:rPr>
          <w:rtl w:val="0"/>
          <w:lang w:val="en-US"/>
        </w:rPr>
        <w:t xml:space="preserve">Collier, S. (1977). The Historiography of the </w:t>
      </w:r>
      <w:r>
        <w:rPr>
          <w:rtl w:val="0"/>
          <w:lang w:val="en-US"/>
        </w:rPr>
        <w:t>“</w:t>
      </w:r>
      <w:r>
        <w:rPr>
          <w:rtl w:val="0"/>
          <w:lang w:val="en-US"/>
        </w:rPr>
        <w:t>Portalian</w:t>
      </w:r>
      <w:r>
        <w:rPr>
          <w:rtl w:val="0"/>
          <w:lang w:val="en-US"/>
        </w:rPr>
        <w:t xml:space="preserve">” </w:t>
      </w:r>
      <w:r>
        <w:rPr>
          <w:rtl w:val="0"/>
          <w:lang w:val="en-US"/>
        </w:rPr>
        <w:t xml:space="preserve">Period (1830-1891) in Chile. </w:t>
      </w:r>
      <w:r>
        <w:rPr>
          <w:rFonts w:ascii="Helvetica" w:hAnsi="Helvetica"/>
          <w:i w:val="1"/>
          <w:iCs w:val="1"/>
          <w:rtl w:val="0"/>
          <w:lang w:val="en-US"/>
        </w:rPr>
        <w:t>The Hispanic American Historical Review</w:t>
      </w:r>
      <w:r>
        <w:rPr>
          <w:rtl w:val="0"/>
          <w:lang w:val="en-US"/>
        </w:rPr>
        <w:t xml:space="preserve">, </w:t>
      </w:r>
      <w:r>
        <w:rPr>
          <w:rFonts w:ascii="Helvetica" w:hAnsi="Helvetica"/>
          <w:i w:val="1"/>
          <w:iCs w:val="1"/>
          <w:rtl w:val="0"/>
          <w:lang w:val="en-US"/>
        </w:rPr>
        <w:t>57</w:t>
      </w:r>
      <w:r>
        <w:rPr>
          <w:rtl w:val="0"/>
          <w:lang w:val="en-US"/>
        </w:rPr>
        <w:t>(4), 660</w:t>
      </w:r>
      <w:r>
        <w:rPr>
          <w:rtl w:val="0"/>
          <w:lang w:val="en-US"/>
        </w:rPr>
        <w:t>–</w:t>
      </w:r>
      <w:r>
        <w:rPr>
          <w:rtl w:val="0"/>
          <w:lang w:val="en-US"/>
        </w:rPr>
        <w:t xml:space="preserve">690. Retrieved from </w:t>
      </w:r>
      <w:r>
        <w:rPr>
          <w:rStyle w:val="Hyperlink.0"/>
        </w:rPr>
        <w:fldChar w:fldCharType="begin" w:fldLock="0"/>
      </w:r>
      <w:r>
        <w:rPr>
          <w:rStyle w:val="Hyperlink.0"/>
        </w:rPr>
        <w:instrText xml:space="preserve"> HYPERLINK "http://www.jstor.org/stable/2513483"</w:instrText>
      </w:r>
      <w:r>
        <w:rPr>
          <w:rStyle w:val="Hyperlink.0"/>
        </w:rPr>
        <w:fldChar w:fldCharType="separate" w:fldLock="0"/>
      </w:r>
      <w:r>
        <w:rPr>
          <w:rStyle w:val="Hyperlink.0"/>
          <w:rtl w:val="0"/>
          <w:lang w:val="en-US"/>
        </w:rPr>
        <w:t>http://www.jstor.org/stable/2513483</w:t>
      </w:r>
      <w:r>
        <w:rPr/>
        <w:fldChar w:fldCharType="end" w:fldLock="0"/>
      </w:r>
    </w:p>
    <w:p>
      <w:pPr>
        <w:pStyle w:val="Bibliography"/>
        <w:jc w:val="both"/>
      </w:pPr>
      <w:r>
        <w:rPr>
          <w:rtl w:val="0"/>
          <w:lang w:val="en-US"/>
        </w:rPr>
        <w:t xml:space="preserve">Debowicz, D., &amp; Segal, P. (2014). Structural Change in Argentina, 1935-1960: The Role of Import Substitution and Factor Endowments. </w:t>
      </w:r>
      <w:r>
        <w:rPr>
          <w:rFonts w:ascii="Helvetica" w:hAnsi="Helvetica"/>
          <w:i w:val="1"/>
          <w:iCs w:val="1"/>
          <w:rtl w:val="0"/>
          <w:lang w:val="en-US"/>
        </w:rPr>
        <w:t>The Journal of Economic History</w:t>
      </w:r>
      <w:r>
        <w:rPr>
          <w:rtl w:val="0"/>
          <w:lang w:val="en-US"/>
        </w:rPr>
        <w:t xml:space="preserve">, </w:t>
      </w:r>
      <w:r>
        <w:rPr>
          <w:rFonts w:ascii="Helvetica" w:hAnsi="Helvetica"/>
          <w:i w:val="1"/>
          <w:iCs w:val="1"/>
          <w:rtl w:val="0"/>
          <w:lang w:val="en-US"/>
        </w:rPr>
        <w:t>74</w:t>
      </w:r>
      <w:r>
        <w:rPr>
          <w:rtl w:val="0"/>
          <w:lang w:val="en-US"/>
        </w:rPr>
        <w:t>(01), 230</w:t>
      </w:r>
      <w:r>
        <w:rPr>
          <w:rtl w:val="0"/>
          <w:lang w:val="en-US"/>
        </w:rPr>
        <w:t>–</w:t>
      </w:r>
      <w:r>
        <w:rPr>
          <w:rtl w:val="0"/>
          <w:lang w:val="en-US"/>
        </w:rPr>
        <w:t xml:space="preserve">258. Retrieved from </w:t>
      </w:r>
      <w:r>
        <w:rPr>
          <w:rStyle w:val="Hyperlink.0"/>
          <w:rtl w:val="0"/>
          <w:lang w:val="en-US"/>
        </w:rPr>
        <w:t>http://www.journals.cambridge.org/abstract{\_}S0022050714000084</w:t>
      </w:r>
    </w:p>
    <w:p>
      <w:pPr>
        <w:pStyle w:val="Bibliography"/>
        <w:jc w:val="both"/>
      </w:pPr>
      <w:r>
        <w:rPr>
          <w:rtl w:val="0"/>
          <w:lang w:val="en-US"/>
        </w:rPr>
        <w:t>Dixit, A. (1973). Models of dual economy. In J. Mirrlees &amp; N. Stern (Eds.), Models of economic growth: Proceedings of a conference held by the international economic assicuation at jerusalem.</w:t>
      </w:r>
    </w:p>
    <w:p>
      <w:pPr>
        <w:pStyle w:val="Bibliography"/>
        <w:jc w:val="both"/>
      </w:pPr>
      <w:r>
        <w:rPr>
          <w:rtl w:val="0"/>
          <w:lang w:val="en-US"/>
        </w:rPr>
        <w:t>D</w:t>
      </w:r>
      <w:r>
        <w:rPr>
          <w:rtl w:val="0"/>
          <w:lang w:val="en-US"/>
        </w:rPr>
        <w:t>í</w:t>
      </w:r>
      <w:r>
        <w:rPr>
          <w:rtl w:val="0"/>
          <w:lang w:val="en-US"/>
        </w:rPr>
        <w:t>az Gonz</w:t>
      </w:r>
      <w:r>
        <w:rPr>
          <w:rtl w:val="0"/>
          <w:lang w:val="en-US"/>
        </w:rPr>
        <w:t>á</w:t>
      </w:r>
      <w:r>
        <w:rPr>
          <w:rtl w:val="0"/>
          <w:lang w:val="en-US"/>
        </w:rPr>
        <w:t xml:space="preserve">lez, E. (2013). La Reforma Del Impuesto Sobre La Renta Aplicado a Salarios. </w:t>
      </w:r>
      <w:r>
        <w:rPr>
          <w:rFonts w:ascii="Helvetica" w:hAnsi="Helvetica"/>
          <w:i w:val="1"/>
          <w:iCs w:val="1"/>
          <w:rtl w:val="0"/>
          <w:lang w:val="en-US"/>
        </w:rPr>
        <w:t>Argumentos</w:t>
      </w:r>
      <w:r>
        <w:rPr>
          <w:rtl w:val="0"/>
          <w:lang w:val="en-US"/>
        </w:rPr>
        <w:t xml:space="preserve">, </w:t>
      </w:r>
      <w:r>
        <w:rPr>
          <w:rFonts w:ascii="Helvetica" w:hAnsi="Helvetica"/>
          <w:i w:val="1"/>
          <w:iCs w:val="1"/>
          <w:rtl w:val="0"/>
          <w:lang w:val="en-US"/>
        </w:rPr>
        <w:t>26</w:t>
      </w:r>
      <w:r>
        <w:rPr>
          <w:rtl w:val="0"/>
          <w:lang w:val="en-US"/>
        </w:rPr>
        <w:t>(71), 127</w:t>
      </w:r>
      <w:r>
        <w:rPr>
          <w:rtl w:val="0"/>
          <w:lang w:val="en-US"/>
        </w:rPr>
        <w:t>–</w:t>
      </w:r>
      <w:r>
        <w:rPr>
          <w:rtl w:val="0"/>
          <w:lang w:val="en-US"/>
        </w:rPr>
        <w:t>148.</w:t>
      </w:r>
    </w:p>
    <w:p>
      <w:pPr>
        <w:pStyle w:val="Bibliography"/>
        <w:jc w:val="both"/>
      </w:pPr>
      <w:r>
        <w:rPr>
          <w:rtl w:val="0"/>
          <w:lang w:val="en-US"/>
        </w:rPr>
        <w:t>D</w:t>
      </w:r>
      <w:r>
        <w:rPr>
          <w:rtl w:val="0"/>
          <w:lang w:val="en-US"/>
        </w:rPr>
        <w:t>í</w:t>
      </w:r>
      <w:r>
        <w:rPr>
          <w:rtl w:val="0"/>
          <w:lang w:val="en-US"/>
        </w:rPr>
        <w:t xml:space="preserve">az-Alejandro, C. (1966). An Interpretation of Argentine Economic Growth Since 1930 (Part I). </w:t>
      </w:r>
      <w:r>
        <w:rPr>
          <w:rFonts w:ascii="Helvetica" w:hAnsi="Helvetica"/>
          <w:i w:val="1"/>
          <w:iCs w:val="1"/>
          <w:rtl w:val="0"/>
          <w:lang w:val="en-US"/>
        </w:rPr>
        <w:t>Journal of Development Studies</w:t>
      </w:r>
      <w:r>
        <w:rPr>
          <w:rtl w:val="0"/>
          <w:lang w:val="en-US"/>
        </w:rPr>
        <w:t xml:space="preserve">, </w:t>
      </w:r>
      <w:r>
        <w:rPr>
          <w:rFonts w:ascii="Helvetica" w:hAnsi="Helvetica"/>
          <w:i w:val="1"/>
          <w:iCs w:val="1"/>
          <w:rtl w:val="0"/>
          <w:lang w:val="en-US"/>
        </w:rPr>
        <w:t>3</w:t>
      </w:r>
      <w:r>
        <w:rPr>
          <w:rtl w:val="0"/>
          <w:lang w:val="en-US"/>
        </w:rPr>
        <w:t>(1), 14</w:t>
      </w:r>
      <w:r>
        <w:rPr>
          <w:rtl w:val="0"/>
          <w:lang w:val="en-US"/>
        </w:rPr>
        <w:t>–</w:t>
      </w:r>
      <w:r>
        <w:rPr>
          <w:rtl w:val="0"/>
          <w:lang w:val="en-US"/>
        </w:rPr>
        <w:t xml:space="preserve">41. Retrieved from </w:t>
      </w:r>
      <w:r>
        <w:rPr>
          <w:rStyle w:val="Hyperlink.0"/>
        </w:rPr>
        <w:fldChar w:fldCharType="begin" w:fldLock="0"/>
      </w:r>
      <w:r>
        <w:rPr>
          <w:rStyle w:val="Hyperlink.0"/>
        </w:rPr>
        <w:instrText xml:space="preserve"> HYPERLINK "http://www.tandfonline.com/doi/abs/10.1080/00220386608421206"</w:instrText>
      </w:r>
      <w:r>
        <w:rPr>
          <w:rStyle w:val="Hyperlink.0"/>
        </w:rPr>
        <w:fldChar w:fldCharType="separate" w:fldLock="0"/>
      </w:r>
      <w:r>
        <w:rPr>
          <w:rStyle w:val="Hyperlink.0"/>
          <w:rtl w:val="0"/>
          <w:lang w:val="en-US"/>
        </w:rPr>
        <w:t>http://www.tandfonline.com/doi/abs/10.1080/00220386608421206</w:t>
      </w:r>
      <w:r>
        <w:rPr/>
        <w:fldChar w:fldCharType="end" w:fldLock="0"/>
      </w:r>
    </w:p>
    <w:p>
      <w:pPr>
        <w:pStyle w:val="Bibliography"/>
        <w:jc w:val="both"/>
      </w:pPr>
      <w:r>
        <w:rPr>
          <w:rtl w:val="0"/>
          <w:lang w:val="en-US"/>
        </w:rPr>
        <w:t>D</w:t>
      </w:r>
      <w:r>
        <w:rPr>
          <w:rtl w:val="0"/>
          <w:lang w:val="en-US"/>
        </w:rPr>
        <w:t>í</w:t>
      </w:r>
      <w:r>
        <w:rPr>
          <w:rtl w:val="0"/>
          <w:lang w:val="en-US"/>
        </w:rPr>
        <w:t xml:space="preserve">az-Alejandro, C. (1967). An Interpretation of Argentine Economic Growth Since 1930 (Part II). </w:t>
      </w:r>
      <w:r>
        <w:rPr>
          <w:rFonts w:ascii="Helvetica" w:hAnsi="Helvetica"/>
          <w:i w:val="1"/>
          <w:iCs w:val="1"/>
          <w:rtl w:val="0"/>
          <w:lang w:val="en-US"/>
        </w:rPr>
        <w:t>Journal of Development Studies</w:t>
      </w:r>
      <w:r>
        <w:rPr>
          <w:rtl w:val="0"/>
          <w:lang w:val="en-US"/>
        </w:rPr>
        <w:t xml:space="preserve">, </w:t>
      </w:r>
      <w:r>
        <w:rPr>
          <w:rFonts w:ascii="Helvetica" w:hAnsi="Helvetica"/>
          <w:i w:val="1"/>
          <w:iCs w:val="1"/>
          <w:rtl w:val="0"/>
          <w:lang w:val="en-US"/>
        </w:rPr>
        <w:t>3</w:t>
      </w:r>
      <w:r>
        <w:rPr>
          <w:rtl w:val="0"/>
          <w:lang w:val="en-US"/>
        </w:rPr>
        <w:t>(2), 155</w:t>
      </w:r>
      <w:r>
        <w:rPr>
          <w:rtl w:val="0"/>
          <w:lang w:val="en-US"/>
        </w:rPr>
        <w:t>–</w:t>
      </w:r>
      <w:r>
        <w:rPr>
          <w:rtl w:val="0"/>
          <w:lang w:val="en-US"/>
        </w:rPr>
        <w:t xml:space="preserve">177. Retrieved from </w:t>
      </w:r>
      <w:r>
        <w:rPr>
          <w:rStyle w:val="Hyperlink.0"/>
        </w:rPr>
        <w:fldChar w:fldCharType="begin" w:fldLock="0"/>
      </w:r>
      <w:r>
        <w:rPr>
          <w:rStyle w:val="Hyperlink.0"/>
        </w:rPr>
        <w:instrText xml:space="preserve"> HYPERLINK "http://www.tandfonline.com/doi/abs/10.1080/00220386708421216"</w:instrText>
      </w:r>
      <w:r>
        <w:rPr>
          <w:rStyle w:val="Hyperlink.0"/>
        </w:rPr>
        <w:fldChar w:fldCharType="separate" w:fldLock="0"/>
      </w:r>
      <w:r>
        <w:rPr>
          <w:rStyle w:val="Hyperlink.0"/>
          <w:rtl w:val="0"/>
          <w:lang w:val="en-US"/>
        </w:rPr>
        <w:t>http://www.tandfonline.com/doi/abs/10.1080/00220386708421216</w:t>
      </w:r>
      <w:r>
        <w:rPr/>
        <w:fldChar w:fldCharType="end" w:fldLock="0"/>
      </w:r>
    </w:p>
    <w:p>
      <w:pPr>
        <w:pStyle w:val="Bibliography"/>
        <w:jc w:val="both"/>
      </w:pPr>
      <w:r>
        <w:rPr>
          <w:rtl w:val="0"/>
          <w:lang w:val="en-US"/>
        </w:rPr>
        <w:t>D</w:t>
      </w:r>
      <w:r>
        <w:rPr>
          <w:rtl w:val="0"/>
          <w:lang w:val="en-US"/>
        </w:rPr>
        <w:t>í</w:t>
      </w:r>
      <w:r>
        <w:rPr>
          <w:rtl w:val="0"/>
          <w:lang w:val="en-US"/>
        </w:rPr>
        <w:t xml:space="preserve">az-Alejandro, C. (1970). </w:t>
      </w:r>
      <w:r>
        <w:rPr>
          <w:rFonts w:ascii="Helvetica" w:hAnsi="Helvetica"/>
          <w:i w:val="1"/>
          <w:iCs w:val="1"/>
          <w:rtl w:val="0"/>
          <w:lang w:val="en-US"/>
        </w:rPr>
        <w:t>Essays on the Economic History of the Argentine Republic</w:t>
      </w:r>
      <w:r>
        <w:rPr>
          <w:rtl w:val="0"/>
          <w:lang w:val="en-US"/>
        </w:rPr>
        <w:t xml:space="preserve"> (p. 565). New Haven; London: Yale University Press.</w:t>
      </w:r>
    </w:p>
    <w:p>
      <w:pPr>
        <w:pStyle w:val="Bibliography"/>
        <w:jc w:val="both"/>
      </w:pPr>
      <w:r>
        <w:rPr>
          <w:rtl w:val="0"/>
          <w:lang w:val="en-US"/>
        </w:rPr>
        <w:t xml:space="preserve">Durr, R. (1992). An Essay on Cointegration and Error Correction Models. </w:t>
      </w:r>
      <w:r>
        <w:rPr>
          <w:rFonts w:ascii="Helvetica" w:hAnsi="Helvetica"/>
          <w:i w:val="1"/>
          <w:iCs w:val="1"/>
          <w:rtl w:val="0"/>
          <w:lang w:val="en-US"/>
        </w:rPr>
        <w:t>Political Analysis</w:t>
      </w:r>
      <w:r>
        <w:rPr>
          <w:rtl w:val="0"/>
          <w:lang w:val="en-US"/>
        </w:rPr>
        <w:t xml:space="preserve">, </w:t>
      </w:r>
      <w:r>
        <w:rPr>
          <w:rFonts w:ascii="Helvetica" w:hAnsi="Helvetica"/>
          <w:i w:val="1"/>
          <w:iCs w:val="1"/>
          <w:rtl w:val="0"/>
          <w:lang w:val="en-US"/>
        </w:rPr>
        <w:t>4</w:t>
      </w:r>
      <w:r>
        <w:rPr>
          <w:rtl w:val="0"/>
          <w:lang w:val="en-US"/>
        </w:rPr>
        <w:t>, 185</w:t>
      </w:r>
      <w:r>
        <w:rPr>
          <w:rtl w:val="0"/>
          <w:lang w:val="en-US"/>
        </w:rPr>
        <w:t>–</w:t>
      </w:r>
      <w:r>
        <w:rPr>
          <w:rtl w:val="0"/>
          <w:lang w:val="en-US"/>
        </w:rPr>
        <w:t xml:space="preserve">228. Retrieved from </w:t>
      </w:r>
      <w:r>
        <w:rPr>
          <w:rStyle w:val="Hyperlink.0"/>
        </w:rPr>
        <w:fldChar w:fldCharType="begin" w:fldLock="0"/>
      </w:r>
      <w:r>
        <w:rPr>
          <w:rStyle w:val="Hyperlink.0"/>
        </w:rPr>
        <w:instrText xml:space="preserve"> HYPERLINK "http://www.jstor.org/stable/23321236"</w:instrText>
      </w:r>
      <w:r>
        <w:rPr>
          <w:rStyle w:val="Hyperlink.0"/>
        </w:rPr>
        <w:fldChar w:fldCharType="separate" w:fldLock="0"/>
      </w:r>
      <w:r>
        <w:rPr>
          <w:rStyle w:val="Hyperlink.0"/>
          <w:rtl w:val="0"/>
          <w:lang w:val="en-US"/>
        </w:rPr>
        <w:t>http://www.jstor.org/stable/23321236</w:t>
      </w:r>
      <w:r>
        <w:rPr/>
        <w:fldChar w:fldCharType="end" w:fldLock="0"/>
      </w:r>
    </w:p>
    <w:p>
      <w:pPr>
        <w:pStyle w:val="Bibliography"/>
        <w:jc w:val="both"/>
      </w:pPr>
      <w:r>
        <w:rPr>
          <w:rtl w:val="0"/>
          <w:lang w:val="en-US"/>
        </w:rPr>
        <w:t xml:space="preserve">Enders, W. (2014). </w:t>
      </w:r>
      <w:r>
        <w:rPr>
          <w:rFonts w:ascii="Helvetica" w:hAnsi="Helvetica"/>
          <w:i w:val="1"/>
          <w:iCs w:val="1"/>
          <w:rtl w:val="0"/>
          <w:lang w:val="en-US"/>
        </w:rPr>
        <w:t>Applied Econometric Time Series</w:t>
      </w:r>
      <w:r>
        <w:rPr>
          <w:rtl w:val="0"/>
          <w:lang w:val="en-US"/>
        </w:rPr>
        <w:t xml:space="preserve"> (4th., p. 496). Wiley.</w:t>
      </w:r>
    </w:p>
    <w:p>
      <w:pPr>
        <w:pStyle w:val="Bibliography"/>
        <w:jc w:val="both"/>
      </w:pPr>
      <w:r>
        <w:rPr>
          <w:rtl w:val="0"/>
          <w:lang w:val="en-US"/>
        </w:rPr>
        <w:t xml:space="preserve">Engle, R., &amp; Granger, C. (1987). Co-Integration and Error Correction: Representation, Estimation, and Testing. </w:t>
      </w:r>
      <w:r>
        <w:rPr>
          <w:rFonts w:ascii="Helvetica" w:hAnsi="Helvetica"/>
          <w:i w:val="1"/>
          <w:iCs w:val="1"/>
          <w:rtl w:val="0"/>
          <w:lang w:val="en-US"/>
        </w:rPr>
        <w:t>Econometrica</w:t>
      </w:r>
      <w:r>
        <w:rPr>
          <w:rtl w:val="0"/>
          <w:lang w:val="en-US"/>
        </w:rPr>
        <w:t xml:space="preserve">, </w:t>
      </w:r>
      <w:r>
        <w:rPr>
          <w:rFonts w:ascii="Helvetica" w:hAnsi="Helvetica"/>
          <w:i w:val="1"/>
          <w:iCs w:val="1"/>
          <w:rtl w:val="0"/>
          <w:lang w:val="en-US"/>
        </w:rPr>
        <w:t>55</w:t>
      </w:r>
      <w:r>
        <w:rPr>
          <w:rtl w:val="0"/>
          <w:lang w:val="en-US"/>
        </w:rPr>
        <w:t>(2), 251</w:t>
      </w:r>
      <w:r>
        <w:rPr>
          <w:rtl w:val="0"/>
          <w:lang w:val="en-US"/>
        </w:rPr>
        <w:t>–</w:t>
      </w:r>
      <w:r>
        <w:rPr>
          <w:rtl w:val="0"/>
          <w:lang w:val="en-US"/>
        </w:rPr>
        <w:t xml:space="preserve">276. Retrieved from </w:t>
      </w:r>
      <w:r>
        <w:rPr>
          <w:rStyle w:val="Hyperlink.0"/>
        </w:rPr>
        <w:fldChar w:fldCharType="begin" w:fldLock="0"/>
      </w:r>
      <w:r>
        <w:rPr>
          <w:rStyle w:val="Hyperlink.0"/>
        </w:rPr>
        <w:instrText xml:space="preserve"> HYPERLINK "http://www.jstor.org/stable/1913236"</w:instrText>
      </w:r>
      <w:r>
        <w:rPr>
          <w:rStyle w:val="Hyperlink.0"/>
        </w:rPr>
        <w:fldChar w:fldCharType="separate" w:fldLock="0"/>
      </w:r>
      <w:r>
        <w:rPr>
          <w:rStyle w:val="Hyperlink.0"/>
          <w:rtl w:val="0"/>
          <w:lang w:val="en-US"/>
        </w:rPr>
        <w:t>http://www.jstor.org/stable/1913236</w:t>
      </w:r>
      <w:r>
        <w:rPr/>
        <w:fldChar w:fldCharType="end" w:fldLock="0"/>
      </w:r>
    </w:p>
    <w:p>
      <w:pPr>
        <w:pStyle w:val="Bibliography"/>
        <w:jc w:val="both"/>
      </w:pPr>
      <w:r>
        <w:rPr>
          <w:rtl w:val="0"/>
          <w:lang w:val="en-US"/>
        </w:rPr>
        <w:t xml:space="preserve">Fields, G. (2004). Dualism in the Labor Market: A Perspective on the Lewis Model After Half a Century. </w:t>
      </w:r>
      <w:r>
        <w:rPr>
          <w:rFonts w:ascii="Helvetica" w:hAnsi="Helvetica"/>
          <w:i w:val="1"/>
          <w:iCs w:val="1"/>
          <w:rtl w:val="0"/>
          <w:lang w:val="en-US"/>
        </w:rPr>
        <w:t>The Manchester School</w:t>
      </w:r>
      <w:r>
        <w:rPr>
          <w:rtl w:val="0"/>
          <w:lang w:val="en-US"/>
        </w:rPr>
        <w:t xml:space="preserve">, </w:t>
      </w:r>
      <w:r>
        <w:rPr>
          <w:rFonts w:ascii="Helvetica" w:hAnsi="Helvetica"/>
          <w:i w:val="1"/>
          <w:iCs w:val="1"/>
          <w:rtl w:val="0"/>
          <w:lang w:val="en-US"/>
        </w:rPr>
        <w:t>72</w:t>
      </w:r>
      <w:r>
        <w:rPr>
          <w:rtl w:val="0"/>
          <w:lang w:val="en-US"/>
        </w:rPr>
        <w:t>(6), 724</w:t>
      </w:r>
      <w:r>
        <w:rPr>
          <w:rtl w:val="0"/>
          <w:lang w:val="en-US"/>
        </w:rPr>
        <w:t>–</w:t>
      </w:r>
      <w:r>
        <w:rPr>
          <w:rtl w:val="0"/>
          <w:lang w:val="en-US"/>
        </w:rPr>
        <w:t xml:space="preserve">735. Retrieved from </w:t>
      </w:r>
      <w:r>
        <w:rPr>
          <w:rStyle w:val="Hyperlink.0"/>
        </w:rPr>
        <w:fldChar w:fldCharType="begin" w:fldLock="0"/>
      </w:r>
      <w:r>
        <w:rPr>
          <w:rStyle w:val="Hyperlink.0"/>
        </w:rPr>
        <w:instrText xml:space="preserve"> HYPERLINK "http://doi.wiley.com/10.1111/j.1467-9957.2004.00432.x"</w:instrText>
      </w:r>
      <w:r>
        <w:rPr>
          <w:rStyle w:val="Hyperlink.0"/>
        </w:rPr>
        <w:fldChar w:fldCharType="separate" w:fldLock="0"/>
      </w:r>
      <w:r>
        <w:rPr>
          <w:rStyle w:val="Hyperlink.0"/>
          <w:rtl w:val="0"/>
          <w:lang w:val="en-US"/>
        </w:rPr>
        <w:t>http://doi.wiley.com/10.1111/j.1467-9957.2004.00432.x</w:t>
      </w:r>
      <w:r>
        <w:rPr/>
        <w:fldChar w:fldCharType="end" w:fldLock="0"/>
      </w:r>
    </w:p>
    <w:p>
      <w:pPr>
        <w:pStyle w:val="Bibliography"/>
        <w:jc w:val="both"/>
      </w:pPr>
      <w:r>
        <w:rPr>
          <w:rtl w:val="0"/>
          <w:lang w:val="en-US"/>
        </w:rPr>
        <w:t xml:space="preserve">Figueroa, A. L. (2008). Historia de las Reformas Tributarias en Colombia. In </w:t>
      </w:r>
      <w:r>
        <w:rPr>
          <w:rFonts w:ascii="Helvetica" w:hAnsi="Helvetica"/>
          <w:i w:val="1"/>
          <w:iCs w:val="1"/>
          <w:rtl w:val="0"/>
          <w:lang w:val="en-US"/>
        </w:rPr>
        <w:t>Fundamentos de la tributaci</w:t>
      </w:r>
      <w:r>
        <w:rPr>
          <w:rFonts w:ascii="Helvetica" w:hAnsi="Helvetica" w:hint="default"/>
          <w:i w:val="1"/>
          <w:iCs w:val="1"/>
          <w:rtl w:val="0"/>
          <w:lang w:val="en-US"/>
        </w:rPr>
        <w:t>ó</w:t>
      </w:r>
      <w:r>
        <w:rPr>
          <w:rFonts w:ascii="Helvetica" w:hAnsi="Helvetica"/>
          <w:i w:val="1"/>
          <w:iCs w:val="1"/>
          <w:rtl w:val="0"/>
          <w:lang w:val="en-US"/>
        </w:rPr>
        <w:t>n</w:t>
      </w:r>
      <w:r>
        <w:rPr>
          <w:rtl w:val="0"/>
          <w:lang w:val="en-US"/>
        </w:rPr>
        <w:t xml:space="preserve"> (p. 371). Bogot</w:t>
      </w:r>
      <w:r>
        <w:rPr>
          <w:rtl w:val="0"/>
          <w:lang w:val="en-US"/>
        </w:rPr>
        <w:t>á</w:t>
      </w:r>
      <w:r>
        <w:rPr>
          <w:rtl w:val="0"/>
          <w:lang w:val="en-US"/>
        </w:rPr>
        <w:t>: Universidad de los Andes Editorial Temis.</w:t>
      </w:r>
    </w:p>
    <w:p>
      <w:pPr>
        <w:pStyle w:val="Bibliography"/>
        <w:jc w:val="both"/>
      </w:pPr>
      <w:r>
        <w:rPr>
          <w:rtl w:val="0"/>
          <w:lang w:val="en-US"/>
        </w:rPr>
        <w:t xml:space="preserve">Fish, S., &amp; Choudhry, O. (2007). Democratization and Economic Liberalization in the Postcommunist World. </w:t>
      </w:r>
      <w:r>
        <w:rPr>
          <w:rFonts w:ascii="Helvetica" w:hAnsi="Helvetica"/>
          <w:i w:val="1"/>
          <w:iCs w:val="1"/>
          <w:rtl w:val="0"/>
          <w:lang w:val="en-US"/>
        </w:rPr>
        <w:t>Comparative Political Studies</w:t>
      </w:r>
      <w:r>
        <w:rPr>
          <w:rtl w:val="0"/>
          <w:lang w:val="en-US"/>
        </w:rPr>
        <w:t xml:space="preserve">, </w:t>
      </w:r>
      <w:r>
        <w:rPr>
          <w:rFonts w:ascii="Helvetica" w:hAnsi="Helvetica"/>
          <w:i w:val="1"/>
          <w:iCs w:val="1"/>
          <w:rtl w:val="0"/>
          <w:lang w:val="en-US"/>
        </w:rPr>
        <w:t>40</w:t>
      </w:r>
      <w:r>
        <w:rPr>
          <w:rtl w:val="0"/>
          <w:lang w:val="en-US"/>
        </w:rPr>
        <w:t>(3), 254</w:t>
      </w:r>
      <w:r>
        <w:rPr>
          <w:rtl w:val="0"/>
          <w:lang w:val="en-US"/>
        </w:rPr>
        <w:t>–</w:t>
      </w:r>
      <w:r>
        <w:rPr>
          <w:rtl w:val="0"/>
          <w:lang w:val="en-US"/>
        </w:rPr>
        <w:t>282.</w:t>
      </w:r>
    </w:p>
    <w:p>
      <w:pPr>
        <w:pStyle w:val="Bibliography"/>
        <w:jc w:val="both"/>
      </w:pPr>
      <w:r>
        <w:rPr>
          <w:rtl w:val="0"/>
          <w:lang w:val="en-US"/>
        </w:rPr>
        <w:t xml:space="preserve">Galenson, W. (1963). Economic Development and the Sectoral Expansion of Employment. </w:t>
      </w:r>
      <w:r>
        <w:rPr>
          <w:rFonts w:ascii="Helvetica" w:hAnsi="Helvetica"/>
          <w:i w:val="1"/>
          <w:iCs w:val="1"/>
          <w:rtl w:val="0"/>
          <w:lang w:val="en-US"/>
        </w:rPr>
        <w:t>International Labour Review</w:t>
      </w:r>
      <w:r>
        <w:rPr>
          <w:rtl w:val="0"/>
          <w:lang w:val="en-US"/>
        </w:rPr>
        <w:t xml:space="preserve">, </w:t>
      </w:r>
      <w:r>
        <w:rPr>
          <w:rFonts w:ascii="Helvetica" w:hAnsi="Helvetica"/>
          <w:i w:val="1"/>
          <w:iCs w:val="1"/>
          <w:rtl w:val="0"/>
          <w:lang w:val="en-US"/>
        </w:rPr>
        <w:t>87</w:t>
      </w:r>
      <w:r>
        <w:rPr>
          <w:rtl w:val="0"/>
          <w:lang w:val="en-US"/>
        </w:rPr>
        <w:t>(6), 505</w:t>
      </w:r>
      <w:r>
        <w:rPr>
          <w:rtl w:val="0"/>
          <w:lang w:val="en-US"/>
        </w:rPr>
        <w:t>–</w:t>
      </w:r>
      <w:r>
        <w:rPr>
          <w:rtl w:val="0"/>
          <w:lang w:val="en-US"/>
        </w:rPr>
        <w:t>519.</w:t>
      </w:r>
    </w:p>
    <w:p>
      <w:pPr>
        <w:pStyle w:val="Bibliography"/>
        <w:jc w:val="both"/>
      </w:pPr>
      <w:r>
        <w:rPr>
          <w:rtl w:val="0"/>
          <w:lang w:val="en-US"/>
        </w:rPr>
        <w:t xml:space="preserve">Gallo, C. (1991). </w:t>
      </w:r>
      <w:r>
        <w:rPr>
          <w:rFonts w:ascii="Helvetica" w:hAnsi="Helvetica"/>
          <w:i w:val="1"/>
          <w:iCs w:val="1"/>
          <w:rtl w:val="0"/>
          <w:lang w:val="en-US"/>
        </w:rPr>
        <w:t>Taxes and state power: Political instability in bolivia, 1900-1950</w:t>
      </w:r>
      <w:r>
        <w:rPr>
          <w:rtl w:val="0"/>
          <w:lang w:val="en-US"/>
        </w:rPr>
        <w:t>. Temple University Press.</w:t>
      </w:r>
    </w:p>
    <w:p>
      <w:pPr>
        <w:pStyle w:val="Bibliography"/>
        <w:jc w:val="both"/>
      </w:pPr>
      <w:r>
        <w:rPr>
          <w:rtl w:val="0"/>
          <w:lang w:val="en-US"/>
        </w:rPr>
        <w:t xml:space="preserve">Gollin, D., Parente, S., &amp; Rogerson, R. (2002). The Role of Agriculture in Development. </w:t>
      </w:r>
      <w:r>
        <w:rPr>
          <w:rFonts w:ascii="Helvetica" w:hAnsi="Helvetica"/>
          <w:i w:val="1"/>
          <w:iCs w:val="1"/>
          <w:rtl w:val="0"/>
          <w:lang w:val="en-US"/>
        </w:rPr>
        <w:t>The American Economic Review</w:t>
      </w:r>
      <w:r>
        <w:rPr>
          <w:rtl w:val="0"/>
          <w:lang w:val="en-US"/>
        </w:rPr>
        <w:t xml:space="preserve">, </w:t>
      </w:r>
      <w:r>
        <w:rPr>
          <w:rFonts w:ascii="Helvetica" w:hAnsi="Helvetica"/>
          <w:i w:val="1"/>
          <w:iCs w:val="1"/>
          <w:rtl w:val="0"/>
          <w:lang w:val="en-US"/>
        </w:rPr>
        <w:t>92</w:t>
      </w:r>
      <w:r>
        <w:rPr>
          <w:rtl w:val="0"/>
          <w:lang w:val="en-US"/>
        </w:rPr>
        <w:t>(2), 160</w:t>
      </w:r>
      <w:r>
        <w:rPr>
          <w:rtl w:val="0"/>
          <w:lang w:val="en-US"/>
        </w:rPr>
        <w:t>–</w:t>
      </w:r>
      <w:r>
        <w:rPr>
          <w:rtl w:val="0"/>
          <w:lang w:val="en-US"/>
        </w:rPr>
        <w:t xml:space="preserve">164. Retrieved from </w:t>
      </w:r>
      <w:r>
        <w:rPr>
          <w:rStyle w:val="Hyperlink.0"/>
        </w:rPr>
        <w:fldChar w:fldCharType="begin" w:fldLock="0"/>
      </w:r>
      <w:r>
        <w:rPr>
          <w:rStyle w:val="Hyperlink.0"/>
        </w:rPr>
        <w:instrText xml:space="preserve"> HYPERLINK "http://www.jstor.org/stable/3083394"</w:instrText>
      </w:r>
      <w:r>
        <w:rPr>
          <w:rStyle w:val="Hyperlink.0"/>
        </w:rPr>
        <w:fldChar w:fldCharType="separate" w:fldLock="0"/>
      </w:r>
      <w:r>
        <w:rPr>
          <w:rStyle w:val="Hyperlink.0"/>
          <w:rtl w:val="0"/>
          <w:lang w:val="en-US"/>
        </w:rPr>
        <w:t>http://www.jstor.org/stable/3083394</w:t>
      </w:r>
      <w:r>
        <w:rPr/>
        <w:fldChar w:fldCharType="end" w:fldLock="0"/>
      </w:r>
    </w:p>
    <w:p>
      <w:pPr>
        <w:pStyle w:val="Bibliography"/>
        <w:jc w:val="both"/>
      </w:pPr>
      <w:r>
        <w:rPr>
          <w:rtl w:val="0"/>
          <w:lang w:val="en-US"/>
        </w:rPr>
        <w:t xml:space="preserve">Granger, C. (1980). Testing for Causality: A Personal Viewpoint. </w:t>
      </w:r>
      <w:r>
        <w:rPr>
          <w:rFonts w:ascii="Helvetica" w:hAnsi="Helvetica"/>
          <w:i w:val="1"/>
          <w:iCs w:val="1"/>
          <w:rtl w:val="0"/>
          <w:lang w:val="en-US"/>
        </w:rPr>
        <w:t>Journal of Economic Dynamics and Control</w:t>
      </w:r>
      <w:r>
        <w:rPr>
          <w:rtl w:val="0"/>
          <w:lang w:val="en-US"/>
        </w:rPr>
        <w:t xml:space="preserve">, </w:t>
      </w:r>
      <w:r>
        <w:rPr>
          <w:rFonts w:ascii="Helvetica" w:hAnsi="Helvetica"/>
          <w:i w:val="1"/>
          <w:iCs w:val="1"/>
          <w:rtl w:val="0"/>
          <w:lang w:val="en-US"/>
        </w:rPr>
        <w:t>2</w:t>
      </w:r>
      <w:r>
        <w:rPr>
          <w:rtl w:val="0"/>
          <w:lang w:val="en-US"/>
        </w:rPr>
        <w:t>, 329</w:t>
      </w:r>
      <w:r>
        <w:rPr>
          <w:rtl w:val="0"/>
          <w:lang w:val="en-US"/>
        </w:rPr>
        <w:t>–</w:t>
      </w:r>
      <w:r>
        <w:rPr>
          <w:rtl w:val="0"/>
          <w:lang w:val="en-US"/>
        </w:rPr>
        <w:t>352.</w:t>
      </w:r>
    </w:p>
    <w:p>
      <w:pPr>
        <w:pStyle w:val="Bibliography"/>
        <w:jc w:val="both"/>
      </w:pPr>
      <w:r>
        <w:rPr>
          <w:rtl w:val="0"/>
          <w:lang w:val="en-US"/>
        </w:rPr>
        <w:t xml:space="preserve">Granger, C. (1981). Some Properties of Time Series Data and Their Use in Econometric Model Specification. </w:t>
      </w:r>
      <w:r>
        <w:rPr>
          <w:rFonts w:ascii="Helvetica" w:hAnsi="Helvetica"/>
          <w:i w:val="1"/>
          <w:iCs w:val="1"/>
          <w:rtl w:val="0"/>
          <w:lang w:val="en-US"/>
        </w:rPr>
        <w:t>Journal of Econometrics</w:t>
      </w:r>
      <w:r>
        <w:rPr>
          <w:rtl w:val="0"/>
          <w:lang w:val="en-US"/>
        </w:rPr>
        <w:t xml:space="preserve">, </w:t>
      </w:r>
      <w:r>
        <w:rPr>
          <w:rFonts w:ascii="Helvetica" w:hAnsi="Helvetica"/>
          <w:i w:val="1"/>
          <w:iCs w:val="1"/>
          <w:rtl w:val="0"/>
          <w:lang w:val="en-US"/>
        </w:rPr>
        <w:t>16</w:t>
      </w:r>
      <w:r>
        <w:rPr>
          <w:rtl w:val="0"/>
          <w:lang w:val="en-US"/>
        </w:rPr>
        <w:t>(1), 121</w:t>
      </w:r>
      <w:r>
        <w:rPr>
          <w:rtl w:val="0"/>
          <w:lang w:val="en-US"/>
        </w:rPr>
        <w:t>–</w:t>
      </w:r>
      <w:r>
        <w:rPr>
          <w:rtl w:val="0"/>
          <w:lang w:val="en-US"/>
        </w:rPr>
        <w:t xml:space="preserve">130. Retrieved from </w:t>
      </w:r>
      <w:r>
        <w:rPr>
          <w:rStyle w:val="Hyperlink.0"/>
        </w:rPr>
        <w:fldChar w:fldCharType="begin" w:fldLock="0"/>
      </w:r>
      <w:r>
        <w:rPr>
          <w:rStyle w:val="Hyperlink.0"/>
        </w:rPr>
        <w:instrText xml:space="preserve"> HYPERLINK "http://linkinghub.elsevier.com/retrieve/pii/0304407681900798"</w:instrText>
      </w:r>
      <w:r>
        <w:rPr>
          <w:rStyle w:val="Hyperlink.0"/>
        </w:rPr>
        <w:fldChar w:fldCharType="separate" w:fldLock="0"/>
      </w:r>
      <w:r>
        <w:rPr>
          <w:rStyle w:val="Hyperlink.0"/>
          <w:rtl w:val="0"/>
          <w:lang w:val="en-US"/>
        </w:rPr>
        <w:t>http://linkinghub.elsevier.com/retrieve/pii/0304407681900798</w:t>
      </w:r>
      <w:r>
        <w:rPr/>
        <w:fldChar w:fldCharType="end" w:fldLock="0"/>
      </w:r>
    </w:p>
    <w:p>
      <w:pPr>
        <w:pStyle w:val="Bibliography"/>
        <w:jc w:val="both"/>
      </w:pPr>
      <w:r>
        <w:rPr>
          <w:rtl w:val="0"/>
          <w:lang w:val="en-US"/>
        </w:rPr>
        <w:t xml:space="preserve">Greif, A., Milgrom, P., &amp; Weingast, B. (1994). Coordination, Commitment, and Enforcement: The Case of the Merchant Guild. </w:t>
      </w:r>
      <w:r>
        <w:rPr>
          <w:rFonts w:ascii="Helvetica" w:hAnsi="Helvetica"/>
          <w:i w:val="1"/>
          <w:iCs w:val="1"/>
          <w:rtl w:val="0"/>
          <w:lang w:val="en-US"/>
        </w:rPr>
        <w:t>Journal of Political Economy</w:t>
      </w:r>
      <w:r>
        <w:rPr>
          <w:rtl w:val="0"/>
          <w:lang w:val="en-US"/>
        </w:rPr>
        <w:t xml:space="preserve">, </w:t>
      </w:r>
      <w:r>
        <w:rPr>
          <w:rFonts w:ascii="Helvetica" w:hAnsi="Helvetica"/>
          <w:i w:val="1"/>
          <w:iCs w:val="1"/>
          <w:rtl w:val="0"/>
          <w:lang w:val="en-US"/>
        </w:rPr>
        <w:t>102</w:t>
      </w:r>
      <w:r>
        <w:rPr>
          <w:rtl w:val="0"/>
          <w:lang w:val="en-US"/>
        </w:rPr>
        <w:t>(4), 745</w:t>
      </w:r>
      <w:r>
        <w:rPr>
          <w:rtl w:val="0"/>
          <w:lang w:val="en-US"/>
        </w:rPr>
        <w:t>–</w:t>
      </w:r>
      <w:r>
        <w:rPr>
          <w:rtl w:val="0"/>
          <w:lang w:val="en-US"/>
        </w:rPr>
        <w:t xml:space="preserve">776. Retrieved from </w:t>
      </w:r>
      <w:r>
        <w:rPr>
          <w:rStyle w:val="Hyperlink.0"/>
        </w:rPr>
        <w:fldChar w:fldCharType="begin" w:fldLock="0"/>
      </w:r>
      <w:r>
        <w:rPr>
          <w:rStyle w:val="Hyperlink.0"/>
        </w:rPr>
        <w:instrText xml:space="preserve"> HYPERLINK "http://www.jstor.org/stable/2138763"</w:instrText>
      </w:r>
      <w:r>
        <w:rPr>
          <w:rStyle w:val="Hyperlink.0"/>
        </w:rPr>
        <w:fldChar w:fldCharType="separate" w:fldLock="0"/>
      </w:r>
      <w:r>
        <w:rPr>
          <w:rStyle w:val="Hyperlink.0"/>
          <w:rtl w:val="0"/>
          <w:lang w:val="en-US"/>
        </w:rPr>
        <w:t>http://www.jstor.org/stable/2138763</w:t>
      </w:r>
      <w:r>
        <w:rPr/>
        <w:fldChar w:fldCharType="end" w:fldLock="0"/>
      </w:r>
    </w:p>
    <w:p>
      <w:pPr>
        <w:pStyle w:val="Bibliography"/>
        <w:jc w:val="both"/>
      </w:pPr>
      <w:r>
        <w:rPr>
          <w:rtl w:val="0"/>
          <w:lang w:val="en-US"/>
        </w:rPr>
        <w:t xml:space="preserve">Haber, S., &amp; Menaldo, V. (2011). Do Natural Resources Fuel Authoritarianism? A Reappraisal of the Resource Curse. </w:t>
      </w:r>
      <w:r>
        <w:rPr>
          <w:rFonts w:ascii="Helvetica" w:hAnsi="Helvetica"/>
          <w:i w:val="1"/>
          <w:iCs w:val="1"/>
          <w:rtl w:val="0"/>
          <w:lang w:val="en-US"/>
        </w:rPr>
        <w:t>American Political Science Review</w:t>
      </w:r>
      <w:r>
        <w:rPr>
          <w:rtl w:val="0"/>
          <w:lang w:val="en-US"/>
        </w:rPr>
        <w:t xml:space="preserve">, </w:t>
      </w:r>
      <w:r>
        <w:rPr>
          <w:rFonts w:ascii="Helvetica" w:hAnsi="Helvetica"/>
          <w:i w:val="1"/>
          <w:iCs w:val="1"/>
          <w:rtl w:val="0"/>
          <w:lang w:val="en-US"/>
        </w:rPr>
        <w:t>105</w:t>
      </w:r>
      <w:r>
        <w:rPr>
          <w:rtl w:val="0"/>
          <w:lang w:val="en-US"/>
        </w:rPr>
        <w:t>(01), 1</w:t>
      </w:r>
      <w:r>
        <w:rPr>
          <w:rtl w:val="0"/>
          <w:lang w:val="en-US"/>
        </w:rPr>
        <w:t>–</w:t>
      </w:r>
      <w:r>
        <w:rPr>
          <w:rtl w:val="0"/>
          <w:lang w:val="en-US"/>
        </w:rPr>
        <w:t xml:space="preserve">26. Retrieved from </w:t>
      </w:r>
      <w:r>
        <w:rPr>
          <w:rStyle w:val="Hyperlink.0"/>
          <w:rtl w:val="0"/>
          <w:lang w:val="en-US"/>
        </w:rPr>
        <w:t>http://www.journals.cambridge.org/abstract{\_}S0003055410000584</w:t>
      </w:r>
    </w:p>
    <w:p>
      <w:pPr>
        <w:pStyle w:val="Bibliography"/>
        <w:jc w:val="both"/>
      </w:pPr>
      <w:r>
        <w:rPr>
          <w:rtl w:val="0"/>
          <w:lang w:val="en-US"/>
        </w:rPr>
        <w:t xml:space="preserve">Harris, J., &amp; Todaro, M. (1970). Migration, Unemployment &amp; Development: A Two-Sector Analysis. </w:t>
      </w:r>
      <w:r>
        <w:rPr>
          <w:rFonts w:ascii="Helvetica" w:hAnsi="Helvetica"/>
          <w:i w:val="1"/>
          <w:iCs w:val="1"/>
          <w:rtl w:val="0"/>
          <w:lang w:val="en-US"/>
        </w:rPr>
        <w:t>American Economic Review</w:t>
      </w:r>
      <w:r>
        <w:rPr>
          <w:rtl w:val="0"/>
          <w:lang w:val="en-US"/>
        </w:rPr>
        <w:t xml:space="preserve">, </w:t>
      </w:r>
      <w:r>
        <w:rPr>
          <w:rFonts w:ascii="Helvetica" w:hAnsi="Helvetica"/>
          <w:i w:val="1"/>
          <w:iCs w:val="1"/>
          <w:rtl w:val="0"/>
          <w:lang w:val="en-US"/>
        </w:rPr>
        <w:t>60</w:t>
      </w:r>
      <w:r>
        <w:rPr>
          <w:rtl w:val="0"/>
          <w:lang w:val="en-US"/>
        </w:rPr>
        <w:t>(1), 126</w:t>
      </w:r>
      <w:r>
        <w:rPr>
          <w:rtl w:val="0"/>
          <w:lang w:val="en-US"/>
        </w:rPr>
        <w:t>–</w:t>
      </w:r>
      <w:r>
        <w:rPr>
          <w:rtl w:val="0"/>
          <w:lang w:val="en-US"/>
        </w:rPr>
        <w:t xml:space="preserve">142. Retrieved from </w:t>
      </w:r>
      <w:r>
        <w:rPr>
          <w:rStyle w:val="Hyperlink.0"/>
        </w:rPr>
        <w:fldChar w:fldCharType="begin" w:fldLock="0"/>
      </w:r>
      <w:r>
        <w:rPr>
          <w:rStyle w:val="Hyperlink.0"/>
        </w:rPr>
        <w:instrText xml:space="preserve"> HYPERLINK "http://www.jstor.org/stable/1807860"</w:instrText>
      </w:r>
      <w:r>
        <w:rPr>
          <w:rStyle w:val="Hyperlink.0"/>
        </w:rPr>
        <w:fldChar w:fldCharType="separate" w:fldLock="0"/>
      </w:r>
      <w:r>
        <w:rPr>
          <w:rStyle w:val="Hyperlink.0"/>
          <w:rtl w:val="0"/>
          <w:lang w:val="en-US"/>
        </w:rPr>
        <w:t>http://www.jstor.org/stable/1807860</w:t>
      </w:r>
      <w:r>
        <w:rPr/>
        <w:fldChar w:fldCharType="end" w:fldLock="0"/>
      </w:r>
    </w:p>
    <w:p>
      <w:pPr>
        <w:pStyle w:val="Bibliography"/>
        <w:jc w:val="both"/>
      </w:pPr>
      <w:r>
        <w:rPr>
          <w:rtl w:val="0"/>
          <w:lang w:val="en-US"/>
        </w:rPr>
        <w:t xml:space="preserve">Hatton, T., &amp; Williamson, J. (1991). Integrated and Segmented Labor Markets: Thinking in Two Sectors. </w:t>
      </w:r>
      <w:r>
        <w:rPr>
          <w:rFonts w:ascii="Helvetica" w:hAnsi="Helvetica"/>
          <w:i w:val="1"/>
          <w:iCs w:val="1"/>
          <w:rtl w:val="0"/>
          <w:lang w:val="en-US"/>
        </w:rPr>
        <w:t>The Journal of Economic History</w:t>
      </w:r>
      <w:r>
        <w:rPr>
          <w:rtl w:val="0"/>
          <w:lang w:val="en-US"/>
        </w:rPr>
        <w:t xml:space="preserve">, </w:t>
      </w:r>
      <w:r>
        <w:rPr>
          <w:rFonts w:ascii="Helvetica" w:hAnsi="Helvetica"/>
          <w:i w:val="1"/>
          <w:iCs w:val="1"/>
          <w:rtl w:val="0"/>
          <w:lang w:val="en-US"/>
        </w:rPr>
        <w:t>51</w:t>
      </w:r>
      <w:r>
        <w:rPr>
          <w:rtl w:val="0"/>
          <w:lang w:val="en-US"/>
        </w:rPr>
        <w:t xml:space="preserve">(02), 413. Retrieved from </w:t>
      </w:r>
      <w:r>
        <w:rPr>
          <w:rStyle w:val="Hyperlink.0"/>
          <w:rtl w:val="0"/>
          <w:lang w:val="en-US"/>
        </w:rPr>
        <w:t>http://www.journals.cambridge.org/abstract{\_}S0022050700039036</w:t>
      </w:r>
    </w:p>
    <w:p>
      <w:pPr>
        <w:pStyle w:val="Bibliography"/>
        <w:jc w:val="both"/>
      </w:pPr>
      <w:r>
        <w:rPr>
          <w:rtl w:val="0"/>
          <w:lang w:val="en-US"/>
        </w:rPr>
        <w:t xml:space="preserve">Hayami, Y., &amp; Yamada, S. (1969). Agricultural Productivity at the Beginning of Industrialization. In K. Ohkawa, B. Johnston, &amp; H. Kaneda (Eds.), </w:t>
      </w:r>
      <w:r>
        <w:rPr>
          <w:rFonts w:ascii="Helvetica" w:hAnsi="Helvetica"/>
          <w:i w:val="1"/>
          <w:iCs w:val="1"/>
          <w:rtl w:val="0"/>
          <w:lang w:val="en-US"/>
        </w:rPr>
        <w:t>Agriculture and economic growth: Japan</w:t>
      </w:r>
      <w:r>
        <w:rPr>
          <w:rFonts w:ascii="Helvetica" w:hAnsi="Helvetica" w:hint="default"/>
          <w:i w:val="1"/>
          <w:iCs w:val="1"/>
          <w:rtl w:val="0"/>
          <w:lang w:val="en-US"/>
        </w:rPr>
        <w:t>’</w:t>
      </w:r>
      <w:r>
        <w:rPr>
          <w:rFonts w:ascii="Helvetica" w:hAnsi="Helvetica"/>
          <w:i w:val="1"/>
          <w:iCs w:val="1"/>
          <w:rtl w:val="0"/>
          <w:lang w:val="en-US"/>
        </w:rPr>
        <w:t>s experience</w:t>
      </w:r>
      <w:r>
        <w:rPr>
          <w:rtl w:val="0"/>
          <w:lang w:val="en-US"/>
        </w:rPr>
        <w:t xml:space="preserve"> (pp. 105</w:t>
      </w:r>
      <w:r>
        <w:rPr>
          <w:rtl w:val="0"/>
          <w:lang w:val="en-US"/>
        </w:rPr>
        <w:t>–</w:t>
      </w:r>
      <w:r>
        <w:rPr>
          <w:rtl w:val="0"/>
          <w:lang w:val="en-US"/>
        </w:rPr>
        <w:t>144). Princeton, NJ; Tokyo: Princeton University Press; Tokyo University Press.</w:t>
      </w:r>
    </w:p>
    <w:p>
      <w:pPr>
        <w:pStyle w:val="Bibliography"/>
        <w:jc w:val="both"/>
      </w:pPr>
      <w:r>
        <w:rPr>
          <w:rtl w:val="0"/>
          <w:lang w:val="en-US"/>
        </w:rPr>
        <w:t xml:space="preserve">Herzer, D., &amp; Vollmer, S. (2012). Inequality and Growth: Evidence From Panel Cointegration. </w:t>
      </w:r>
      <w:r>
        <w:rPr>
          <w:rFonts w:ascii="Helvetica" w:hAnsi="Helvetica"/>
          <w:i w:val="1"/>
          <w:iCs w:val="1"/>
          <w:rtl w:val="0"/>
          <w:lang w:val="en-US"/>
        </w:rPr>
        <w:t>Journal of Economic Inequality</w:t>
      </w:r>
      <w:r>
        <w:rPr>
          <w:rtl w:val="0"/>
          <w:lang w:val="en-US"/>
        </w:rPr>
        <w:t xml:space="preserve">, </w:t>
      </w:r>
      <w:r>
        <w:rPr>
          <w:rFonts w:ascii="Helvetica" w:hAnsi="Helvetica"/>
          <w:i w:val="1"/>
          <w:iCs w:val="1"/>
          <w:rtl w:val="0"/>
          <w:lang w:val="en-US"/>
        </w:rPr>
        <w:t>10</w:t>
      </w:r>
      <w:r>
        <w:rPr>
          <w:rtl w:val="0"/>
          <w:lang w:val="en-US"/>
        </w:rPr>
        <w:t>(4), 489</w:t>
      </w:r>
      <w:r>
        <w:rPr>
          <w:rtl w:val="0"/>
          <w:lang w:val="en-US"/>
        </w:rPr>
        <w:t>–</w:t>
      </w:r>
      <w:r>
        <w:rPr>
          <w:rtl w:val="0"/>
          <w:lang w:val="en-US"/>
        </w:rPr>
        <w:t>503.</w:t>
      </w:r>
    </w:p>
    <w:p>
      <w:pPr>
        <w:pStyle w:val="Bibliography"/>
        <w:jc w:val="both"/>
      </w:pPr>
      <w:r>
        <w:rPr>
          <w:rtl w:val="0"/>
          <w:lang w:val="en-US"/>
        </w:rPr>
        <w:t xml:space="preserve">Instituto Centroamericano de Estudios Fiscales. (2007). </w:t>
      </w:r>
      <w:r>
        <w:rPr>
          <w:rFonts w:ascii="Helvetica" w:hAnsi="Helvetica"/>
          <w:i w:val="1"/>
          <w:iCs w:val="1"/>
          <w:rtl w:val="0"/>
          <w:lang w:val="en-US"/>
        </w:rPr>
        <w:t>Historia de la Tributacion en Guatemala</w:t>
      </w:r>
      <w:r>
        <w:rPr>
          <w:rtl w:val="0"/>
          <w:lang w:val="en-US"/>
        </w:rPr>
        <w:t>. Instituto Centroamericano de Estudios Fiscales.</w:t>
      </w:r>
    </w:p>
    <w:p>
      <w:pPr>
        <w:pStyle w:val="Bibliography"/>
        <w:jc w:val="both"/>
      </w:pPr>
      <w:r>
        <w:rPr>
          <w:rtl w:val="0"/>
          <w:lang w:val="en-US"/>
        </w:rPr>
        <w:t xml:space="preserve">Iyer, L., &amp; Banerjee, A. (2005). History, Institutions, and Economic Performance: The Legacy of Colonial Land Tenure Systems in India. </w:t>
      </w:r>
      <w:r>
        <w:rPr>
          <w:rFonts w:ascii="Helvetica" w:hAnsi="Helvetica"/>
          <w:i w:val="1"/>
          <w:iCs w:val="1"/>
          <w:rtl w:val="0"/>
          <w:lang w:val="en-US"/>
        </w:rPr>
        <w:t>The American Economic Review</w:t>
      </w:r>
      <w:r>
        <w:rPr>
          <w:rtl w:val="0"/>
          <w:lang w:val="en-US"/>
        </w:rPr>
        <w:t xml:space="preserve">, </w:t>
      </w:r>
      <w:r>
        <w:rPr>
          <w:rFonts w:ascii="Helvetica" w:hAnsi="Helvetica"/>
          <w:i w:val="1"/>
          <w:iCs w:val="1"/>
          <w:rtl w:val="0"/>
          <w:lang w:val="en-US"/>
        </w:rPr>
        <w:t>95</w:t>
      </w:r>
      <w:r>
        <w:rPr>
          <w:rtl w:val="0"/>
          <w:lang w:val="en-US"/>
        </w:rPr>
        <w:t>(4), 1190</w:t>
      </w:r>
      <w:r>
        <w:rPr>
          <w:rtl w:val="0"/>
          <w:lang w:val="en-US"/>
        </w:rPr>
        <w:t>–</w:t>
      </w:r>
      <w:r>
        <w:rPr>
          <w:rtl w:val="0"/>
          <w:lang w:val="en-US"/>
        </w:rPr>
        <w:t xml:space="preserve">1213. Retrieved from </w:t>
      </w:r>
      <w:r>
        <w:rPr>
          <w:rStyle w:val="Hyperlink.0"/>
        </w:rPr>
        <w:fldChar w:fldCharType="begin" w:fldLock="0"/>
      </w:r>
      <w:r>
        <w:rPr>
          <w:rStyle w:val="Hyperlink.0"/>
        </w:rPr>
        <w:instrText xml:space="preserve"> HYPERLINK "http://www.jstor.org/stable/4132711"</w:instrText>
      </w:r>
      <w:r>
        <w:rPr>
          <w:rStyle w:val="Hyperlink.0"/>
        </w:rPr>
        <w:fldChar w:fldCharType="separate" w:fldLock="0"/>
      </w:r>
      <w:r>
        <w:rPr>
          <w:rStyle w:val="Hyperlink.0"/>
          <w:rtl w:val="0"/>
          <w:lang w:val="en-US"/>
        </w:rPr>
        <w:t>http://www.jstor.org/stable/4132711</w:t>
      </w:r>
      <w:r>
        <w:rPr/>
        <w:fldChar w:fldCharType="end" w:fldLock="0"/>
      </w:r>
    </w:p>
    <w:p>
      <w:pPr>
        <w:pStyle w:val="Bibliography"/>
        <w:jc w:val="both"/>
      </w:pPr>
      <w:r>
        <w:rPr>
          <w:rtl w:val="0"/>
          <w:lang w:val="en-US"/>
        </w:rPr>
        <w:t xml:space="preserve">Johansen, S. (1988). Statistical Analysis of Cointegration Vectors. </w:t>
      </w:r>
      <w:r>
        <w:rPr>
          <w:rFonts w:ascii="Helvetica" w:hAnsi="Helvetica"/>
          <w:i w:val="1"/>
          <w:iCs w:val="1"/>
          <w:rtl w:val="0"/>
          <w:lang w:val="en-US"/>
        </w:rPr>
        <w:t>Journal of Economic Dynamics and Control</w:t>
      </w:r>
      <w:r>
        <w:rPr>
          <w:rtl w:val="0"/>
          <w:lang w:val="en-US"/>
        </w:rPr>
        <w:t xml:space="preserve">, </w:t>
      </w:r>
      <w:r>
        <w:rPr>
          <w:rFonts w:ascii="Helvetica" w:hAnsi="Helvetica"/>
          <w:i w:val="1"/>
          <w:iCs w:val="1"/>
          <w:rtl w:val="0"/>
          <w:lang w:val="en-US"/>
        </w:rPr>
        <w:t>12</w:t>
      </w:r>
      <w:r>
        <w:rPr>
          <w:rtl w:val="0"/>
          <w:lang w:val="en-US"/>
        </w:rPr>
        <w:t>(2-3), 231</w:t>
      </w:r>
      <w:r>
        <w:rPr>
          <w:rtl w:val="0"/>
          <w:lang w:val="en-US"/>
        </w:rPr>
        <w:t>–</w:t>
      </w:r>
      <w:r>
        <w:rPr>
          <w:rtl w:val="0"/>
          <w:lang w:val="en-US"/>
        </w:rPr>
        <w:t>254.</w:t>
      </w:r>
    </w:p>
    <w:p>
      <w:pPr>
        <w:pStyle w:val="Bibliography"/>
        <w:jc w:val="both"/>
      </w:pPr>
      <w:r>
        <w:rPr>
          <w:rtl w:val="0"/>
          <w:lang w:val="en-US"/>
        </w:rPr>
        <w:t xml:space="preserve">Johnson, N., &amp; Koyama, M. (2016). States and Economic Growth: Capacity and Constraints. </w:t>
      </w:r>
      <w:r>
        <w:rPr>
          <w:rFonts w:ascii="Helvetica" w:hAnsi="Helvetica"/>
          <w:i w:val="1"/>
          <w:iCs w:val="1"/>
          <w:rtl w:val="0"/>
          <w:lang w:val="en-US"/>
        </w:rPr>
        <w:t>Explorations in Economic History</w:t>
      </w:r>
      <w:r>
        <w:rPr>
          <w:rtl w:val="0"/>
          <w:lang w:val="en-US"/>
        </w:rPr>
        <w:t xml:space="preserve">. Retrieved from </w:t>
      </w:r>
      <w:r>
        <w:rPr>
          <w:rStyle w:val="Hyperlink.0"/>
        </w:rPr>
        <w:fldChar w:fldCharType="begin" w:fldLock="0"/>
      </w:r>
      <w:r>
        <w:rPr>
          <w:rStyle w:val="Hyperlink.0"/>
        </w:rPr>
        <w:instrText xml:space="preserve"> HYPERLINK "http://linkinghub.elsevier.com/retrieve/pii/S0014498316301966"</w:instrText>
      </w:r>
      <w:r>
        <w:rPr>
          <w:rStyle w:val="Hyperlink.0"/>
        </w:rPr>
        <w:fldChar w:fldCharType="separate" w:fldLock="0"/>
      </w:r>
      <w:r>
        <w:rPr>
          <w:rStyle w:val="Hyperlink.0"/>
          <w:rtl w:val="0"/>
          <w:lang w:val="en-US"/>
        </w:rPr>
        <w:t>http://linkinghub.elsevier.com/retrieve/pii/S0014498316301966</w:t>
      </w:r>
      <w:r>
        <w:rPr/>
        <w:fldChar w:fldCharType="end" w:fldLock="0"/>
      </w:r>
    </w:p>
    <w:p>
      <w:pPr>
        <w:pStyle w:val="Bibliography"/>
        <w:jc w:val="both"/>
      </w:pPr>
      <w:r>
        <w:rPr>
          <w:rtl w:val="0"/>
          <w:lang w:val="en-US"/>
        </w:rPr>
        <w:t xml:space="preserve">Johnston, B. (1951). Agricultural Productivity and Economic Development in Japan. </w:t>
      </w:r>
      <w:r>
        <w:rPr>
          <w:rFonts w:ascii="Helvetica" w:hAnsi="Helvetica"/>
          <w:i w:val="1"/>
          <w:iCs w:val="1"/>
          <w:rtl w:val="0"/>
          <w:lang w:val="en-US"/>
        </w:rPr>
        <w:t>Journal of Political Economy</w:t>
      </w:r>
      <w:r>
        <w:rPr>
          <w:rtl w:val="0"/>
          <w:lang w:val="en-US"/>
        </w:rPr>
        <w:t xml:space="preserve">, </w:t>
      </w:r>
      <w:r>
        <w:rPr>
          <w:rFonts w:ascii="Helvetica" w:hAnsi="Helvetica"/>
          <w:i w:val="1"/>
          <w:iCs w:val="1"/>
          <w:rtl w:val="0"/>
          <w:lang w:val="en-US"/>
        </w:rPr>
        <w:t>59</w:t>
      </w:r>
      <w:r>
        <w:rPr>
          <w:rtl w:val="0"/>
          <w:lang w:val="en-US"/>
        </w:rPr>
        <w:t>(6), 498</w:t>
      </w:r>
      <w:r>
        <w:rPr>
          <w:rtl w:val="0"/>
          <w:lang w:val="en-US"/>
        </w:rPr>
        <w:t>–</w:t>
      </w:r>
      <w:r>
        <w:rPr>
          <w:rtl w:val="0"/>
          <w:lang w:val="en-US"/>
        </w:rPr>
        <w:t xml:space="preserve">513. Retrieved from </w:t>
      </w:r>
      <w:r>
        <w:rPr>
          <w:rStyle w:val="Hyperlink.0"/>
        </w:rPr>
        <w:fldChar w:fldCharType="begin" w:fldLock="0"/>
      </w:r>
      <w:r>
        <w:rPr>
          <w:rStyle w:val="Hyperlink.0"/>
        </w:rPr>
        <w:instrText xml:space="preserve"> HYPERLINK "http://www.jstor.org/stable/1830239"</w:instrText>
      </w:r>
      <w:r>
        <w:rPr>
          <w:rStyle w:val="Hyperlink.0"/>
        </w:rPr>
        <w:fldChar w:fldCharType="separate" w:fldLock="0"/>
      </w:r>
      <w:r>
        <w:rPr>
          <w:rStyle w:val="Hyperlink.0"/>
          <w:rtl w:val="0"/>
          <w:lang w:val="en-US"/>
        </w:rPr>
        <w:t>http://www.jstor.org/stable/1830239</w:t>
      </w:r>
      <w:r>
        <w:rPr/>
        <w:fldChar w:fldCharType="end" w:fldLock="0"/>
      </w:r>
    </w:p>
    <w:p>
      <w:pPr>
        <w:pStyle w:val="Bibliography"/>
        <w:jc w:val="both"/>
      </w:pPr>
      <w:r>
        <w:rPr>
          <w:rtl w:val="0"/>
          <w:lang w:val="en-US"/>
        </w:rPr>
        <w:t xml:space="preserve">Johnston, B., &amp; Mellor, J. (1961). The Role of Agriculture in Economic Development. </w:t>
      </w:r>
      <w:r>
        <w:rPr>
          <w:rFonts w:ascii="Helvetica" w:hAnsi="Helvetica"/>
          <w:i w:val="1"/>
          <w:iCs w:val="1"/>
          <w:rtl w:val="0"/>
          <w:lang w:val="en-US"/>
        </w:rPr>
        <w:t>The American Economic Review</w:t>
      </w:r>
      <w:r>
        <w:rPr>
          <w:rtl w:val="0"/>
          <w:lang w:val="en-US"/>
        </w:rPr>
        <w:t xml:space="preserve">, </w:t>
      </w:r>
      <w:r>
        <w:rPr>
          <w:rFonts w:ascii="Helvetica" w:hAnsi="Helvetica"/>
          <w:i w:val="1"/>
          <w:iCs w:val="1"/>
          <w:rtl w:val="0"/>
          <w:lang w:val="en-US"/>
        </w:rPr>
        <w:t>51</w:t>
      </w:r>
      <w:r>
        <w:rPr>
          <w:rtl w:val="0"/>
          <w:lang w:val="en-US"/>
        </w:rPr>
        <w:t>(4), 566</w:t>
      </w:r>
      <w:r>
        <w:rPr>
          <w:rtl w:val="0"/>
          <w:lang w:val="en-US"/>
        </w:rPr>
        <w:t>–</w:t>
      </w:r>
      <w:r>
        <w:rPr>
          <w:rtl w:val="0"/>
          <w:lang w:val="en-US"/>
        </w:rPr>
        <w:t xml:space="preserve">593. Retrieved from </w:t>
      </w:r>
      <w:r>
        <w:rPr>
          <w:rStyle w:val="Hyperlink.0"/>
        </w:rPr>
        <w:fldChar w:fldCharType="begin" w:fldLock="0"/>
      </w:r>
      <w:r>
        <w:rPr>
          <w:rStyle w:val="Hyperlink.0"/>
        </w:rPr>
        <w:instrText xml:space="preserve"> HYPERLINK "http://www.jstor.org/stable/1812786"</w:instrText>
      </w:r>
      <w:r>
        <w:rPr>
          <w:rStyle w:val="Hyperlink.0"/>
        </w:rPr>
        <w:fldChar w:fldCharType="separate" w:fldLock="0"/>
      </w:r>
      <w:r>
        <w:rPr>
          <w:rStyle w:val="Hyperlink.0"/>
          <w:rtl w:val="0"/>
          <w:lang w:val="en-US"/>
        </w:rPr>
        <w:t>http://www.jstor.org/stable/1812786</w:t>
      </w:r>
      <w:r>
        <w:rPr/>
        <w:fldChar w:fldCharType="end" w:fldLock="0"/>
      </w:r>
    </w:p>
    <w:p>
      <w:pPr>
        <w:pStyle w:val="Bibliography"/>
        <w:jc w:val="both"/>
      </w:pPr>
      <w:r>
        <w:rPr>
          <w:rtl w:val="0"/>
          <w:lang w:val="en-US"/>
        </w:rPr>
        <w:t xml:space="preserve">Johnston, B., &amp; Nielsen, S. (1966). Agricultural and Structural Transformation in a Developing Economy. </w:t>
      </w:r>
      <w:r>
        <w:rPr>
          <w:rFonts w:ascii="Helvetica" w:hAnsi="Helvetica"/>
          <w:i w:val="1"/>
          <w:iCs w:val="1"/>
          <w:rtl w:val="0"/>
          <w:lang w:val="en-US"/>
        </w:rPr>
        <w:t>Economic Development and Cultural Change</w:t>
      </w:r>
      <w:r>
        <w:rPr>
          <w:rtl w:val="0"/>
          <w:lang w:val="en-US"/>
        </w:rPr>
        <w:t xml:space="preserve">, </w:t>
      </w:r>
      <w:r>
        <w:rPr>
          <w:rFonts w:ascii="Helvetica" w:hAnsi="Helvetica"/>
          <w:i w:val="1"/>
          <w:iCs w:val="1"/>
          <w:rtl w:val="0"/>
          <w:lang w:val="en-US"/>
        </w:rPr>
        <w:t>14</w:t>
      </w:r>
      <w:r>
        <w:rPr>
          <w:rtl w:val="0"/>
          <w:lang w:val="en-US"/>
        </w:rPr>
        <w:t>(3), 279</w:t>
      </w:r>
      <w:r>
        <w:rPr>
          <w:rtl w:val="0"/>
          <w:lang w:val="en-US"/>
        </w:rPr>
        <w:t>–</w:t>
      </w:r>
      <w:r>
        <w:rPr>
          <w:rtl w:val="0"/>
          <w:lang w:val="en-US"/>
        </w:rPr>
        <w:t xml:space="preserve">301. Retrieved from </w:t>
      </w:r>
      <w:r>
        <w:rPr>
          <w:rStyle w:val="Hyperlink.0"/>
        </w:rPr>
        <w:fldChar w:fldCharType="begin" w:fldLock="0"/>
      </w:r>
      <w:r>
        <w:rPr>
          <w:rStyle w:val="Hyperlink.0"/>
        </w:rPr>
        <w:instrText xml:space="preserve"> HYPERLINK "http://www.jstor.org/stable/1152435"</w:instrText>
      </w:r>
      <w:r>
        <w:rPr>
          <w:rStyle w:val="Hyperlink.0"/>
        </w:rPr>
        <w:fldChar w:fldCharType="separate" w:fldLock="0"/>
      </w:r>
      <w:r>
        <w:rPr>
          <w:rStyle w:val="Hyperlink.0"/>
          <w:rtl w:val="0"/>
          <w:lang w:val="en-US"/>
        </w:rPr>
        <w:t>http://www.jstor.org/stable/1152435</w:t>
      </w:r>
      <w:r>
        <w:rPr/>
        <w:fldChar w:fldCharType="end" w:fldLock="0"/>
      </w:r>
    </w:p>
    <w:p>
      <w:pPr>
        <w:pStyle w:val="Bibliography"/>
        <w:jc w:val="both"/>
      </w:pPr>
      <w:r>
        <w:rPr>
          <w:rtl w:val="0"/>
          <w:lang w:val="en-US"/>
        </w:rPr>
        <w:t xml:space="preserve">Jorgenson, D. (1961). The Development of a Dual Economy. </w:t>
      </w:r>
      <w:r>
        <w:rPr>
          <w:rFonts w:ascii="Helvetica" w:hAnsi="Helvetica"/>
          <w:i w:val="1"/>
          <w:iCs w:val="1"/>
          <w:rtl w:val="0"/>
          <w:lang w:val="en-US"/>
        </w:rPr>
        <w:t>The Economic Journal</w:t>
      </w:r>
      <w:r>
        <w:rPr>
          <w:rtl w:val="0"/>
          <w:lang w:val="en-US"/>
        </w:rPr>
        <w:t xml:space="preserve">, </w:t>
      </w:r>
      <w:r>
        <w:rPr>
          <w:rFonts w:ascii="Helvetica" w:hAnsi="Helvetica"/>
          <w:i w:val="1"/>
          <w:iCs w:val="1"/>
          <w:rtl w:val="0"/>
          <w:lang w:val="en-US"/>
        </w:rPr>
        <w:t>71</w:t>
      </w:r>
      <w:r>
        <w:rPr>
          <w:rtl w:val="0"/>
          <w:lang w:val="en-US"/>
        </w:rPr>
        <w:t>(282), 309</w:t>
      </w:r>
      <w:r>
        <w:rPr>
          <w:rtl w:val="0"/>
          <w:lang w:val="en-US"/>
        </w:rPr>
        <w:t>–</w:t>
      </w:r>
      <w:r>
        <w:rPr>
          <w:rtl w:val="0"/>
          <w:lang w:val="en-US"/>
        </w:rPr>
        <w:t xml:space="preserve">334. Retrieved from </w:t>
      </w:r>
      <w:r>
        <w:rPr>
          <w:rStyle w:val="Hyperlink.0"/>
        </w:rPr>
        <w:fldChar w:fldCharType="begin" w:fldLock="0"/>
      </w:r>
      <w:r>
        <w:rPr>
          <w:rStyle w:val="Hyperlink.0"/>
        </w:rPr>
        <w:instrText xml:space="preserve"> HYPERLINK "http://www.jstor.org/stable/2228770"</w:instrText>
      </w:r>
      <w:r>
        <w:rPr>
          <w:rStyle w:val="Hyperlink.0"/>
        </w:rPr>
        <w:fldChar w:fldCharType="separate" w:fldLock="0"/>
      </w:r>
      <w:r>
        <w:rPr>
          <w:rStyle w:val="Hyperlink.0"/>
          <w:rtl w:val="0"/>
          <w:lang w:val="en-US"/>
        </w:rPr>
        <w:t>http://www.jstor.org/stable/2228770</w:t>
      </w:r>
      <w:r>
        <w:rPr/>
        <w:fldChar w:fldCharType="end" w:fldLock="0"/>
      </w:r>
    </w:p>
    <w:p>
      <w:pPr>
        <w:pStyle w:val="Bibliography"/>
        <w:jc w:val="both"/>
      </w:pPr>
      <w:r>
        <w:rPr>
          <w:rtl w:val="0"/>
          <w:lang w:val="en-US"/>
        </w:rPr>
        <w:t xml:space="preserve">Jorgenson, D. (1967). Surplus Agricultural Labour and the Development of a Dual Economy. </w:t>
      </w:r>
      <w:r>
        <w:rPr>
          <w:rFonts w:ascii="Helvetica" w:hAnsi="Helvetica"/>
          <w:i w:val="1"/>
          <w:iCs w:val="1"/>
          <w:rtl w:val="0"/>
          <w:lang w:val="en-US"/>
        </w:rPr>
        <w:t>Oxford Economic Papers, New Series</w:t>
      </w:r>
      <w:r>
        <w:rPr>
          <w:rtl w:val="0"/>
          <w:lang w:val="en-US"/>
        </w:rPr>
        <w:t xml:space="preserve">, </w:t>
      </w:r>
      <w:r>
        <w:rPr>
          <w:rFonts w:ascii="Helvetica" w:hAnsi="Helvetica"/>
          <w:i w:val="1"/>
          <w:iCs w:val="1"/>
          <w:rtl w:val="0"/>
          <w:lang w:val="en-US"/>
        </w:rPr>
        <w:t>19</w:t>
      </w:r>
      <w:r>
        <w:rPr>
          <w:rtl w:val="0"/>
          <w:lang w:val="en-US"/>
        </w:rPr>
        <w:t>(3), 288</w:t>
      </w:r>
      <w:r>
        <w:rPr>
          <w:rtl w:val="0"/>
          <w:lang w:val="en-US"/>
        </w:rPr>
        <w:t>–</w:t>
      </w:r>
      <w:r>
        <w:rPr>
          <w:rtl w:val="0"/>
          <w:lang w:val="en-US"/>
        </w:rPr>
        <w:t xml:space="preserve">312. Retrieved from </w:t>
      </w:r>
      <w:r>
        <w:rPr>
          <w:rStyle w:val="Hyperlink.0"/>
        </w:rPr>
        <w:fldChar w:fldCharType="begin" w:fldLock="0"/>
      </w:r>
      <w:r>
        <w:rPr>
          <w:rStyle w:val="Hyperlink.0"/>
        </w:rPr>
        <w:instrText xml:space="preserve"> HYPERLINK "http://www.jstor.org/stable/2662328"</w:instrText>
      </w:r>
      <w:r>
        <w:rPr>
          <w:rStyle w:val="Hyperlink.0"/>
        </w:rPr>
        <w:fldChar w:fldCharType="separate" w:fldLock="0"/>
      </w:r>
      <w:r>
        <w:rPr>
          <w:rStyle w:val="Hyperlink.0"/>
          <w:rtl w:val="0"/>
          <w:lang w:val="en-US"/>
        </w:rPr>
        <w:t>http://www.jstor.org/stable/2662328</w:t>
      </w:r>
      <w:r>
        <w:rPr/>
        <w:fldChar w:fldCharType="end" w:fldLock="0"/>
      </w:r>
    </w:p>
    <w:p>
      <w:pPr>
        <w:pStyle w:val="Bibliography"/>
        <w:jc w:val="both"/>
      </w:pPr>
      <w:r>
        <w:rPr>
          <w:rtl w:val="0"/>
          <w:lang w:val="en-US"/>
        </w:rPr>
        <w:t xml:space="preserve">Kanwar, S. (2000). Does the Dog Wag the Tail or the Tail the Dog? Cointegration of Indian Agriculture with Nonagriculture. </w:t>
      </w:r>
      <w:r>
        <w:rPr>
          <w:rFonts w:ascii="Helvetica" w:hAnsi="Helvetica"/>
          <w:i w:val="1"/>
          <w:iCs w:val="1"/>
          <w:rtl w:val="0"/>
          <w:lang w:val="en-US"/>
        </w:rPr>
        <w:t>Journal of Policy Modeling</w:t>
      </w:r>
      <w:r>
        <w:rPr>
          <w:rtl w:val="0"/>
          <w:lang w:val="en-US"/>
        </w:rPr>
        <w:t xml:space="preserve">, </w:t>
      </w:r>
      <w:r>
        <w:rPr>
          <w:rFonts w:ascii="Helvetica" w:hAnsi="Helvetica"/>
          <w:i w:val="1"/>
          <w:iCs w:val="1"/>
          <w:rtl w:val="0"/>
          <w:lang w:val="en-US"/>
        </w:rPr>
        <w:t>22</w:t>
      </w:r>
      <w:r>
        <w:rPr>
          <w:rtl w:val="0"/>
          <w:lang w:val="en-US"/>
        </w:rPr>
        <w:t>(5), 533</w:t>
      </w:r>
      <w:r>
        <w:rPr>
          <w:rtl w:val="0"/>
          <w:lang w:val="en-US"/>
        </w:rPr>
        <w:t>–</w:t>
      </w:r>
      <w:r>
        <w:rPr>
          <w:rtl w:val="0"/>
          <w:lang w:val="en-US"/>
        </w:rPr>
        <w:t xml:space="preserve">556. Retrieved from </w:t>
      </w:r>
      <w:r>
        <w:rPr>
          <w:rStyle w:val="Hyperlink.0"/>
        </w:rPr>
        <w:fldChar w:fldCharType="begin" w:fldLock="0"/>
      </w:r>
      <w:r>
        <w:rPr>
          <w:rStyle w:val="Hyperlink.0"/>
        </w:rPr>
        <w:instrText xml:space="preserve"> HYPERLINK "http://linkinghub.elsevier.com/retrieve/pii/S0161893897001610"</w:instrText>
      </w:r>
      <w:r>
        <w:rPr>
          <w:rStyle w:val="Hyperlink.0"/>
        </w:rPr>
        <w:fldChar w:fldCharType="separate" w:fldLock="0"/>
      </w:r>
      <w:r>
        <w:rPr>
          <w:rStyle w:val="Hyperlink.0"/>
          <w:rtl w:val="0"/>
          <w:lang w:val="en-US"/>
        </w:rPr>
        <w:t>http://linkinghub.elsevier.com/retrieve/pii/S0161893897001610</w:t>
      </w:r>
      <w:r>
        <w:rPr/>
        <w:fldChar w:fldCharType="end" w:fldLock="0"/>
      </w:r>
    </w:p>
    <w:p>
      <w:pPr>
        <w:pStyle w:val="Bibliography"/>
        <w:jc w:val="both"/>
      </w:pPr>
      <w:r>
        <w:rPr>
          <w:rtl w:val="0"/>
          <w:lang w:val="en-US"/>
        </w:rPr>
        <w:t xml:space="preserve">Keller, C. (1931). </w:t>
      </w:r>
      <w:r>
        <w:rPr>
          <w:rFonts w:ascii="Helvetica" w:hAnsi="Helvetica"/>
          <w:i w:val="1"/>
          <w:iCs w:val="1"/>
          <w:rtl w:val="0"/>
          <w:lang w:val="en-US"/>
        </w:rPr>
        <w:t>La eterna crisis chilena</w:t>
      </w:r>
      <w:r>
        <w:rPr>
          <w:rtl w:val="0"/>
          <w:lang w:val="en-US"/>
        </w:rPr>
        <w:t xml:space="preserve"> (p. 323). Santiago, Chile: Nascimiento.</w:t>
      </w:r>
    </w:p>
    <w:p>
      <w:pPr>
        <w:pStyle w:val="Bibliography"/>
        <w:jc w:val="both"/>
      </w:pPr>
      <w:r>
        <w:rPr>
          <w:rtl w:val="0"/>
          <w:lang w:val="en-US"/>
        </w:rPr>
        <w:t xml:space="preserve">Kelley, A., Williamson, J., &amp; Cheetham, R. (1972). </w:t>
      </w:r>
      <w:r>
        <w:rPr>
          <w:rFonts w:ascii="Helvetica" w:hAnsi="Helvetica"/>
          <w:i w:val="1"/>
          <w:iCs w:val="1"/>
          <w:rtl w:val="0"/>
          <w:lang w:val="en-US"/>
        </w:rPr>
        <w:t>Dualistic economic development: Theory and history</w:t>
      </w:r>
      <w:r>
        <w:rPr>
          <w:rtl w:val="0"/>
          <w:lang w:val="en-US"/>
        </w:rPr>
        <w:t>. University of Chicago Press.</w:t>
      </w:r>
    </w:p>
    <w:p>
      <w:pPr>
        <w:pStyle w:val="Bibliography"/>
        <w:jc w:val="both"/>
      </w:pPr>
      <w:r>
        <w:rPr>
          <w:rtl w:val="0"/>
          <w:lang w:val="en-US"/>
        </w:rPr>
        <w:t xml:space="preserve">Krause, G. (1997). Voters, Information Heterogeneity, and the Dynamics of Aggregate Economic Expectations. </w:t>
      </w:r>
      <w:r>
        <w:rPr>
          <w:rFonts w:ascii="Helvetica" w:hAnsi="Helvetica"/>
          <w:i w:val="1"/>
          <w:iCs w:val="1"/>
          <w:rtl w:val="0"/>
          <w:lang w:val="en-US"/>
        </w:rPr>
        <w:t>American Journal of Political Science</w:t>
      </w:r>
      <w:r>
        <w:rPr>
          <w:rtl w:val="0"/>
          <w:lang w:val="en-US"/>
        </w:rPr>
        <w:t xml:space="preserve">, </w:t>
      </w:r>
      <w:r>
        <w:rPr>
          <w:rFonts w:ascii="Helvetica" w:hAnsi="Helvetica"/>
          <w:i w:val="1"/>
          <w:iCs w:val="1"/>
          <w:rtl w:val="0"/>
          <w:lang w:val="en-US"/>
        </w:rPr>
        <w:t>41</w:t>
      </w:r>
      <w:r>
        <w:rPr>
          <w:rtl w:val="0"/>
          <w:lang w:val="en-US"/>
        </w:rPr>
        <w:t>(4), 1170</w:t>
      </w:r>
      <w:r>
        <w:rPr>
          <w:rtl w:val="0"/>
          <w:lang w:val="en-US"/>
        </w:rPr>
        <w:t>–</w:t>
      </w:r>
      <w:r>
        <w:rPr>
          <w:rtl w:val="0"/>
          <w:lang w:val="en-US"/>
        </w:rPr>
        <w:t>1200.</w:t>
      </w:r>
    </w:p>
    <w:p>
      <w:pPr>
        <w:pStyle w:val="Bibliography"/>
        <w:jc w:val="both"/>
      </w:pPr>
      <w:r>
        <w:rPr>
          <w:rtl w:val="0"/>
          <w:lang w:val="en-US"/>
        </w:rPr>
        <w:t xml:space="preserve">Kurtz, M. (2013). </w:t>
      </w:r>
      <w:r>
        <w:rPr>
          <w:rFonts w:ascii="Helvetica" w:hAnsi="Helvetica"/>
          <w:i w:val="1"/>
          <w:iCs w:val="1"/>
          <w:rtl w:val="0"/>
          <w:lang w:val="en-US"/>
        </w:rPr>
        <w:t>Latin american state building in comparative perspective: Social foundations of institutional order</w:t>
      </w:r>
      <w:r>
        <w:rPr>
          <w:rtl w:val="0"/>
          <w:lang w:val="en-US"/>
        </w:rPr>
        <w:t>. Cambridge University Press.</w:t>
      </w:r>
    </w:p>
    <w:p>
      <w:pPr>
        <w:pStyle w:val="Bibliography"/>
        <w:jc w:val="both"/>
      </w:pPr>
      <w:r>
        <w:rPr>
          <w:rtl w:val="0"/>
          <w:lang w:val="en-US"/>
        </w:rPr>
        <w:t xml:space="preserve">Kuznets, S. (1961). Economic Growth and the Contribution of Agriculture: Notes on Measurement. </w:t>
      </w:r>
      <w:r>
        <w:rPr>
          <w:rFonts w:ascii="Helvetica" w:hAnsi="Helvetica"/>
          <w:i w:val="1"/>
          <w:iCs w:val="1"/>
          <w:rtl w:val="0"/>
          <w:lang w:val="en-US"/>
        </w:rPr>
        <w:t>1961 Conference, August 19-30, 1961, Cuernavaca, Morelos, Mexico</w:t>
      </w:r>
      <w:r>
        <w:rPr>
          <w:rtl w:val="0"/>
          <w:lang w:val="en-US"/>
        </w:rPr>
        <w:t xml:space="preserve">. Retrieved from </w:t>
      </w:r>
      <w:r>
        <w:rPr>
          <w:rStyle w:val="Hyperlink.0"/>
        </w:rPr>
        <w:fldChar w:fldCharType="begin" w:fldLock="0"/>
      </w:r>
      <w:r>
        <w:rPr>
          <w:rStyle w:val="Hyperlink.0"/>
        </w:rPr>
        <w:instrText xml:space="preserve"> HYPERLINK "http://ideas.repec.org/p/ags/iaae61/209625.html"</w:instrText>
      </w:r>
      <w:r>
        <w:rPr>
          <w:rStyle w:val="Hyperlink.0"/>
        </w:rPr>
        <w:fldChar w:fldCharType="separate" w:fldLock="0"/>
      </w:r>
      <w:r>
        <w:rPr>
          <w:rStyle w:val="Hyperlink.0"/>
          <w:rtl w:val="0"/>
          <w:lang w:val="en-US"/>
        </w:rPr>
        <w:t>http://ideas.repec.org/p/ags/iaae61/209625.html</w:t>
      </w:r>
      <w:r>
        <w:rPr/>
        <w:fldChar w:fldCharType="end" w:fldLock="0"/>
      </w:r>
    </w:p>
    <w:p>
      <w:pPr>
        <w:pStyle w:val="Bibliography"/>
        <w:jc w:val="both"/>
      </w:pPr>
      <w:r>
        <w:rPr>
          <w:rtl w:val="0"/>
          <w:lang w:val="en-US"/>
        </w:rPr>
        <w:t xml:space="preserve">Kuznets, S. (1967). </w:t>
      </w:r>
      <w:r>
        <w:rPr>
          <w:rFonts w:ascii="Helvetica" w:hAnsi="Helvetica"/>
          <w:i w:val="1"/>
          <w:iCs w:val="1"/>
          <w:rtl w:val="0"/>
          <w:lang w:val="en-US"/>
        </w:rPr>
        <w:t>Modern economic growth: Rate, structure and spread</w:t>
      </w:r>
      <w:r>
        <w:rPr>
          <w:rtl w:val="0"/>
          <w:lang w:val="en-US"/>
        </w:rPr>
        <w:t>. Yale University Press.</w:t>
      </w:r>
    </w:p>
    <w:p>
      <w:pPr>
        <w:pStyle w:val="Bibliography"/>
        <w:jc w:val="both"/>
      </w:pPr>
      <w:r>
        <w:rPr>
          <w:rtl w:val="0"/>
          <w:lang w:val="en-US"/>
        </w:rPr>
        <w:t xml:space="preserve">Landon-Lane, J., &amp; Robertson, P. (2003). </w:t>
      </w:r>
      <w:r>
        <w:rPr>
          <w:rFonts w:ascii="Helvetica" w:hAnsi="Helvetica"/>
          <w:i w:val="1"/>
          <w:iCs w:val="1"/>
          <w:rtl w:val="0"/>
          <w:lang w:val="en-US"/>
        </w:rPr>
        <w:t>Accumulation and Productivity Growth in Industrializing Economies</w:t>
      </w:r>
      <w:r>
        <w:rPr>
          <w:rtl w:val="0"/>
          <w:lang w:val="en-US"/>
        </w:rPr>
        <w:t xml:space="preserve">. Departmental working papers. Rutgers University, Department of Economics. Retrieved from </w:t>
      </w:r>
      <w:r>
        <w:rPr>
          <w:rStyle w:val="Hyperlink.0"/>
        </w:rPr>
        <w:fldChar w:fldCharType="begin" w:fldLock="0"/>
      </w:r>
      <w:r>
        <w:rPr>
          <w:rStyle w:val="Hyperlink.0"/>
        </w:rPr>
        <w:instrText xml:space="preserve"> HYPERLINK "http://econpapers.repec.org/RePEc:rut:rutres:200305"</w:instrText>
      </w:r>
      <w:r>
        <w:rPr>
          <w:rStyle w:val="Hyperlink.0"/>
        </w:rPr>
        <w:fldChar w:fldCharType="separate" w:fldLock="0"/>
      </w:r>
      <w:r>
        <w:rPr>
          <w:rStyle w:val="Hyperlink.0"/>
          <w:rtl w:val="0"/>
          <w:lang w:val="en-US"/>
        </w:rPr>
        <w:t>http://econpapers.repec.org/RePEc:rut:rutres:200305</w:t>
      </w:r>
      <w:r>
        <w:rPr/>
        <w:fldChar w:fldCharType="end" w:fldLock="0"/>
      </w:r>
    </w:p>
    <w:p>
      <w:pPr>
        <w:pStyle w:val="Bibliography"/>
        <w:jc w:val="both"/>
      </w:pPr>
      <w:r>
        <w:rPr>
          <w:rtl w:val="0"/>
          <w:lang w:val="en-US"/>
        </w:rPr>
        <w:t xml:space="preserve">Leblang, D. (1996). Property Rights, Democracy and Economic Growth. </w:t>
      </w:r>
      <w:r>
        <w:rPr>
          <w:rFonts w:ascii="Helvetica" w:hAnsi="Helvetica"/>
          <w:i w:val="1"/>
          <w:iCs w:val="1"/>
          <w:rtl w:val="0"/>
          <w:lang w:val="en-US"/>
        </w:rPr>
        <w:t>Political Research Quarterly</w:t>
      </w:r>
      <w:r>
        <w:rPr>
          <w:rtl w:val="0"/>
          <w:lang w:val="en-US"/>
        </w:rPr>
        <w:t xml:space="preserve">, </w:t>
      </w:r>
      <w:r>
        <w:rPr>
          <w:rFonts w:ascii="Helvetica" w:hAnsi="Helvetica"/>
          <w:i w:val="1"/>
          <w:iCs w:val="1"/>
          <w:rtl w:val="0"/>
          <w:lang w:val="en-US"/>
        </w:rPr>
        <w:t>49</w:t>
      </w:r>
      <w:r>
        <w:rPr>
          <w:rtl w:val="0"/>
          <w:lang w:val="en-US"/>
        </w:rPr>
        <w:t>(1), 5</w:t>
      </w:r>
      <w:r>
        <w:rPr>
          <w:rtl w:val="0"/>
          <w:lang w:val="en-US"/>
        </w:rPr>
        <w:t>–</w:t>
      </w:r>
      <w:r>
        <w:rPr>
          <w:rtl w:val="0"/>
          <w:lang w:val="en-US"/>
        </w:rPr>
        <w:t xml:space="preserve">26. Retrieved from </w:t>
      </w:r>
      <w:r>
        <w:rPr>
          <w:rStyle w:val="Hyperlink.0"/>
        </w:rPr>
        <w:fldChar w:fldCharType="begin" w:fldLock="0"/>
      </w:r>
      <w:r>
        <w:rPr>
          <w:rStyle w:val="Hyperlink.0"/>
        </w:rPr>
        <w:instrText xml:space="preserve"> HYPERLINK "http://prq.sagepub.com/cgi/doi/10.1177/106591299604900102"</w:instrText>
      </w:r>
      <w:r>
        <w:rPr>
          <w:rStyle w:val="Hyperlink.0"/>
        </w:rPr>
        <w:fldChar w:fldCharType="separate" w:fldLock="0"/>
      </w:r>
      <w:r>
        <w:rPr>
          <w:rStyle w:val="Hyperlink.0"/>
          <w:rtl w:val="0"/>
          <w:lang w:val="en-US"/>
        </w:rPr>
        <w:t>http://prq.sagepub.com/cgi/doi/10.1177/106591299604900102</w:t>
      </w:r>
      <w:r>
        <w:rPr/>
        <w:fldChar w:fldCharType="end" w:fldLock="0"/>
      </w:r>
    </w:p>
    <w:p>
      <w:pPr>
        <w:pStyle w:val="Bibliography"/>
        <w:jc w:val="both"/>
      </w:pPr>
      <w:r>
        <w:rPr>
          <w:rtl w:val="0"/>
          <w:lang w:val="en-US"/>
        </w:rPr>
        <w:t xml:space="preserve">Leibenstein, H. (1957a). </w:t>
      </w:r>
      <w:r>
        <w:rPr>
          <w:rFonts w:ascii="Helvetica" w:hAnsi="Helvetica"/>
          <w:i w:val="1"/>
          <w:iCs w:val="1"/>
          <w:rtl w:val="0"/>
          <w:lang w:val="en-US"/>
        </w:rPr>
        <w:t>Economic backwardness and economic growth</w:t>
      </w:r>
      <w:r>
        <w:rPr>
          <w:rtl w:val="0"/>
          <w:lang w:val="en-US"/>
        </w:rPr>
        <w:t xml:space="preserve"> (1st.). John Wiley; Sons.</w:t>
      </w:r>
    </w:p>
    <w:p>
      <w:pPr>
        <w:pStyle w:val="Bibliography"/>
        <w:jc w:val="both"/>
      </w:pPr>
      <w:r>
        <w:rPr>
          <w:rtl w:val="0"/>
          <w:lang w:val="en-US"/>
        </w:rPr>
        <w:t xml:space="preserve">Leibenstein, H. (1957b). The Theory of Underemployment in Backward Economies. </w:t>
      </w:r>
      <w:r>
        <w:rPr>
          <w:rFonts w:ascii="Helvetica" w:hAnsi="Helvetica"/>
          <w:i w:val="1"/>
          <w:iCs w:val="1"/>
          <w:rtl w:val="0"/>
          <w:lang w:val="en-US"/>
        </w:rPr>
        <w:t>Journal of Political Economy</w:t>
      </w:r>
      <w:r>
        <w:rPr>
          <w:rtl w:val="0"/>
          <w:lang w:val="en-US"/>
        </w:rPr>
        <w:t xml:space="preserve">, </w:t>
      </w:r>
      <w:r>
        <w:rPr>
          <w:rFonts w:ascii="Helvetica" w:hAnsi="Helvetica"/>
          <w:i w:val="1"/>
          <w:iCs w:val="1"/>
          <w:rtl w:val="0"/>
          <w:lang w:val="en-US"/>
        </w:rPr>
        <w:t>65</w:t>
      </w:r>
      <w:r>
        <w:rPr>
          <w:rtl w:val="0"/>
          <w:lang w:val="en-US"/>
        </w:rPr>
        <w:t>(2), 91</w:t>
      </w:r>
      <w:r>
        <w:rPr>
          <w:rtl w:val="0"/>
          <w:lang w:val="en-US"/>
        </w:rPr>
        <w:t>–</w:t>
      </w:r>
      <w:r>
        <w:rPr>
          <w:rtl w:val="0"/>
          <w:lang w:val="en-US"/>
        </w:rPr>
        <w:t xml:space="preserve">103. Retrieved from </w:t>
      </w:r>
      <w:r>
        <w:rPr>
          <w:rStyle w:val="Hyperlink.0"/>
        </w:rPr>
        <w:fldChar w:fldCharType="begin" w:fldLock="0"/>
      </w:r>
      <w:r>
        <w:rPr>
          <w:rStyle w:val="Hyperlink.0"/>
        </w:rPr>
        <w:instrText xml:space="preserve"> HYPERLINK "http://www.jstor.org/stable/1827366"</w:instrText>
      </w:r>
      <w:r>
        <w:rPr>
          <w:rStyle w:val="Hyperlink.0"/>
        </w:rPr>
        <w:fldChar w:fldCharType="separate" w:fldLock="0"/>
      </w:r>
      <w:r>
        <w:rPr>
          <w:rStyle w:val="Hyperlink.0"/>
          <w:rtl w:val="0"/>
          <w:lang w:val="en-US"/>
        </w:rPr>
        <w:t>http://www.jstor.org/stable/1827366</w:t>
      </w:r>
      <w:r>
        <w:rPr/>
        <w:fldChar w:fldCharType="end" w:fldLock="0"/>
      </w:r>
    </w:p>
    <w:p>
      <w:pPr>
        <w:pStyle w:val="Bibliography"/>
        <w:jc w:val="both"/>
      </w:pPr>
      <w:r>
        <w:rPr>
          <w:rtl w:val="0"/>
          <w:lang w:val="en-US"/>
        </w:rPr>
        <w:t xml:space="preserve">Lewis, A. (1954). Economic Development with Unlimited Supplies of Labour. </w:t>
      </w:r>
      <w:r>
        <w:rPr>
          <w:rFonts w:ascii="Helvetica" w:hAnsi="Helvetica"/>
          <w:i w:val="1"/>
          <w:iCs w:val="1"/>
          <w:rtl w:val="0"/>
          <w:lang w:val="en-US"/>
        </w:rPr>
        <w:t>The Manchester School</w:t>
      </w:r>
      <w:r>
        <w:rPr>
          <w:rtl w:val="0"/>
          <w:lang w:val="en-US"/>
        </w:rPr>
        <w:t xml:space="preserve">, </w:t>
      </w:r>
      <w:r>
        <w:rPr>
          <w:rFonts w:ascii="Helvetica" w:hAnsi="Helvetica"/>
          <w:i w:val="1"/>
          <w:iCs w:val="1"/>
          <w:rtl w:val="0"/>
          <w:lang w:val="en-US"/>
        </w:rPr>
        <w:t>22</w:t>
      </w:r>
      <w:r>
        <w:rPr>
          <w:rtl w:val="0"/>
          <w:lang w:val="en-US"/>
        </w:rPr>
        <w:t>(2), 139</w:t>
      </w:r>
      <w:r>
        <w:rPr>
          <w:rtl w:val="0"/>
          <w:lang w:val="en-US"/>
        </w:rPr>
        <w:t>–</w:t>
      </w:r>
      <w:r>
        <w:rPr>
          <w:rtl w:val="0"/>
          <w:lang w:val="en-US"/>
        </w:rPr>
        <w:t xml:space="preserve">191. Retrieved from </w:t>
      </w:r>
      <w:r>
        <w:rPr>
          <w:rStyle w:val="Hyperlink.0"/>
        </w:rPr>
        <w:fldChar w:fldCharType="begin" w:fldLock="0"/>
      </w:r>
      <w:r>
        <w:rPr>
          <w:rStyle w:val="Hyperlink.0"/>
        </w:rPr>
        <w:instrText xml:space="preserve"> HYPERLINK "http://doi.wiley.com/10.1111/j.1467-9957.1954.tb00021.x"</w:instrText>
      </w:r>
      <w:r>
        <w:rPr>
          <w:rStyle w:val="Hyperlink.0"/>
        </w:rPr>
        <w:fldChar w:fldCharType="separate" w:fldLock="0"/>
      </w:r>
      <w:r>
        <w:rPr>
          <w:rStyle w:val="Hyperlink.0"/>
          <w:rtl w:val="0"/>
          <w:lang w:val="en-US"/>
        </w:rPr>
        <w:t>http://doi.wiley.com/10.1111/j.1467-9957.1954.tb00021.x</w:t>
      </w:r>
      <w:r>
        <w:rPr/>
        <w:fldChar w:fldCharType="end" w:fldLock="0"/>
      </w:r>
    </w:p>
    <w:p>
      <w:pPr>
        <w:pStyle w:val="Bibliography"/>
        <w:jc w:val="both"/>
      </w:pPr>
      <w:r>
        <w:rPr>
          <w:rtl w:val="0"/>
          <w:lang w:val="en-US"/>
        </w:rPr>
        <w:t xml:space="preserve">Lewis, A. (1965). </w:t>
      </w:r>
      <w:r>
        <w:rPr>
          <w:rFonts w:ascii="Helvetica" w:hAnsi="Helvetica"/>
          <w:i w:val="1"/>
          <w:iCs w:val="1"/>
          <w:rtl w:val="0"/>
          <w:lang w:val="en-US"/>
        </w:rPr>
        <w:t>The theory of economic growth</w:t>
      </w:r>
      <w:r>
        <w:rPr>
          <w:rtl w:val="0"/>
          <w:lang w:val="en-US"/>
        </w:rPr>
        <w:t>. Harper; Row.</w:t>
      </w:r>
    </w:p>
    <w:p>
      <w:pPr>
        <w:pStyle w:val="Bibliography"/>
        <w:jc w:val="both"/>
      </w:pPr>
      <w:r>
        <w:rPr>
          <w:rtl w:val="0"/>
          <w:lang w:val="en-US"/>
        </w:rPr>
        <w:t xml:space="preserve">Lindert, P., &amp; Williamson, J. (1985). Growth, Equality, and History. </w:t>
      </w:r>
      <w:r>
        <w:rPr>
          <w:rFonts w:ascii="Helvetica" w:hAnsi="Helvetica"/>
          <w:i w:val="1"/>
          <w:iCs w:val="1"/>
          <w:rtl w:val="0"/>
          <w:lang w:val="en-US"/>
        </w:rPr>
        <w:t>Explorations in Economic History</w:t>
      </w:r>
      <w:r>
        <w:rPr>
          <w:rtl w:val="0"/>
          <w:lang w:val="en-US"/>
        </w:rPr>
        <w:t xml:space="preserve">, </w:t>
      </w:r>
      <w:r>
        <w:rPr>
          <w:rFonts w:ascii="Helvetica" w:hAnsi="Helvetica"/>
          <w:i w:val="1"/>
          <w:iCs w:val="1"/>
          <w:rtl w:val="0"/>
          <w:lang w:val="en-US"/>
        </w:rPr>
        <w:t>22</w:t>
      </w:r>
      <w:r>
        <w:rPr>
          <w:rtl w:val="0"/>
          <w:lang w:val="en-US"/>
        </w:rPr>
        <w:t>(4), 341</w:t>
      </w:r>
      <w:r>
        <w:rPr>
          <w:rtl w:val="0"/>
          <w:lang w:val="en-US"/>
        </w:rPr>
        <w:t>–</w:t>
      </w:r>
      <w:r>
        <w:rPr>
          <w:rtl w:val="0"/>
          <w:lang w:val="en-US"/>
        </w:rPr>
        <w:t>377.</w:t>
      </w:r>
    </w:p>
    <w:p>
      <w:pPr>
        <w:pStyle w:val="Bibliography"/>
        <w:jc w:val="both"/>
      </w:pPr>
      <w:r>
        <w:rPr>
          <w:rtl w:val="0"/>
          <w:lang w:val="en-US"/>
        </w:rPr>
        <w:t xml:space="preserve">Llavador, H., &amp; Oxoby, R. (2005). Partisan Competition, Growth, and the Franchise. </w:t>
      </w:r>
      <w:r>
        <w:rPr>
          <w:rFonts w:ascii="Helvetica" w:hAnsi="Helvetica"/>
          <w:i w:val="1"/>
          <w:iCs w:val="1"/>
          <w:rtl w:val="0"/>
          <w:lang w:val="en-US"/>
        </w:rPr>
        <w:t>The Quarterly Journal of Economics</w:t>
      </w:r>
      <w:r>
        <w:rPr>
          <w:rtl w:val="0"/>
          <w:lang w:val="en-US"/>
        </w:rPr>
        <w:t xml:space="preserve">, </w:t>
      </w:r>
      <w:r>
        <w:rPr>
          <w:rFonts w:ascii="Helvetica" w:hAnsi="Helvetica"/>
          <w:i w:val="1"/>
          <w:iCs w:val="1"/>
          <w:rtl w:val="0"/>
          <w:lang w:val="en-US"/>
        </w:rPr>
        <w:t>120</w:t>
      </w:r>
      <w:r>
        <w:rPr>
          <w:rtl w:val="0"/>
          <w:lang w:val="en-US"/>
        </w:rPr>
        <w:t>(3), 1155</w:t>
      </w:r>
      <w:r>
        <w:rPr>
          <w:rtl w:val="0"/>
          <w:lang w:val="en-US"/>
        </w:rPr>
        <w:t>–</w:t>
      </w:r>
      <w:r>
        <w:rPr>
          <w:rtl w:val="0"/>
          <w:lang w:val="en-US"/>
        </w:rPr>
        <w:t xml:space="preserve">1189. Retrieved from </w:t>
      </w:r>
      <w:r>
        <w:rPr>
          <w:rStyle w:val="Hyperlink.0"/>
          <w:rtl w:val="0"/>
          <w:lang w:val="en-US"/>
        </w:rPr>
        <w:t>http://www.jstor.org/stable/25098765{\%}0Ahttp://about.jstor.org/terms http://qje.oxfordjournals.org/cgi/doi/10.1093/qje/120.3.1155</w:t>
      </w:r>
    </w:p>
    <w:p>
      <w:pPr>
        <w:pStyle w:val="Bibliography"/>
        <w:jc w:val="both"/>
      </w:pPr>
      <w:r>
        <w:rPr>
          <w:rtl w:val="0"/>
          <w:lang w:val="en-US"/>
        </w:rPr>
        <w:t>L</w:t>
      </w:r>
      <w:r>
        <w:rPr>
          <w:rtl w:val="0"/>
          <w:lang w:val="en-US"/>
        </w:rPr>
        <w:t>ó</w:t>
      </w:r>
      <w:r>
        <w:rPr>
          <w:rtl w:val="0"/>
          <w:lang w:val="en-US"/>
        </w:rPr>
        <w:t xml:space="preserve">pez-Alves, F. (2000). </w:t>
      </w:r>
      <w:r>
        <w:rPr>
          <w:rFonts w:ascii="Helvetica" w:hAnsi="Helvetica"/>
          <w:i w:val="1"/>
          <w:iCs w:val="1"/>
          <w:rtl w:val="0"/>
          <w:lang w:val="en-US"/>
        </w:rPr>
        <w:t>State formation and democracy in latin america, 1810-1900</w:t>
      </w:r>
      <w:r>
        <w:rPr>
          <w:rtl w:val="0"/>
          <w:lang w:val="en-US"/>
        </w:rPr>
        <w:t>. Duke University Press Books.</w:t>
      </w:r>
    </w:p>
    <w:p>
      <w:pPr>
        <w:pStyle w:val="Bibliography"/>
        <w:jc w:val="both"/>
      </w:pPr>
      <w:r>
        <w:rPr>
          <w:rtl w:val="0"/>
          <w:lang w:val="en-US"/>
        </w:rPr>
        <w:t xml:space="preserve">Lutkepohl, H. (2006). </w:t>
      </w:r>
      <w:r>
        <w:rPr>
          <w:rFonts w:ascii="Helvetica" w:hAnsi="Helvetica"/>
          <w:i w:val="1"/>
          <w:iCs w:val="1"/>
          <w:rtl w:val="0"/>
          <w:lang w:val="en-US"/>
        </w:rPr>
        <w:t>New Introduction to Multiple Time Series Analysis</w:t>
      </w:r>
      <w:r>
        <w:rPr>
          <w:rtl w:val="0"/>
          <w:lang w:val="en-US"/>
        </w:rPr>
        <w:t>. Springer.</w:t>
      </w:r>
    </w:p>
    <w:p>
      <w:pPr>
        <w:pStyle w:val="Bibliography"/>
        <w:jc w:val="both"/>
      </w:pPr>
      <w:r>
        <w:rPr>
          <w:rtl w:val="0"/>
          <w:lang w:val="en-US"/>
        </w:rPr>
        <w:t>L</w:t>
      </w:r>
      <w:r>
        <w:rPr>
          <w:rtl w:val="0"/>
          <w:lang w:val="en-US"/>
        </w:rPr>
        <w:t>ü</w:t>
      </w:r>
      <w:r>
        <w:rPr>
          <w:rtl w:val="0"/>
          <w:lang w:val="en-US"/>
        </w:rPr>
        <w:t xml:space="preserve">tkepohl, H. (2005). </w:t>
      </w:r>
      <w:r>
        <w:rPr>
          <w:rFonts w:ascii="Helvetica" w:hAnsi="Helvetica"/>
          <w:i w:val="1"/>
          <w:iCs w:val="1"/>
          <w:rtl w:val="0"/>
          <w:lang w:val="en-US"/>
        </w:rPr>
        <w:t>New Introduction to Multiple Time Series Analysis</w:t>
      </w:r>
      <w:r>
        <w:rPr>
          <w:rtl w:val="0"/>
          <w:lang w:val="en-US"/>
        </w:rPr>
        <w:t>. Berlin: Springer.</w:t>
      </w:r>
    </w:p>
    <w:p>
      <w:pPr>
        <w:pStyle w:val="Bibliography"/>
        <w:jc w:val="both"/>
      </w:pPr>
      <w:r>
        <w:rPr>
          <w:rtl w:val="0"/>
          <w:lang w:val="en-US"/>
        </w:rPr>
        <w:t>L</w:t>
      </w:r>
      <w:r>
        <w:rPr>
          <w:rtl w:val="0"/>
          <w:lang w:val="en-US"/>
        </w:rPr>
        <w:t>ü</w:t>
      </w:r>
      <w:r>
        <w:rPr>
          <w:rtl w:val="0"/>
          <w:lang w:val="en-US"/>
        </w:rPr>
        <w:t>tkepohl, H., &amp; Kr</w:t>
      </w:r>
      <w:r>
        <w:rPr>
          <w:rtl w:val="0"/>
          <w:lang w:val="en-US"/>
        </w:rPr>
        <w:t>ä</w:t>
      </w:r>
      <w:r>
        <w:rPr>
          <w:rtl w:val="0"/>
          <w:lang w:val="en-US"/>
        </w:rPr>
        <w:t xml:space="preserve">tzig, M. (2004). </w:t>
      </w:r>
      <w:r>
        <w:rPr>
          <w:rFonts w:ascii="Helvetica" w:hAnsi="Helvetica"/>
          <w:i w:val="1"/>
          <w:iCs w:val="1"/>
          <w:rtl w:val="0"/>
          <w:lang w:val="en-US"/>
        </w:rPr>
        <w:t>Applied Time Series Econometrics</w:t>
      </w:r>
      <w:r>
        <w:rPr>
          <w:rtl w:val="0"/>
          <w:lang w:val="en-US"/>
        </w:rPr>
        <w:t>. (H. L</w:t>
      </w:r>
      <w:r>
        <w:rPr>
          <w:rtl w:val="0"/>
          <w:lang w:val="en-US"/>
        </w:rPr>
        <w:t>ü</w:t>
      </w:r>
      <w:r>
        <w:rPr>
          <w:rtl w:val="0"/>
          <w:lang w:val="en-US"/>
        </w:rPr>
        <w:t>tkepohl &amp; M. Kr</w:t>
      </w:r>
      <w:r>
        <w:rPr>
          <w:rtl w:val="0"/>
          <w:lang w:val="en-US"/>
        </w:rPr>
        <w:t>ä</w:t>
      </w:r>
      <w:r>
        <w:rPr>
          <w:rtl w:val="0"/>
          <w:lang w:val="en-US"/>
        </w:rPr>
        <w:t xml:space="preserve">tzig, Eds.) (p. 350). Cambridge University Press. Retrieved from </w:t>
      </w:r>
      <w:r>
        <w:rPr>
          <w:rStyle w:val="Hyperlink.0"/>
          <w:rtl w:val="0"/>
          <w:lang w:val="en-US"/>
        </w:rPr>
        <w:t>http://books.google.com/books?hl=en{\&amp;}lr={\&amp;}id=xe7NDY8leWwC{\&amp;}oi=fnd{\&amp;}pg=PP1{\&amp;}dq=Applied+Time+series+Econometrics{\&amp;}ots={\_}88dV4qX5p{\&amp;}sig=N2ZBeAsVOi25ThJjVf7b2QSRXCA</w:t>
      </w:r>
    </w:p>
    <w:p>
      <w:pPr>
        <w:pStyle w:val="Bibliography"/>
        <w:jc w:val="both"/>
      </w:pPr>
      <w:r>
        <w:rPr>
          <w:rtl w:val="0"/>
          <w:lang w:val="en-US"/>
        </w:rPr>
        <w:t xml:space="preserve">Mahoney, J. (2010). </w:t>
      </w:r>
      <w:r>
        <w:rPr>
          <w:rFonts w:ascii="Helvetica" w:hAnsi="Helvetica"/>
          <w:i w:val="1"/>
          <w:iCs w:val="1"/>
          <w:rtl w:val="0"/>
          <w:lang w:val="en-US"/>
        </w:rPr>
        <w:t>Colonialism and postcolonial development: Spanish america in comparative perspective</w:t>
      </w:r>
      <w:r>
        <w:rPr>
          <w:rtl w:val="0"/>
          <w:lang w:val="en-US"/>
        </w:rPr>
        <w:t>. Cambridge University Press.</w:t>
      </w:r>
    </w:p>
    <w:p>
      <w:pPr>
        <w:pStyle w:val="Bibliography"/>
        <w:jc w:val="both"/>
      </w:pPr>
      <w:r>
        <w:rPr>
          <w:rtl w:val="0"/>
          <w:lang w:val="en-US"/>
        </w:rPr>
        <w:t xml:space="preserve">Mamalakis, M. (1976). </w:t>
      </w:r>
      <w:r>
        <w:rPr>
          <w:rFonts w:ascii="Helvetica" w:hAnsi="Helvetica"/>
          <w:i w:val="1"/>
          <w:iCs w:val="1"/>
          <w:rtl w:val="0"/>
          <w:lang w:val="en-US"/>
        </w:rPr>
        <w:t>Growth and structure of the chilean economy: From independence to allende</w:t>
      </w:r>
      <w:r>
        <w:rPr>
          <w:rtl w:val="0"/>
          <w:lang w:val="en-US"/>
        </w:rPr>
        <w:t>. Yale University Press.</w:t>
      </w:r>
    </w:p>
    <w:p>
      <w:pPr>
        <w:pStyle w:val="Bibliography"/>
        <w:jc w:val="both"/>
      </w:pPr>
      <w:r>
        <w:rPr>
          <w:rtl w:val="0"/>
          <w:lang w:val="en-US"/>
        </w:rPr>
        <w:t xml:space="preserve">Mares, I., &amp; Queralt, D. (2015). The Non-Democratic Origins of Income Taxation. </w:t>
      </w:r>
      <w:r>
        <w:rPr>
          <w:rFonts w:ascii="Helvetica" w:hAnsi="Helvetica"/>
          <w:i w:val="1"/>
          <w:iCs w:val="1"/>
          <w:rtl w:val="0"/>
          <w:lang w:val="en-US"/>
        </w:rPr>
        <w:t>Comparative Political Studies</w:t>
      </w:r>
      <w:r>
        <w:rPr>
          <w:rtl w:val="0"/>
          <w:lang w:val="en-US"/>
        </w:rPr>
        <w:t xml:space="preserve">, </w:t>
      </w:r>
      <w:r>
        <w:rPr>
          <w:rFonts w:ascii="Helvetica" w:hAnsi="Helvetica"/>
          <w:i w:val="1"/>
          <w:iCs w:val="1"/>
          <w:rtl w:val="0"/>
          <w:lang w:val="en-US"/>
        </w:rPr>
        <w:t>48</w:t>
      </w:r>
      <w:r>
        <w:rPr>
          <w:rtl w:val="0"/>
          <w:lang w:val="en-US"/>
        </w:rPr>
        <w:t>(14), 1974</w:t>
      </w:r>
      <w:r>
        <w:rPr>
          <w:rtl w:val="0"/>
          <w:lang w:val="en-US"/>
        </w:rPr>
        <w:t>–</w:t>
      </w:r>
      <w:r>
        <w:rPr>
          <w:rtl w:val="0"/>
          <w:lang w:val="en-US"/>
        </w:rPr>
        <w:t xml:space="preserve">2009. Retrieved from </w:t>
      </w:r>
      <w:r>
        <w:rPr>
          <w:rStyle w:val="Hyperlink.0"/>
        </w:rPr>
        <w:fldChar w:fldCharType="begin" w:fldLock="0"/>
      </w:r>
      <w:r>
        <w:rPr>
          <w:rStyle w:val="Hyperlink.0"/>
        </w:rPr>
        <w:instrText xml:space="preserve"> HYPERLINK "http://cps.sagepub.com/cgi/doi/10.1177/0010414015592646"</w:instrText>
      </w:r>
      <w:r>
        <w:rPr>
          <w:rStyle w:val="Hyperlink.0"/>
        </w:rPr>
        <w:fldChar w:fldCharType="separate" w:fldLock="0"/>
      </w:r>
      <w:r>
        <w:rPr>
          <w:rStyle w:val="Hyperlink.0"/>
          <w:rtl w:val="0"/>
          <w:lang w:val="en-US"/>
        </w:rPr>
        <w:t>http://cps.sagepub.com/cgi/doi/10.1177/0010414015592646</w:t>
      </w:r>
      <w:r>
        <w:rPr/>
        <w:fldChar w:fldCharType="end" w:fldLock="0"/>
      </w:r>
    </w:p>
    <w:p>
      <w:pPr>
        <w:pStyle w:val="Bibliography"/>
        <w:jc w:val="both"/>
      </w:pPr>
      <w:r>
        <w:rPr>
          <w:rtl w:val="0"/>
          <w:lang w:val="en-US"/>
        </w:rPr>
        <w:t xml:space="preserve">Mathur, A. (1990). The Interface of Agricultural and Industrial Growth in the Development Process: Some Facets of the Indian Experience. </w:t>
      </w:r>
      <w:r>
        <w:rPr>
          <w:rFonts w:ascii="Helvetica" w:hAnsi="Helvetica"/>
          <w:i w:val="1"/>
          <w:iCs w:val="1"/>
          <w:rtl w:val="0"/>
          <w:lang w:val="en-US"/>
        </w:rPr>
        <w:t>Development and Change</w:t>
      </w:r>
      <w:r>
        <w:rPr>
          <w:rtl w:val="0"/>
          <w:lang w:val="en-US"/>
        </w:rPr>
        <w:t xml:space="preserve">, </w:t>
      </w:r>
      <w:r>
        <w:rPr>
          <w:rFonts w:ascii="Helvetica" w:hAnsi="Helvetica"/>
          <w:i w:val="1"/>
          <w:iCs w:val="1"/>
          <w:rtl w:val="0"/>
          <w:lang w:val="en-US"/>
        </w:rPr>
        <w:t>21</w:t>
      </w:r>
      <w:r>
        <w:rPr>
          <w:rtl w:val="0"/>
          <w:lang w:val="en-US"/>
        </w:rPr>
        <w:t>(2), 247</w:t>
      </w:r>
      <w:r>
        <w:rPr>
          <w:rtl w:val="0"/>
          <w:lang w:val="en-US"/>
        </w:rPr>
        <w:t>–</w:t>
      </w:r>
      <w:r>
        <w:rPr>
          <w:rtl w:val="0"/>
          <w:lang w:val="en-US"/>
        </w:rPr>
        <w:t xml:space="preserve">280. Retrieved from </w:t>
      </w:r>
      <w:r>
        <w:rPr>
          <w:rStyle w:val="Hyperlink.0"/>
          <w:rtl w:val="0"/>
          <w:lang w:val="en-US"/>
        </w:rPr>
        <w:t>http://search.proquest.com.ezproxy.library.ubc.ca/docview/1500798747?accountid=14656 http://gw2jh3xr2c.search.serialssolutions.com/?ctx{\_}ver=Z39.88-2004{\&amp;}ctx{\_}enc=info:ofi/enc:UTF-8{\&amp;}rfr{\_}id=info:sid/ProQ:envabstractsmodule{\&amp;}rft{\_}val{\_}fmt=info:ofi/fmt:kev:mtx:jou</w:t>
      </w:r>
    </w:p>
    <w:p>
      <w:pPr>
        <w:pStyle w:val="Bibliography"/>
        <w:jc w:val="both"/>
      </w:pPr>
      <w:r>
        <w:rPr>
          <w:rtl w:val="0"/>
          <w:lang w:val="en-US"/>
        </w:rPr>
        <w:t xml:space="preserve">Matsuyama, K. (1991). Increasing Returns, Industrialization, and Indeterminacy of Equilibrium. </w:t>
      </w:r>
      <w:r>
        <w:rPr>
          <w:rFonts w:ascii="Helvetica" w:hAnsi="Helvetica"/>
          <w:i w:val="1"/>
          <w:iCs w:val="1"/>
          <w:rtl w:val="0"/>
          <w:lang w:val="en-US"/>
        </w:rPr>
        <w:t>The Quarterly Journal of Economics</w:t>
      </w:r>
      <w:r>
        <w:rPr>
          <w:rtl w:val="0"/>
          <w:lang w:val="en-US"/>
        </w:rPr>
        <w:t xml:space="preserve">, </w:t>
      </w:r>
      <w:r>
        <w:rPr>
          <w:rFonts w:ascii="Helvetica" w:hAnsi="Helvetica"/>
          <w:i w:val="1"/>
          <w:iCs w:val="1"/>
          <w:rtl w:val="0"/>
          <w:lang w:val="en-US"/>
        </w:rPr>
        <w:t>106</w:t>
      </w:r>
      <w:r>
        <w:rPr>
          <w:rtl w:val="0"/>
          <w:lang w:val="en-US"/>
        </w:rPr>
        <w:t>(2), 617</w:t>
      </w:r>
      <w:r>
        <w:rPr>
          <w:rtl w:val="0"/>
          <w:lang w:val="en-US"/>
        </w:rPr>
        <w:t>–</w:t>
      </w:r>
      <w:r>
        <w:rPr>
          <w:rtl w:val="0"/>
          <w:lang w:val="en-US"/>
        </w:rPr>
        <w:t xml:space="preserve">650. Retrieved from </w:t>
      </w:r>
      <w:r>
        <w:rPr>
          <w:rStyle w:val="Hyperlink.0"/>
        </w:rPr>
        <w:fldChar w:fldCharType="begin" w:fldLock="0"/>
      </w:r>
      <w:r>
        <w:rPr>
          <w:rStyle w:val="Hyperlink.0"/>
        </w:rPr>
        <w:instrText xml:space="preserve"> HYPERLINK "http://www.jstor.org/stable/2937949"</w:instrText>
      </w:r>
      <w:r>
        <w:rPr>
          <w:rStyle w:val="Hyperlink.0"/>
        </w:rPr>
        <w:fldChar w:fldCharType="separate" w:fldLock="0"/>
      </w:r>
      <w:r>
        <w:rPr>
          <w:rStyle w:val="Hyperlink.0"/>
          <w:rtl w:val="0"/>
          <w:lang w:val="en-US"/>
        </w:rPr>
        <w:t>http://www.jstor.org/stable/2937949</w:t>
      </w:r>
      <w:r>
        <w:rPr/>
        <w:fldChar w:fldCharType="end" w:fldLock="0"/>
      </w:r>
    </w:p>
    <w:p>
      <w:pPr>
        <w:pStyle w:val="Bibliography"/>
        <w:jc w:val="both"/>
      </w:pPr>
      <w:r>
        <w:rPr>
          <w:rtl w:val="0"/>
          <w:lang w:val="en-US"/>
        </w:rPr>
        <w:t xml:space="preserve">McBride, G. M. (1936). </w:t>
      </w:r>
      <w:r>
        <w:rPr>
          <w:rFonts w:ascii="Helvetica" w:hAnsi="Helvetica"/>
          <w:i w:val="1"/>
          <w:iCs w:val="1"/>
          <w:rtl w:val="0"/>
          <w:lang w:val="en-US"/>
        </w:rPr>
        <w:t>Chile: Land and society</w:t>
      </w:r>
      <w:r>
        <w:rPr>
          <w:rtl w:val="0"/>
          <w:lang w:val="en-US"/>
        </w:rPr>
        <w:t>. Octagon Books.</w:t>
      </w:r>
    </w:p>
    <w:p>
      <w:pPr>
        <w:pStyle w:val="Bibliography"/>
        <w:jc w:val="both"/>
      </w:pPr>
      <w:r>
        <w:rPr>
          <w:rtl w:val="0"/>
          <w:lang w:val="en-US"/>
        </w:rPr>
        <w:t xml:space="preserve">McGreevey, W. (1971). </w:t>
      </w:r>
      <w:r>
        <w:rPr>
          <w:rFonts w:ascii="Helvetica" w:hAnsi="Helvetica"/>
          <w:i w:val="1"/>
          <w:iCs w:val="1"/>
          <w:rtl w:val="0"/>
          <w:lang w:val="en-US"/>
        </w:rPr>
        <w:t>An economic history of colombia 1845-1930</w:t>
      </w:r>
      <w:r>
        <w:rPr>
          <w:rtl w:val="0"/>
          <w:lang w:val="en-US"/>
        </w:rPr>
        <w:t>. (D. Joslin, T. King, C. Smith, &amp; J. Street, Eds.)Cambridge latin american studies (Vol. 9). Cambridge University Press.</w:t>
      </w:r>
    </w:p>
    <w:p>
      <w:pPr>
        <w:pStyle w:val="Bibliography"/>
        <w:jc w:val="both"/>
      </w:pPr>
      <w:r>
        <w:rPr>
          <w:rtl w:val="0"/>
          <w:lang w:val="en-US"/>
        </w:rPr>
        <w:t xml:space="preserve">Mokyr, J. (2016). </w:t>
      </w:r>
      <w:r>
        <w:rPr>
          <w:rFonts w:ascii="Helvetica" w:hAnsi="Helvetica"/>
          <w:i w:val="1"/>
          <w:iCs w:val="1"/>
          <w:rtl w:val="0"/>
          <w:lang w:val="en-US"/>
        </w:rPr>
        <w:t>A culture of growth: The origins of the modern economy</w:t>
      </w:r>
      <w:r>
        <w:rPr>
          <w:rtl w:val="0"/>
          <w:lang w:val="en-US"/>
        </w:rPr>
        <w:t>. Princeton University Press.</w:t>
      </w:r>
    </w:p>
    <w:p>
      <w:pPr>
        <w:pStyle w:val="Bibliography"/>
        <w:jc w:val="both"/>
      </w:pPr>
      <w:r>
        <w:rPr>
          <w:rtl w:val="0"/>
          <w:lang w:val="en-US"/>
        </w:rPr>
        <w:t xml:space="preserve">Moore, B. (1966). </w:t>
      </w:r>
      <w:r>
        <w:rPr>
          <w:rFonts w:ascii="Helvetica" w:hAnsi="Helvetica"/>
          <w:i w:val="1"/>
          <w:iCs w:val="1"/>
          <w:rtl w:val="0"/>
          <w:lang w:val="en-US"/>
        </w:rPr>
        <w:t>Social Origins of Dictatorship and Democracy: Lord and Peasant in the Making of the Modern World</w:t>
      </w:r>
      <w:r>
        <w:rPr>
          <w:rtl w:val="0"/>
          <w:lang w:val="en-US"/>
        </w:rPr>
        <w:t>. Beacon Press.</w:t>
      </w:r>
    </w:p>
    <w:p>
      <w:pPr>
        <w:pStyle w:val="Bibliography"/>
        <w:jc w:val="both"/>
      </w:pPr>
      <w:r>
        <w:rPr>
          <w:rtl w:val="0"/>
          <w:lang w:val="en-US"/>
        </w:rPr>
        <w:t xml:space="preserve">Nerlove, M. (1994). The Role of Agriculture in General Economic Development: A Reinterpretation of Jorgenson and Lewis. In </w:t>
      </w:r>
      <w:r>
        <w:rPr>
          <w:rFonts w:ascii="Helvetica" w:hAnsi="Helvetica"/>
          <w:i w:val="1"/>
          <w:iCs w:val="1"/>
          <w:rtl w:val="0"/>
          <w:lang w:val="en-US"/>
        </w:rPr>
        <w:t>Agricultural development, population growth and the environment: Lecture notes for aREC 445</w:t>
      </w:r>
      <w:r>
        <w:rPr>
          <w:rtl w:val="0"/>
          <w:lang w:val="en-US"/>
        </w:rPr>
        <w:t>.</w:t>
      </w:r>
    </w:p>
    <w:p>
      <w:pPr>
        <w:pStyle w:val="Bibliography"/>
        <w:jc w:val="both"/>
      </w:pPr>
      <w:r>
        <w:rPr>
          <w:rtl w:val="0"/>
          <w:lang w:val="en-US"/>
        </w:rPr>
        <w:t xml:space="preserve">Nicholls, W. (1961). Industrialization, Factor Markets, and Agricultural Development. </w:t>
      </w:r>
      <w:r>
        <w:rPr>
          <w:rFonts w:ascii="Helvetica" w:hAnsi="Helvetica"/>
          <w:i w:val="1"/>
          <w:iCs w:val="1"/>
          <w:rtl w:val="0"/>
          <w:lang w:val="en-US"/>
        </w:rPr>
        <w:t>Journal of Political Economy</w:t>
      </w:r>
      <w:r>
        <w:rPr>
          <w:rtl w:val="0"/>
          <w:lang w:val="en-US"/>
        </w:rPr>
        <w:t xml:space="preserve">, </w:t>
      </w:r>
      <w:r>
        <w:rPr>
          <w:rFonts w:ascii="Helvetica" w:hAnsi="Helvetica"/>
          <w:i w:val="1"/>
          <w:iCs w:val="1"/>
          <w:rtl w:val="0"/>
          <w:lang w:val="en-US"/>
        </w:rPr>
        <w:t>69</w:t>
      </w:r>
      <w:r>
        <w:rPr>
          <w:rtl w:val="0"/>
          <w:lang w:val="en-US"/>
        </w:rPr>
        <w:t>(4), 319</w:t>
      </w:r>
      <w:r>
        <w:rPr>
          <w:rtl w:val="0"/>
          <w:lang w:val="en-US"/>
        </w:rPr>
        <w:t>–</w:t>
      </w:r>
      <w:r>
        <w:rPr>
          <w:rtl w:val="0"/>
          <w:lang w:val="en-US"/>
        </w:rPr>
        <w:t xml:space="preserve">340. Retrieved from </w:t>
      </w:r>
      <w:r>
        <w:rPr>
          <w:rStyle w:val="Hyperlink.0"/>
        </w:rPr>
        <w:fldChar w:fldCharType="begin" w:fldLock="0"/>
      </w:r>
      <w:r>
        <w:rPr>
          <w:rStyle w:val="Hyperlink.0"/>
        </w:rPr>
        <w:instrText xml:space="preserve"> HYPERLINK "http://www.jstor.org/stable/1828643"</w:instrText>
      </w:r>
      <w:r>
        <w:rPr>
          <w:rStyle w:val="Hyperlink.0"/>
        </w:rPr>
        <w:fldChar w:fldCharType="separate" w:fldLock="0"/>
      </w:r>
      <w:r>
        <w:rPr>
          <w:rStyle w:val="Hyperlink.0"/>
          <w:rtl w:val="0"/>
          <w:lang w:val="en-US"/>
        </w:rPr>
        <w:t>http://www.jstor.org/stable/1828643</w:t>
      </w:r>
      <w:r>
        <w:rPr/>
        <w:fldChar w:fldCharType="end" w:fldLock="0"/>
      </w:r>
    </w:p>
    <w:p>
      <w:pPr>
        <w:pStyle w:val="Bibliography"/>
        <w:jc w:val="both"/>
      </w:pPr>
      <w:r>
        <w:rPr>
          <w:rtl w:val="0"/>
          <w:lang w:val="en-US"/>
        </w:rPr>
        <w:t xml:space="preserve">Nicholls, W. (1963). An </w:t>
      </w:r>
      <w:r>
        <w:rPr>
          <w:rtl w:val="0"/>
          <w:lang w:val="en-US"/>
        </w:rPr>
        <w:t>“</w:t>
      </w:r>
      <w:r>
        <w:rPr>
          <w:rtl w:val="0"/>
          <w:lang w:val="en-US"/>
        </w:rPr>
        <w:t>Agricultural Surplus</w:t>
      </w:r>
      <w:r>
        <w:rPr>
          <w:rtl w:val="0"/>
          <w:lang w:val="en-US"/>
        </w:rPr>
        <w:t xml:space="preserve">” </w:t>
      </w:r>
      <w:r>
        <w:rPr>
          <w:rtl w:val="0"/>
          <w:lang w:val="en-US"/>
        </w:rPr>
        <w:t xml:space="preserve">as a Factor in Economic Development. </w:t>
      </w:r>
      <w:r>
        <w:rPr>
          <w:rFonts w:ascii="Helvetica" w:hAnsi="Helvetica"/>
          <w:i w:val="1"/>
          <w:iCs w:val="1"/>
          <w:rtl w:val="0"/>
          <w:lang w:val="en-US"/>
        </w:rPr>
        <w:t>Journal of Political Economy</w:t>
      </w:r>
      <w:r>
        <w:rPr>
          <w:rtl w:val="0"/>
          <w:lang w:val="en-US"/>
        </w:rPr>
        <w:t xml:space="preserve">, </w:t>
      </w:r>
      <w:r>
        <w:rPr>
          <w:rFonts w:ascii="Helvetica" w:hAnsi="Helvetica"/>
          <w:i w:val="1"/>
          <w:iCs w:val="1"/>
          <w:rtl w:val="0"/>
          <w:lang w:val="en-US"/>
        </w:rPr>
        <w:t>71</w:t>
      </w:r>
      <w:r>
        <w:rPr>
          <w:rtl w:val="0"/>
          <w:lang w:val="en-US"/>
        </w:rPr>
        <w:t>(1), 1</w:t>
      </w:r>
      <w:r>
        <w:rPr>
          <w:rtl w:val="0"/>
          <w:lang w:val="en-US"/>
        </w:rPr>
        <w:t>–</w:t>
      </w:r>
      <w:r>
        <w:rPr>
          <w:rtl w:val="0"/>
          <w:lang w:val="en-US"/>
        </w:rPr>
        <w:t>29.</w:t>
      </w:r>
    </w:p>
    <w:p>
      <w:pPr>
        <w:pStyle w:val="Bibliography"/>
        <w:jc w:val="both"/>
      </w:pPr>
      <w:r>
        <w:rPr>
          <w:rtl w:val="0"/>
          <w:lang w:val="en-US"/>
        </w:rPr>
        <w:t xml:space="preserve">North, D. (1990). </w:t>
      </w:r>
      <w:r>
        <w:rPr>
          <w:rFonts w:ascii="Helvetica" w:hAnsi="Helvetica"/>
          <w:i w:val="1"/>
          <w:iCs w:val="1"/>
          <w:rtl w:val="0"/>
          <w:lang w:val="en-US"/>
        </w:rPr>
        <w:t>Institutions, Institutional Change and Economic Performance</w:t>
      </w:r>
      <w:r>
        <w:rPr>
          <w:rtl w:val="0"/>
          <w:lang w:val="en-US"/>
        </w:rPr>
        <w:t>. Cambridge Univiversity Press.</w:t>
      </w:r>
    </w:p>
    <w:p>
      <w:pPr>
        <w:pStyle w:val="Bibliography"/>
        <w:jc w:val="both"/>
      </w:pPr>
      <w:r>
        <w:rPr>
          <w:rtl w:val="0"/>
          <w:lang w:val="en-US"/>
        </w:rPr>
        <w:t xml:space="preserve">North, D., &amp; Weingast, B. (1989). Constitutions and Commitment: The Evolution of Institutions Governing Public Choice in Seventeenth-Century. </w:t>
      </w:r>
      <w:r>
        <w:rPr>
          <w:rFonts w:ascii="Helvetica" w:hAnsi="Helvetica"/>
          <w:i w:val="1"/>
          <w:iCs w:val="1"/>
          <w:rtl w:val="0"/>
          <w:lang w:val="en-US"/>
        </w:rPr>
        <w:t>The Journal of Economic History</w:t>
      </w:r>
      <w:r>
        <w:rPr>
          <w:rtl w:val="0"/>
          <w:lang w:val="en-US"/>
        </w:rPr>
        <w:t xml:space="preserve">, </w:t>
      </w:r>
      <w:r>
        <w:rPr>
          <w:rFonts w:ascii="Helvetica" w:hAnsi="Helvetica"/>
          <w:i w:val="1"/>
          <w:iCs w:val="1"/>
          <w:rtl w:val="0"/>
          <w:lang w:val="en-US"/>
        </w:rPr>
        <w:t>49</w:t>
      </w:r>
      <w:r>
        <w:rPr>
          <w:rtl w:val="0"/>
          <w:lang w:val="en-US"/>
        </w:rPr>
        <w:t>(4), 803</w:t>
      </w:r>
      <w:r>
        <w:rPr>
          <w:rtl w:val="0"/>
          <w:lang w:val="en-US"/>
        </w:rPr>
        <w:t>–</w:t>
      </w:r>
      <w:r>
        <w:rPr>
          <w:rtl w:val="0"/>
          <w:lang w:val="en-US"/>
        </w:rPr>
        <w:t>832.</w:t>
      </w:r>
    </w:p>
    <w:p>
      <w:pPr>
        <w:pStyle w:val="Bibliography"/>
        <w:jc w:val="both"/>
      </w:pPr>
      <w:r>
        <w:rPr>
          <w:rtl w:val="0"/>
          <w:lang w:val="en-US"/>
        </w:rPr>
        <w:t xml:space="preserve">Nurkse, R. (1953). </w:t>
      </w:r>
      <w:r>
        <w:rPr>
          <w:rFonts w:ascii="Helvetica" w:hAnsi="Helvetica"/>
          <w:i w:val="1"/>
          <w:iCs w:val="1"/>
          <w:rtl w:val="0"/>
          <w:lang w:val="en-US"/>
        </w:rPr>
        <w:t>Problems of capital formation in underdeveloped countries</w:t>
      </w:r>
      <w:r>
        <w:rPr>
          <w:rtl w:val="0"/>
          <w:lang w:val="en-US"/>
        </w:rPr>
        <w:t xml:space="preserve"> (2nd.). Basil Blackwell.</w:t>
      </w:r>
    </w:p>
    <w:p>
      <w:pPr>
        <w:pStyle w:val="Bibliography"/>
        <w:jc w:val="both"/>
      </w:pPr>
      <w:r>
        <w:rPr>
          <w:rtl w:val="0"/>
          <w:lang w:val="en-US"/>
        </w:rPr>
        <w:t xml:space="preserve">Nurske, R. (1961). </w:t>
      </w:r>
      <w:r>
        <w:rPr>
          <w:rFonts w:ascii="Helvetica" w:hAnsi="Helvetica"/>
          <w:i w:val="1"/>
          <w:iCs w:val="1"/>
          <w:rtl w:val="0"/>
          <w:lang w:val="en-US"/>
        </w:rPr>
        <w:t>Equilibrium and growth in the world economy: Economic essays</w:t>
      </w:r>
      <w:r>
        <w:rPr>
          <w:rtl w:val="0"/>
          <w:lang w:val="en-US"/>
        </w:rPr>
        <w:t>. Harvard University Press.</w:t>
      </w:r>
    </w:p>
    <w:p>
      <w:pPr>
        <w:pStyle w:val="Bibliography"/>
        <w:jc w:val="both"/>
      </w:pPr>
      <w:r>
        <w:rPr>
          <w:rtl w:val="0"/>
          <w:lang w:val="en-US"/>
        </w:rPr>
        <w:t xml:space="preserve">Ohkawa, K. (1961). Balanced Growth and the Problem of Agriculture - With Special Reference to Asian Peasant Economy. </w:t>
      </w:r>
      <w:r>
        <w:rPr>
          <w:rFonts w:ascii="Helvetica" w:hAnsi="Helvetica"/>
          <w:i w:val="1"/>
          <w:iCs w:val="1"/>
          <w:rtl w:val="0"/>
          <w:lang w:val="en-US"/>
        </w:rPr>
        <w:t>Hitotsubashi Journal of Economics</w:t>
      </w:r>
      <w:r>
        <w:rPr>
          <w:rtl w:val="0"/>
          <w:lang w:val="en-US"/>
        </w:rPr>
        <w:t xml:space="preserve">, </w:t>
      </w:r>
      <w:r>
        <w:rPr>
          <w:rFonts w:ascii="Helvetica" w:hAnsi="Helvetica"/>
          <w:i w:val="1"/>
          <w:iCs w:val="1"/>
          <w:rtl w:val="0"/>
          <w:lang w:val="en-US"/>
        </w:rPr>
        <w:t>2</w:t>
      </w:r>
      <w:r>
        <w:rPr>
          <w:rtl w:val="0"/>
          <w:lang w:val="en-US"/>
        </w:rPr>
        <w:t>(1), 13</w:t>
      </w:r>
      <w:r>
        <w:rPr>
          <w:rtl w:val="0"/>
          <w:lang w:val="en-US"/>
        </w:rPr>
        <w:t>–</w:t>
      </w:r>
      <w:r>
        <w:rPr>
          <w:rtl w:val="0"/>
          <w:lang w:val="en-US"/>
        </w:rPr>
        <w:t xml:space="preserve">25. Retrieved from </w:t>
      </w:r>
      <w:r>
        <w:rPr>
          <w:rStyle w:val="Hyperlink.0"/>
        </w:rPr>
        <w:fldChar w:fldCharType="begin" w:fldLock="0"/>
      </w:r>
      <w:r>
        <w:rPr>
          <w:rStyle w:val="Hyperlink.0"/>
        </w:rPr>
        <w:instrText xml:space="preserve"> HYPERLINK "http://doi.org/10.15057/8120"</w:instrText>
      </w:r>
      <w:r>
        <w:rPr>
          <w:rStyle w:val="Hyperlink.0"/>
        </w:rPr>
        <w:fldChar w:fldCharType="separate" w:fldLock="0"/>
      </w:r>
      <w:r>
        <w:rPr>
          <w:rStyle w:val="Hyperlink.0"/>
          <w:rtl w:val="0"/>
          <w:lang w:val="en-US"/>
        </w:rPr>
        <w:t>http://doi.org/10.15057/8120</w:t>
      </w:r>
      <w:r>
        <w:rPr/>
        <w:fldChar w:fldCharType="end" w:fldLock="0"/>
      </w:r>
    </w:p>
    <w:p>
      <w:pPr>
        <w:pStyle w:val="Bibliography"/>
        <w:jc w:val="both"/>
      </w:pPr>
      <w:r>
        <w:rPr>
          <w:rtl w:val="0"/>
          <w:lang w:val="en-US"/>
        </w:rPr>
        <w:t xml:space="preserve">Ostrom, C., &amp; Smith, R. (1992). Error Correction, Attitude Persistence, and Executive Rewards and Punishments: A Behavioral Theory of Presidential Approval. </w:t>
      </w:r>
      <w:r>
        <w:rPr>
          <w:rFonts w:ascii="Helvetica" w:hAnsi="Helvetica"/>
          <w:i w:val="1"/>
          <w:iCs w:val="1"/>
          <w:rtl w:val="0"/>
          <w:lang w:val="en-US"/>
        </w:rPr>
        <w:t>Political Analysis</w:t>
      </w:r>
      <w:r>
        <w:rPr>
          <w:rtl w:val="0"/>
          <w:lang w:val="en-US"/>
        </w:rPr>
        <w:t xml:space="preserve">, </w:t>
      </w:r>
      <w:r>
        <w:rPr>
          <w:rFonts w:ascii="Helvetica" w:hAnsi="Helvetica"/>
          <w:i w:val="1"/>
          <w:iCs w:val="1"/>
          <w:rtl w:val="0"/>
          <w:lang w:val="en-US"/>
        </w:rPr>
        <w:t>4</w:t>
      </w:r>
      <w:r>
        <w:rPr>
          <w:rtl w:val="0"/>
          <w:lang w:val="en-US"/>
        </w:rPr>
        <w:t>(1), 127</w:t>
      </w:r>
      <w:r>
        <w:rPr>
          <w:rtl w:val="0"/>
          <w:lang w:val="en-US"/>
        </w:rPr>
        <w:t>–</w:t>
      </w:r>
      <w:r>
        <w:rPr>
          <w:rtl w:val="0"/>
          <w:lang w:val="en-US"/>
        </w:rPr>
        <w:t xml:space="preserve">183. Retrieved from </w:t>
      </w:r>
      <w:r>
        <w:rPr>
          <w:rStyle w:val="Hyperlink.0"/>
        </w:rPr>
        <w:fldChar w:fldCharType="begin" w:fldLock="0"/>
      </w:r>
      <w:r>
        <w:rPr>
          <w:rStyle w:val="Hyperlink.0"/>
        </w:rPr>
        <w:instrText xml:space="preserve"> HYPERLINK "http://pan.oxfordjournals.org/cgi/doi/10.1093/pan/4.1.127"</w:instrText>
      </w:r>
      <w:r>
        <w:rPr>
          <w:rStyle w:val="Hyperlink.0"/>
        </w:rPr>
        <w:fldChar w:fldCharType="separate" w:fldLock="0"/>
      </w:r>
      <w:r>
        <w:rPr>
          <w:rStyle w:val="Hyperlink.0"/>
          <w:rtl w:val="0"/>
          <w:lang w:val="en-US"/>
        </w:rPr>
        <w:t>http://pan.oxfordjournals.org/cgi/doi/10.1093/pan/4.1.127</w:t>
      </w:r>
      <w:r>
        <w:rPr/>
        <w:fldChar w:fldCharType="end" w:fldLock="0"/>
      </w:r>
    </w:p>
    <w:p>
      <w:pPr>
        <w:pStyle w:val="Bibliography"/>
        <w:jc w:val="both"/>
      </w:pPr>
      <w:r>
        <w:rPr>
          <w:rtl w:val="0"/>
          <w:lang w:val="en-US"/>
        </w:rPr>
        <w:t>O</w:t>
      </w:r>
      <w:r>
        <w:rPr>
          <w:rtl w:val="0"/>
          <w:lang w:val="en-US"/>
        </w:rPr>
        <w:t>’</w:t>
      </w:r>
      <w:r>
        <w:rPr>
          <w:rtl w:val="0"/>
          <w:lang w:val="en-US"/>
        </w:rPr>
        <w:t xml:space="preserve">Donnell, G., &amp; Schmitter, P. (1986). </w:t>
      </w:r>
      <w:r>
        <w:rPr>
          <w:rFonts w:ascii="Helvetica" w:hAnsi="Helvetica"/>
          <w:i w:val="1"/>
          <w:iCs w:val="1"/>
          <w:rtl w:val="0"/>
          <w:lang w:val="en-US"/>
        </w:rPr>
        <w:t>Transitions from authoritarian rule, vol. 4: Tentative conclusions about uncertain democracies</w:t>
      </w:r>
      <w:r>
        <w:rPr>
          <w:rtl w:val="0"/>
          <w:lang w:val="en-US"/>
        </w:rPr>
        <w:t>. Johns Hopkins University Press.</w:t>
      </w:r>
    </w:p>
    <w:p>
      <w:pPr>
        <w:pStyle w:val="Bibliography"/>
        <w:jc w:val="both"/>
      </w:pPr>
      <w:r>
        <w:rPr>
          <w:rtl w:val="0"/>
          <w:lang w:val="en-US"/>
        </w:rPr>
        <w:t xml:space="preserve">Ranis, G., &amp; Fei, J. (1961). A Theory of Economic Development. </w:t>
      </w:r>
      <w:r>
        <w:rPr>
          <w:rFonts w:ascii="Helvetica" w:hAnsi="Helvetica"/>
          <w:i w:val="1"/>
          <w:iCs w:val="1"/>
          <w:rtl w:val="0"/>
          <w:lang w:val="en-US"/>
        </w:rPr>
        <w:t>The American Economic Review</w:t>
      </w:r>
      <w:r>
        <w:rPr>
          <w:rtl w:val="0"/>
          <w:lang w:val="en-US"/>
        </w:rPr>
        <w:t xml:space="preserve">, </w:t>
      </w:r>
      <w:r>
        <w:rPr>
          <w:rFonts w:ascii="Helvetica" w:hAnsi="Helvetica"/>
          <w:i w:val="1"/>
          <w:iCs w:val="1"/>
          <w:rtl w:val="0"/>
          <w:lang w:val="en-US"/>
        </w:rPr>
        <w:t>51</w:t>
      </w:r>
      <w:r>
        <w:rPr>
          <w:rtl w:val="0"/>
          <w:lang w:val="en-US"/>
        </w:rPr>
        <w:t>(4), 533</w:t>
      </w:r>
      <w:r>
        <w:rPr>
          <w:rtl w:val="0"/>
          <w:lang w:val="en-US"/>
        </w:rPr>
        <w:t>–</w:t>
      </w:r>
      <w:r>
        <w:rPr>
          <w:rtl w:val="0"/>
          <w:lang w:val="en-US"/>
        </w:rPr>
        <w:t xml:space="preserve">565. Retrieved from </w:t>
      </w:r>
      <w:r>
        <w:rPr>
          <w:rStyle w:val="Hyperlink.0"/>
        </w:rPr>
        <w:fldChar w:fldCharType="begin" w:fldLock="0"/>
      </w:r>
      <w:r>
        <w:rPr>
          <w:rStyle w:val="Hyperlink.0"/>
        </w:rPr>
        <w:instrText xml:space="preserve"> HYPERLINK "http://www.jstor.org/stable/1812785"</w:instrText>
      </w:r>
      <w:r>
        <w:rPr>
          <w:rStyle w:val="Hyperlink.0"/>
        </w:rPr>
        <w:fldChar w:fldCharType="separate" w:fldLock="0"/>
      </w:r>
      <w:r>
        <w:rPr>
          <w:rStyle w:val="Hyperlink.0"/>
          <w:rtl w:val="0"/>
          <w:lang w:val="en-US"/>
        </w:rPr>
        <w:t>http://www.jstor.org/stable/1812785</w:t>
      </w:r>
      <w:r>
        <w:rPr/>
        <w:fldChar w:fldCharType="end" w:fldLock="0"/>
      </w:r>
    </w:p>
    <w:p>
      <w:pPr>
        <w:pStyle w:val="Bibliography"/>
        <w:jc w:val="both"/>
      </w:pPr>
      <w:r>
        <w:rPr>
          <w:rtl w:val="0"/>
          <w:lang w:val="en-US"/>
        </w:rPr>
        <w:t xml:space="preserve">Ranis, G., &amp; Fei, J. (1964). </w:t>
      </w:r>
      <w:r>
        <w:rPr>
          <w:rFonts w:ascii="Helvetica" w:hAnsi="Helvetica"/>
          <w:i w:val="1"/>
          <w:iCs w:val="1"/>
          <w:rtl w:val="0"/>
          <w:lang w:val="en-US"/>
        </w:rPr>
        <w:t>Development of the labor surplus economy</w:t>
      </w:r>
      <w:r>
        <w:rPr>
          <w:rtl w:val="0"/>
          <w:lang w:val="en-US"/>
        </w:rPr>
        <w:t>. The economic growth center, yale university. Richard D.Irwin, Inc.</w:t>
      </w:r>
    </w:p>
    <w:p>
      <w:pPr>
        <w:pStyle w:val="Bibliography"/>
        <w:jc w:val="both"/>
      </w:pPr>
      <w:r>
        <w:rPr>
          <w:rtl w:val="0"/>
          <w:lang w:val="en-US"/>
        </w:rPr>
        <w:t xml:space="preserve">Robles-Ortiz, C. (2009). Agrarian Capitalism and Rural Labour: The Hacienda System in Central Chile, 1870-1920. </w:t>
      </w:r>
      <w:r>
        <w:rPr>
          <w:rFonts w:ascii="Helvetica" w:hAnsi="Helvetica"/>
          <w:i w:val="1"/>
          <w:iCs w:val="1"/>
          <w:rtl w:val="0"/>
          <w:lang w:val="en-US"/>
        </w:rPr>
        <w:t>Journal of Latin American Studies</w:t>
      </w:r>
      <w:r>
        <w:rPr>
          <w:rtl w:val="0"/>
          <w:lang w:val="en-US"/>
        </w:rPr>
        <w:t xml:space="preserve">, </w:t>
      </w:r>
      <w:r>
        <w:rPr>
          <w:rFonts w:ascii="Helvetica" w:hAnsi="Helvetica"/>
          <w:i w:val="1"/>
          <w:iCs w:val="1"/>
          <w:rtl w:val="0"/>
          <w:lang w:val="en-US"/>
        </w:rPr>
        <w:t>41</w:t>
      </w:r>
      <w:r>
        <w:rPr>
          <w:rtl w:val="0"/>
          <w:lang w:val="en-US"/>
        </w:rPr>
        <w:t xml:space="preserve">(03), 493. Retrieved from </w:t>
      </w:r>
      <w:r>
        <w:rPr>
          <w:rStyle w:val="Hyperlink.0"/>
          <w:rtl w:val="0"/>
          <w:lang w:val="en-US"/>
        </w:rPr>
        <w:t>http://www.journals.cambridge.org/abstract{\_}S0022216X09990162</w:t>
      </w:r>
    </w:p>
    <w:p>
      <w:pPr>
        <w:pStyle w:val="Bibliography"/>
        <w:jc w:val="both"/>
      </w:pPr>
      <w:r>
        <w:rPr>
          <w:rtl w:val="0"/>
          <w:lang w:val="en-US"/>
        </w:rPr>
        <w:t xml:space="preserve">Saylor, R. (2014). </w:t>
      </w:r>
      <w:r>
        <w:rPr>
          <w:rFonts w:ascii="Helvetica" w:hAnsi="Helvetica"/>
          <w:i w:val="1"/>
          <w:iCs w:val="1"/>
          <w:rtl w:val="0"/>
          <w:lang w:val="en-US"/>
        </w:rPr>
        <w:t>State building in boom times: Commodities and coalitions in latin america and africa</w:t>
      </w:r>
      <w:r>
        <w:rPr>
          <w:rtl w:val="0"/>
          <w:lang w:val="en-US"/>
        </w:rPr>
        <w:t>. Oxford University Press.</w:t>
      </w:r>
    </w:p>
    <w:p>
      <w:pPr>
        <w:pStyle w:val="Bibliography"/>
        <w:jc w:val="both"/>
      </w:pPr>
      <w:r>
        <w:rPr>
          <w:rtl w:val="0"/>
          <w:lang w:val="en-US"/>
        </w:rPr>
        <w:t xml:space="preserve">Schumpeter, J. (1991). </w:t>
      </w:r>
      <w:r>
        <w:rPr>
          <w:rFonts w:ascii="Helvetica" w:hAnsi="Helvetica"/>
          <w:i w:val="1"/>
          <w:iCs w:val="1"/>
          <w:rtl w:val="0"/>
          <w:lang w:val="en-US"/>
        </w:rPr>
        <w:t>Joseph a. schumpeter: The economics and sociology of capitalism</w:t>
      </w:r>
      <w:r>
        <w:rPr>
          <w:rtl w:val="0"/>
          <w:lang w:val="en-US"/>
        </w:rPr>
        <w:t>. (R. Swedberg, Ed.). Princeton University Press.</w:t>
      </w:r>
    </w:p>
    <w:p>
      <w:pPr>
        <w:pStyle w:val="Bibliography"/>
        <w:jc w:val="both"/>
      </w:pPr>
      <w:r>
        <w:rPr>
          <w:rtl w:val="0"/>
          <w:lang w:val="en-US"/>
        </w:rPr>
        <w:t xml:space="preserve">Segall, M. (1962). </w:t>
      </w:r>
      <w:r>
        <w:rPr>
          <w:rFonts w:ascii="Helvetica" w:hAnsi="Helvetica"/>
          <w:i w:val="1"/>
          <w:iCs w:val="1"/>
          <w:rtl w:val="0"/>
          <w:lang w:val="en-US"/>
        </w:rPr>
        <w:t>Las luchas de clases en las primeras d</w:t>
      </w:r>
      <w:r>
        <w:rPr>
          <w:rFonts w:ascii="Helvetica" w:hAnsi="Helvetica" w:hint="default"/>
          <w:i w:val="1"/>
          <w:iCs w:val="1"/>
          <w:rtl w:val="0"/>
          <w:lang w:val="en-US"/>
        </w:rPr>
        <w:t>é</w:t>
      </w:r>
      <w:r>
        <w:rPr>
          <w:rFonts w:ascii="Helvetica" w:hAnsi="Helvetica"/>
          <w:i w:val="1"/>
          <w:iCs w:val="1"/>
          <w:rtl w:val="0"/>
          <w:lang w:val="en-US"/>
        </w:rPr>
        <w:t>cadas de la Rep</w:t>
      </w:r>
      <w:r>
        <w:rPr>
          <w:rFonts w:ascii="Helvetica" w:hAnsi="Helvetica" w:hint="default"/>
          <w:i w:val="1"/>
          <w:iCs w:val="1"/>
          <w:rtl w:val="0"/>
          <w:lang w:val="en-US"/>
        </w:rPr>
        <w:t>ú</w:t>
      </w:r>
      <w:r>
        <w:rPr>
          <w:rFonts w:ascii="Helvetica" w:hAnsi="Helvetica"/>
          <w:i w:val="1"/>
          <w:iCs w:val="1"/>
          <w:rtl w:val="0"/>
          <w:lang w:val="en-US"/>
        </w:rPr>
        <w:t>blica de Chile: 1810-1846</w:t>
      </w:r>
      <w:r>
        <w:rPr>
          <w:rtl w:val="0"/>
          <w:lang w:val="en-US"/>
        </w:rPr>
        <w:t xml:space="preserve"> (Separata d., p. 47). Santiago, Chile.</w:t>
      </w:r>
    </w:p>
    <w:p>
      <w:pPr>
        <w:pStyle w:val="Bibliography"/>
        <w:jc w:val="both"/>
      </w:pPr>
      <w:r>
        <w:rPr>
          <w:rtl w:val="0"/>
          <w:lang w:val="en-US"/>
        </w:rPr>
        <w:t xml:space="preserve">Sen, A. (1966). Peasants and Dualism with or without Surplus Labor. </w:t>
      </w:r>
      <w:r>
        <w:rPr>
          <w:rFonts w:ascii="Helvetica" w:hAnsi="Helvetica"/>
          <w:i w:val="1"/>
          <w:iCs w:val="1"/>
          <w:rtl w:val="0"/>
          <w:lang w:val="en-US"/>
        </w:rPr>
        <w:t>The Journal of Political Economy</w:t>
      </w:r>
      <w:r>
        <w:rPr>
          <w:rtl w:val="0"/>
          <w:lang w:val="en-US"/>
        </w:rPr>
        <w:t xml:space="preserve">, </w:t>
      </w:r>
      <w:r>
        <w:rPr>
          <w:rFonts w:ascii="Helvetica" w:hAnsi="Helvetica"/>
          <w:i w:val="1"/>
          <w:iCs w:val="1"/>
          <w:rtl w:val="0"/>
          <w:lang w:val="en-US"/>
        </w:rPr>
        <w:t>74</w:t>
      </w:r>
      <w:r>
        <w:rPr>
          <w:rtl w:val="0"/>
          <w:lang w:val="en-US"/>
        </w:rPr>
        <w:t>(5), 425</w:t>
      </w:r>
      <w:r>
        <w:rPr>
          <w:rtl w:val="0"/>
          <w:lang w:val="en-US"/>
        </w:rPr>
        <w:t>–</w:t>
      </w:r>
      <w:r>
        <w:rPr>
          <w:rtl w:val="0"/>
          <w:lang w:val="en-US"/>
        </w:rPr>
        <w:t>450.</w:t>
      </w:r>
    </w:p>
    <w:p>
      <w:pPr>
        <w:pStyle w:val="Bibliography"/>
        <w:jc w:val="both"/>
      </w:pPr>
      <w:r>
        <w:rPr>
          <w:rtl w:val="0"/>
          <w:lang w:val="en-US"/>
        </w:rPr>
        <w:t xml:space="preserve">Serrano, R., &amp; Pinilla, V. (2016). The Declining Role of Latin America in Global Agricultural Trade, 1963-2000. </w:t>
      </w:r>
      <w:r>
        <w:rPr>
          <w:rFonts w:ascii="Helvetica" w:hAnsi="Helvetica"/>
          <w:i w:val="1"/>
          <w:iCs w:val="1"/>
          <w:rtl w:val="0"/>
          <w:lang w:val="en-US"/>
        </w:rPr>
        <w:t>Journal of Latin American Studies</w:t>
      </w:r>
      <w:r>
        <w:rPr>
          <w:rtl w:val="0"/>
          <w:lang w:val="en-US"/>
        </w:rPr>
        <w:t xml:space="preserve">, </w:t>
      </w:r>
      <w:r>
        <w:rPr>
          <w:rFonts w:ascii="Helvetica" w:hAnsi="Helvetica"/>
          <w:i w:val="1"/>
          <w:iCs w:val="1"/>
          <w:rtl w:val="0"/>
          <w:lang w:val="en-US"/>
        </w:rPr>
        <w:t>48</w:t>
      </w:r>
      <w:r>
        <w:rPr>
          <w:rtl w:val="0"/>
          <w:lang w:val="en-US"/>
        </w:rPr>
        <w:t>(01), 115</w:t>
      </w:r>
      <w:r>
        <w:rPr>
          <w:rtl w:val="0"/>
          <w:lang w:val="en-US"/>
        </w:rPr>
        <w:t>–</w:t>
      </w:r>
      <w:r>
        <w:rPr>
          <w:rtl w:val="0"/>
          <w:lang w:val="en-US"/>
        </w:rPr>
        <w:t xml:space="preserve">146. Retrieved from </w:t>
      </w:r>
      <w:r>
        <w:rPr>
          <w:rStyle w:val="Hyperlink.0"/>
          <w:rtl w:val="0"/>
          <w:lang w:val="en-US"/>
        </w:rPr>
        <w:t>http://www.journals.cambridge.org/abstract{\_}S0022216X15001236</w:t>
      </w:r>
    </w:p>
    <w:p>
      <w:pPr>
        <w:pStyle w:val="Bibliography"/>
        <w:jc w:val="both"/>
      </w:pPr>
      <w:r>
        <w:rPr>
          <w:rtl w:val="0"/>
          <w:lang w:val="en-US"/>
        </w:rPr>
        <w:t xml:space="preserve">Skott, P., &amp; Larudee, M. (1998). Uneven Development and the Liberalisation of Trade and Capital Flows: The Case of Mexico. </w:t>
      </w:r>
      <w:r>
        <w:rPr>
          <w:rFonts w:ascii="Helvetica" w:hAnsi="Helvetica"/>
          <w:i w:val="1"/>
          <w:iCs w:val="1"/>
          <w:rtl w:val="0"/>
          <w:lang w:val="en-US"/>
        </w:rPr>
        <w:t>Cambridge Journal of Economics</w:t>
      </w:r>
      <w:r>
        <w:rPr>
          <w:rtl w:val="0"/>
          <w:lang w:val="en-US"/>
        </w:rPr>
        <w:t xml:space="preserve">, </w:t>
      </w:r>
      <w:r>
        <w:rPr>
          <w:rFonts w:ascii="Helvetica" w:hAnsi="Helvetica"/>
          <w:i w:val="1"/>
          <w:iCs w:val="1"/>
          <w:rtl w:val="0"/>
          <w:lang w:val="en-US"/>
        </w:rPr>
        <w:t>22</w:t>
      </w:r>
      <w:r>
        <w:rPr>
          <w:rtl w:val="0"/>
          <w:lang w:val="en-US"/>
        </w:rPr>
        <w:t>(3), 277</w:t>
      </w:r>
      <w:r>
        <w:rPr>
          <w:rtl w:val="0"/>
          <w:lang w:val="en-US"/>
        </w:rPr>
        <w:t>–</w:t>
      </w:r>
      <w:r>
        <w:rPr>
          <w:rtl w:val="0"/>
          <w:lang w:val="en-US"/>
        </w:rPr>
        <w:t>295.</w:t>
      </w:r>
    </w:p>
    <w:p>
      <w:pPr>
        <w:pStyle w:val="Bibliography"/>
        <w:jc w:val="both"/>
      </w:pPr>
      <w:r>
        <w:rPr>
          <w:rtl w:val="0"/>
          <w:lang w:val="en-US"/>
        </w:rPr>
        <w:t xml:space="preserve">Sobel, R., &amp; Coyne, C. (2011). Cointegrating Institutions: The Time-Series Properties of Country Institutional Measures. </w:t>
      </w:r>
      <w:r>
        <w:rPr>
          <w:rFonts w:ascii="Helvetica" w:hAnsi="Helvetica"/>
          <w:i w:val="1"/>
          <w:iCs w:val="1"/>
          <w:rtl w:val="0"/>
          <w:lang w:val="en-US"/>
        </w:rPr>
        <w:t>The Journal of Law and Economics</w:t>
      </w:r>
      <w:r>
        <w:rPr>
          <w:rtl w:val="0"/>
          <w:lang w:val="en-US"/>
        </w:rPr>
        <w:t xml:space="preserve">, </w:t>
      </w:r>
      <w:r>
        <w:rPr>
          <w:rFonts w:ascii="Helvetica" w:hAnsi="Helvetica"/>
          <w:i w:val="1"/>
          <w:iCs w:val="1"/>
          <w:rtl w:val="0"/>
          <w:lang w:val="en-US"/>
        </w:rPr>
        <w:t>54</w:t>
      </w:r>
      <w:r>
        <w:rPr>
          <w:rtl w:val="0"/>
          <w:lang w:val="en-US"/>
        </w:rPr>
        <w:t>(1), 111</w:t>
      </w:r>
      <w:r>
        <w:rPr>
          <w:rtl w:val="0"/>
          <w:lang w:val="en-US"/>
        </w:rPr>
        <w:t>–</w:t>
      </w:r>
      <w:r>
        <w:rPr>
          <w:rtl w:val="0"/>
          <w:lang w:val="en-US"/>
        </w:rPr>
        <w:t xml:space="preserve">134. Retrieved from </w:t>
      </w:r>
      <w:r>
        <w:rPr>
          <w:rStyle w:val="Hyperlink.0"/>
        </w:rPr>
        <w:fldChar w:fldCharType="begin" w:fldLock="0"/>
      </w:r>
      <w:r>
        <w:rPr>
          <w:rStyle w:val="Hyperlink.0"/>
        </w:rPr>
        <w:instrText xml:space="preserve"> HYPERLINK "http://www.journals.uchicago.edu/doi/10.1086/652304"</w:instrText>
      </w:r>
      <w:r>
        <w:rPr>
          <w:rStyle w:val="Hyperlink.0"/>
        </w:rPr>
        <w:fldChar w:fldCharType="separate" w:fldLock="0"/>
      </w:r>
      <w:r>
        <w:rPr>
          <w:rStyle w:val="Hyperlink.0"/>
          <w:rtl w:val="0"/>
          <w:lang w:val="en-US"/>
        </w:rPr>
        <w:t>http://www.journals.uchicago.edu/doi/10.1086/652304</w:t>
      </w:r>
      <w:r>
        <w:rPr/>
        <w:fldChar w:fldCharType="end" w:fldLock="0"/>
      </w:r>
    </w:p>
    <w:p>
      <w:pPr>
        <w:pStyle w:val="Bibliography"/>
        <w:jc w:val="both"/>
      </w:pPr>
      <w:r>
        <w:rPr>
          <w:rtl w:val="0"/>
          <w:lang w:val="en-US"/>
        </w:rPr>
        <w:t xml:space="preserve">Soifer, H. (2016). </w:t>
      </w:r>
      <w:r>
        <w:rPr>
          <w:rFonts w:ascii="Helvetica" w:hAnsi="Helvetica"/>
          <w:i w:val="1"/>
          <w:iCs w:val="1"/>
          <w:rtl w:val="0"/>
          <w:lang w:val="en-US"/>
        </w:rPr>
        <w:t>State building in latin america</w:t>
      </w:r>
      <w:r>
        <w:rPr>
          <w:rtl w:val="0"/>
          <w:lang w:val="en-US"/>
        </w:rPr>
        <w:t>. Cambridge University Press.</w:t>
      </w:r>
    </w:p>
    <w:p>
      <w:pPr>
        <w:pStyle w:val="Bibliography"/>
        <w:jc w:val="both"/>
      </w:pPr>
      <w:r>
        <w:rPr>
          <w:rtl w:val="0"/>
          <w:lang w:val="en-US"/>
        </w:rPr>
        <w:t xml:space="preserve">Stasavage, D. (2008). </w:t>
      </w:r>
      <w:r>
        <w:rPr>
          <w:rFonts w:ascii="Helvetica" w:hAnsi="Helvetica"/>
          <w:i w:val="1"/>
          <w:iCs w:val="1"/>
          <w:rtl w:val="0"/>
          <w:lang w:val="en-US"/>
        </w:rPr>
        <w:t>Public debt and the birth of the democratic state: France and great britain 1688-1789</w:t>
      </w:r>
      <w:r>
        <w:rPr>
          <w:rtl w:val="0"/>
          <w:lang w:val="en-US"/>
        </w:rPr>
        <w:t>. Cambridge University Press.</w:t>
      </w:r>
    </w:p>
    <w:p>
      <w:pPr>
        <w:pStyle w:val="Bibliography"/>
        <w:jc w:val="both"/>
      </w:pPr>
      <w:r>
        <w:rPr>
          <w:rtl w:val="0"/>
          <w:lang w:val="en-US"/>
        </w:rPr>
        <w:t xml:space="preserve">Stock, J., &amp; Watson, M. (2001). Vector Autoregressions. </w:t>
      </w:r>
      <w:r>
        <w:rPr>
          <w:rFonts w:ascii="Helvetica" w:hAnsi="Helvetica"/>
          <w:i w:val="1"/>
          <w:iCs w:val="1"/>
          <w:rtl w:val="0"/>
          <w:lang w:val="en-US"/>
        </w:rPr>
        <w:t>The Journal of Economic Perspectives</w:t>
      </w:r>
      <w:r>
        <w:rPr>
          <w:rtl w:val="0"/>
          <w:lang w:val="en-US"/>
        </w:rPr>
        <w:t xml:space="preserve">, </w:t>
      </w:r>
      <w:r>
        <w:rPr>
          <w:rFonts w:ascii="Helvetica" w:hAnsi="Helvetica"/>
          <w:i w:val="1"/>
          <w:iCs w:val="1"/>
          <w:rtl w:val="0"/>
          <w:lang w:val="en-US"/>
        </w:rPr>
        <w:t>15</w:t>
      </w:r>
      <w:r>
        <w:rPr>
          <w:rtl w:val="0"/>
          <w:lang w:val="en-US"/>
        </w:rPr>
        <w:t>(4), 101</w:t>
      </w:r>
      <w:r>
        <w:rPr>
          <w:rtl w:val="0"/>
          <w:lang w:val="en-US"/>
        </w:rPr>
        <w:t>–</w:t>
      </w:r>
      <w:r>
        <w:rPr>
          <w:rtl w:val="0"/>
          <w:lang w:val="en-US"/>
        </w:rPr>
        <w:t xml:space="preserve">115. Retrieved from </w:t>
      </w:r>
      <w:r>
        <w:rPr>
          <w:rStyle w:val="Hyperlink.0"/>
        </w:rPr>
        <w:fldChar w:fldCharType="begin" w:fldLock="0"/>
      </w:r>
      <w:r>
        <w:rPr>
          <w:rStyle w:val="Hyperlink.0"/>
        </w:rPr>
        <w:instrText xml:space="preserve"> HYPERLINK "http://www.jstor.org/stable/2696519"</w:instrText>
      </w:r>
      <w:r>
        <w:rPr>
          <w:rStyle w:val="Hyperlink.0"/>
        </w:rPr>
        <w:fldChar w:fldCharType="separate" w:fldLock="0"/>
      </w:r>
      <w:r>
        <w:rPr>
          <w:rStyle w:val="Hyperlink.0"/>
          <w:rtl w:val="0"/>
          <w:lang w:val="en-US"/>
        </w:rPr>
        <w:t>http://www.jstor.org/stable/2696519</w:t>
      </w:r>
      <w:r>
        <w:rPr/>
        <w:fldChar w:fldCharType="end" w:fldLock="0"/>
      </w:r>
    </w:p>
    <w:p>
      <w:pPr>
        <w:pStyle w:val="Bibliography"/>
        <w:jc w:val="both"/>
      </w:pPr>
      <w:r>
        <w:rPr>
          <w:rtl w:val="0"/>
          <w:lang w:val="en-US"/>
        </w:rPr>
        <w:t xml:space="preserve">Streeten, P. (1959). Unbalanced Growth. </w:t>
      </w:r>
      <w:r>
        <w:rPr>
          <w:rFonts w:ascii="Helvetica" w:hAnsi="Helvetica"/>
          <w:i w:val="1"/>
          <w:iCs w:val="1"/>
          <w:rtl w:val="0"/>
          <w:lang w:val="en-US"/>
        </w:rPr>
        <w:t>Oxford Economic Papers, New Series</w:t>
      </w:r>
      <w:r>
        <w:rPr>
          <w:rtl w:val="0"/>
          <w:lang w:val="en-US"/>
        </w:rPr>
        <w:t xml:space="preserve">, </w:t>
      </w:r>
      <w:r>
        <w:rPr>
          <w:rFonts w:ascii="Helvetica" w:hAnsi="Helvetica"/>
          <w:i w:val="1"/>
          <w:iCs w:val="1"/>
          <w:rtl w:val="0"/>
          <w:lang w:val="en-US"/>
        </w:rPr>
        <w:t>11</w:t>
      </w:r>
      <w:r>
        <w:rPr>
          <w:rtl w:val="0"/>
          <w:lang w:val="en-US"/>
        </w:rPr>
        <w:t>(2), 167</w:t>
      </w:r>
      <w:r>
        <w:rPr>
          <w:rtl w:val="0"/>
          <w:lang w:val="en-US"/>
        </w:rPr>
        <w:t>–</w:t>
      </w:r>
      <w:r>
        <w:rPr>
          <w:rtl w:val="0"/>
          <w:lang w:val="en-US"/>
        </w:rPr>
        <w:t xml:space="preserve">190. Retrieved from </w:t>
      </w:r>
      <w:r>
        <w:rPr>
          <w:rStyle w:val="Hyperlink.0"/>
        </w:rPr>
        <w:fldChar w:fldCharType="begin" w:fldLock="0"/>
      </w:r>
      <w:r>
        <w:rPr>
          <w:rStyle w:val="Hyperlink.0"/>
        </w:rPr>
        <w:instrText xml:space="preserve"> HYPERLINK "http://www.jstor.org/stable/2662122"</w:instrText>
      </w:r>
      <w:r>
        <w:rPr>
          <w:rStyle w:val="Hyperlink.0"/>
        </w:rPr>
        <w:fldChar w:fldCharType="separate" w:fldLock="0"/>
      </w:r>
      <w:r>
        <w:rPr>
          <w:rStyle w:val="Hyperlink.0"/>
          <w:rtl w:val="0"/>
          <w:lang w:val="en-US"/>
        </w:rPr>
        <w:t>http://www.jstor.org/stable/2662122</w:t>
      </w:r>
      <w:r>
        <w:rPr/>
        <w:fldChar w:fldCharType="end" w:fldLock="0"/>
      </w:r>
    </w:p>
    <w:p>
      <w:pPr>
        <w:pStyle w:val="Bibliography"/>
        <w:jc w:val="both"/>
      </w:pPr>
      <w:r>
        <w:rPr>
          <w:rtl w:val="0"/>
          <w:lang w:val="en-US"/>
        </w:rPr>
        <w:t xml:space="preserve">Thirlwall, A. (1986). A General Model of Growth and Development on Kaldorian Lines. </w:t>
      </w:r>
      <w:r>
        <w:rPr>
          <w:rFonts w:ascii="Helvetica" w:hAnsi="Helvetica"/>
          <w:i w:val="1"/>
          <w:iCs w:val="1"/>
          <w:rtl w:val="0"/>
          <w:lang w:val="en-US"/>
        </w:rPr>
        <w:t>Oxford Economic Papers</w:t>
      </w:r>
      <w:r>
        <w:rPr>
          <w:rtl w:val="0"/>
          <w:lang w:val="en-US"/>
        </w:rPr>
        <w:t xml:space="preserve">, </w:t>
      </w:r>
      <w:r>
        <w:rPr>
          <w:rFonts w:ascii="Helvetica" w:hAnsi="Helvetica"/>
          <w:i w:val="1"/>
          <w:iCs w:val="1"/>
          <w:rtl w:val="0"/>
          <w:lang w:val="en-US"/>
        </w:rPr>
        <w:t>38</w:t>
      </w:r>
      <w:r>
        <w:rPr>
          <w:rtl w:val="0"/>
          <w:lang w:val="en-US"/>
        </w:rPr>
        <w:t>(2), 199</w:t>
      </w:r>
      <w:r>
        <w:rPr>
          <w:rtl w:val="0"/>
          <w:lang w:val="en-US"/>
        </w:rPr>
        <w:t>–</w:t>
      </w:r>
      <w:r>
        <w:rPr>
          <w:rtl w:val="0"/>
          <w:lang w:val="en-US"/>
        </w:rPr>
        <w:t>219.</w:t>
      </w:r>
    </w:p>
    <w:p>
      <w:pPr>
        <w:pStyle w:val="Bibliography"/>
        <w:jc w:val="both"/>
      </w:pPr>
      <w:r>
        <w:rPr>
          <w:rtl w:val="0"/>
          <w:lang w:val="en-US"/>
        </w:rPr>
        <w:t xml:space="preserve">Tiffin, R., &amp; Dawson, P. (2003). Shock Persistence in a Dual Economy Model of India. </w:t>
      </w:r>
      <w:r>
        <w:rPr>
          <w:rFonts w:ascii="Helvetica" w:hAnsi="Helvetica"/>
          <w:i w:val="1"/>
          <w:iCs w:val="1"/>
          <w:rtl w:val="0"/>
          <w:lang w:val="en-US"/>
        </w:rPr>
        <w:t>Journal of Development Studies</w:t>
      </w:r>
      <w:r>
        <w:rPr>
          <w:rtl w:val="0"/>
          <w:lang w:val="en-US"/>
        </w:rPr>
        <w:t xml:space="preserve">, </w:t>
      </w:r>
      <w:r>
        <w:rPr>
          <w:rFonts w:ascii="Helvetica" w:hAnsi="Helvetica"/>
          <w:i w:val="1"/>
          <w:iCs w:val="1"/>
          <w:rtl w:val="0"/>
          <w:lang w:val="en-US"/>
        </w:rPr>
        <w:t>40</w:t>
      </w:r>
      <w:r>
        <w:rPr>
          <w:rtl w:val="0"/>
          <w:lang w:val="en-US"/>
        </w:rPr>
        <w:t>(1), 32</w:t>
      </w:r>
      <w:r>
        <w:rPr>
          <w:rtl w:val="0"/>
          <w:lang w:val="en-US"/>
        </w:rPr>
        <w:t>–</w:t>
      </w:r>
      <w:r>
        <w:rPr>
          <w:rtl w:val="0"/>
          <w:lang w:val="en-US"/>
        </w:rPr>
        <w:t xml:space="preserve">47. Retrieved from </w:t>
      </w:r>
      <w:r>
        <w:rPr>
          <w:rStyle w:val="Hyperlink.0"/>
        </w:rPr>
        <w:fldChar w:fldCharType="begin" w:fldLock="0"/>
      </w:r>
      <w:r>
        <w:rPr>
          <w:rStyle w:val="Hyperlink.0"/>
        </w:rPr>
        <w:instrText xml:space="preserve"> HYPERLINK "http://www.tandfonline.com/doi/abs/10.1080/00220380412331293657"</w:instrText>
      </w:r>
      <w:r>
        <w:rPr>
          <w:rStyle w:val="Hyperlink.0"/>
        </w:rPr>
        <w:fldChar w:fldCharType="separate" w:fldLock="0"/>
      </w:r>
      <w:r>
        <w:rPr>
          <w:rStyle w:val="Hyperlink.0"/>
          <w:rtl w:val="0"/>
          <w:lang w:val="en-US"/>
        </w:rPr>
        <w:t>http://www.tandfonline.com/doi/abs/10.1080/00220380412331293657</w:t>
      </w:r>
      <w:r>
        <w:rPr/>
        <w:fldChar w:fldCharType="end" w:fldLock="0"/>
      </w:r>
    </w:p>
    <w:p>
      <w:pPr>
        <w:pStyle w:val="Bibliography"/>
        <w:jc w:val="both"/>
      </w:pPr>
      <w:r>
        <w:rPr>
          <w:rtl w:val="0"/>
          <w:lang w:val="en-US"/>
        </w:rPr>
        <w:t xml:space="preserve">Tilly, C. (1992). </w:t>
      </w:r>
      <w:r>
        <w:rPr>
          <w:rFonts w:ascii="Helvetica" w:hAnsi="Helvetica"/>
          <w:i w:val="1"/>
          <w:iCs w:val="1"/>
          <w:rtl w:val="0"/>
          <w:lang w:val="en-US"/>
        </w:rPr>
        <w:t>Coercion, capital and european states: AD 990 - 1992</w:t>
      </w:r>
      <w:r>
        <w:rPr>
          <w:rtl w:val="0"/>
          <w:lang w:val="en-US"/>
        </w:rPr>
        <w:t>. Wiley-Blackwell.</w:t>
      </w:r>
    </w:p>
    <w:p>
      <w:pPr>
        <w:pStyle w:val="Bibliography"/>
        <w:jc w:val="both"/>
      </w:pPr>
      <w:r>
        <w:rPr>
          <w:rtl w:val="0"/>
          <w:lang w:val="en-US"/>
        </w:rPr>
        <w:t xml:space="preserve">Uribe-Uran, V. (2001). </w:t>
      </w:r>
      <w:r>
        <w:rPr>
          <w:rFonts w:ascii="Helvetica" w:hAnsi="Helvetica"/>
          <w:i w:val="1"/>
          <w:iCs w:val="1"/>
          <w:rtl w:val="0"/>
          <w:lang w:val="en-US"/>
        </w:rPr>
        <w:t>State and society in spanish america during the age of revolution</w:t>
      </w:r>
      <w:r>
        <w:rPr>
          <w:rtl w:val="0"/>
          <w:lang w:val="en-US"/>
        </w:rPr>
        <w:t>. Rowman &amp; Littlefield Publishers.</w:t>
      </w:r>
    </w:p>
    <w:p>
      <w:pPr>
        <w:pStyle w:val="Bibliography"/>
        <w:jc w:val="both"/>
      </w:pPr>
      <w:r>
        <w:rPr>
          <w:rtl w:val="0"/>
          <w:lang w:val="en-US"/>
        </w:rPr>
        <w:t xml:space="preserve">Vollrath, D. (2009). The Dual Economy in Long-Run Development. </w:t>
      </w:r>
      <w:r>
        <w:rPr>
          <w:rFonts w:ascii="Helvetica" w:hAnsi="Helvetica"/>
          <w:i w:val="1"/>
          <w:iCs w:val="1"/>
          <w:rtl w:val="0"/>
          <w:lang w:val="en-US"/>
        </w:rPr>
        <w:t>Journal of Economic Growth</w:t>
      </w:r>
      <w:r>
        <w:rPr>
          <w:rtl w:val="0"/>
          <w:lang w:val="en-US"/>
        </w:rPr>
        <w:t xml:space="preserve">, </w:t>
      </w:r>
      <w:r>
        <w:rPr>
          <w:rFonts w:ascii="Helvetica" w:hAnsi="Helvetica"/>
          <w:i w:val="1"/>
          <w:iCs w:val="1"/>
          <w:rtl w:val="0"/>
          <w:lang w:val="en-US"/>
        </w:rPr>
        <w:t>14</w:t>
      </w:r>
      <w:r>
        <w:rPr>
          <w:rtl w:val="0"/>
          <w:lang w:val="en-US"/>
        </w:rPr>
        <w:t>(4), 287</w:t>
      </w:r>
      <w:r>
        <w:rPr>
          <w:rtl w:val="0"/>
          <w:lang w:val="en-US"/>
        </w:rPr>
        <w:t>–</w:t>
      </w:r>
      <w:r>
        <w:rPr>
          <w:rtl w:val="0"/>
          <w:lang w:val="en-US"/>
        </w:rPr>
        <w:t xml:space="preserve">312. Retrieved from </w:t>
      </w:r>
      <w:r>
        <w:rPr>
          <w:rStyle w:val="Hyperlink.0"/>
        </w:rPr>
        <w:fldChar w:fldCharType="begin" w:fldLock="0"/>
      </w:r>
      <w:r>
        <w:rPr>
          <w:rStyle w:val="Hyperlink.0"/>
        </w:rPr>
        <w:instrText xml:space="preserve"> HYPERLINK "http://link.springer.com/10.1007/s10887-009-9045-y"</w:instrText>
      </w:r>
      <w:r>
        <w:rPr>
          <w:rStyle w:val="Hyperlink.0"/>
        </w:rPr>
        <w:fldChar w:fldCharType="separate" w:fldLock="0"/>
      </w:r>
      <w:r>
        <w:rPr>
          <w:rStyle w:val="Hyperlink.0"/>
          <w:rtl w:val="0"/>
          <w:lang w:val="en-US"/>
        </w:rPr>
        <w:t>http://link.springer.com/10.1007/s10887-009-9045-y</w:t>
      </w:r>
      <w:r>
        <w:rPr/>
        <w:fldChar w:fldCharType="end" w:fldLock="0"/>
      </w:r>
    </w:p>
    <w:p>
      <w:pPr>
        <w:pStyle w:val="Bibliography"/>
        <w:jc w:val="both"/>
      </w:pPr>
      <w:r>
        <w:rPr>
          <w:rtl w:val="0"/>
          <w:lang w:val="en-US"/>
        </w:rPr>
        <w:t xml:space="preserve">Waldner, D. (1999). </w:t>
      </w:r>
      <w:r>
        <w:rPr>
          <w:rFonts w:ascii="Helvetica" w:hAnsi="Helvetica"/>
          <w:i w:val="1"/>
          <w:iCs w:val="1"/>
          <w:rtl w:val="0"/>
          <w:lang w:val="en-US"/>
        </w:rPr>
        <w:t>State building and late development</w:t>
      </w:r>
      <w:r>
        <w:rPr>
          <w:rtl w:val="0"/>
          <w:lang w:val="en-US"/>
        </w:rPr>
        <w:t>. Cornell University Press.</w:t>
      </w:r>
    </w:p>
    <w:p>
      <w:pPr>
        <w:pStyle w:val="Bibliography"/>
        <w:jc w:val="both"/>
      </w:pPr>
      <w:r>
        <w:rPr>
          <w:rtl w:val="0"/>
          <w:lang w:val="en-US"/>
        </w:rPr>
        <w:t xml:space="preserve">Weaver, F. (1980). </w:t>
      </w:r>
      <w:r>
        <w:rPr>
          <w:rFonts w:ascii="Helvetica" w:hAnsi="Helvetica"/>
          <w:i w:val="1"/>
          <w:iCs w:val="1"/>
          <w:rtl w:val="0"/>
          <w:lang w:val="en-US"/>
        </w:rPr>
        <w:t>Class, state, and industrial structure: The historical process of south american industrial growth</w:t>
      </w:r>
      <w:r>
        <w:rPr>
          <w:rtl w:val="0"/>
          <w:lang w:val="en-US"/>
        </w:rPr>
        <w:t>. Praeger.</w:t>
      </w:r>
    </w:p>
    <w:p>
      <w:pPr>
        <w:pStyle w:val="Bibliography"/>
        <w:jc w:val="both"/>
      </w:pPr>
      <w:r>
        <w:rPr>
          <w:rtl w:val="0"/>
          <w:lang w:val="en-US"/>
        </w:rPr>
        <w:t xml:space="preserve">Weingast, B. (1997). The Political Foundations of Democracy and the Rule of Law. </w:t>
      </w:r>
      <w:r>
        <w:rPr>
          <w:rFonts w:ascii="Helvetica" w:hAnsi="Helvetica"/>
          <w:i w:val="1"/>
          <w:iCs w:val="1"/>
          <w:rtl w:val="0"/>
          <w:lang w:val="en-US"/>
        </w:rPr>
        <w:t>The American Political Science Review</w:t>
      </w:r>
      <w:r>
        <w:rPr>
          <w:rtl w:val="0"/>
          <w:lang w:val="en-US"/>
        </w:rPr>
        <w:t xml:space="preserve">, </w:t>
      </w:r>
      <w:r>
        <w:rPr>
          <w:rFonts w:ascii="Helvetica" w:hAnsi="Helvetica"/>
          <w:i w:val="1"/>
          <w:iCs w:val="1"/>
          <w:rtl w:val="0"/>
          <w:lang w:val="en-US"/>
        </w:rPr>
        <w:t>91</w:t>
      </w:r>
      <w:r>
        <w:rPr>
          <w:rtl w:val="0"/>
          <w:lang w:val="en-US"/>
        </w:rPr>
        <w:t>(2), 245</w:t>
      </w:r>
      <w:r>
        <w:rPr>
          <w:rtl w:val="0"/>
          <w:lang w:val="en-US"/>
        </w:rPr>
        <w:t>–</w:t>
      </w:r>
      <w:r>
        <w:rPr>
          <w:rtl w:val="0"/>
          <w:lang w:val="en-US"/>
        </w:rPr>
        <w:t>263.</w:t>
      </w:r>
    </w:p>
    <w:p>
      <w:pPr>
        <w:pStyle w:val="Bibliography"/>
        <w:jc w:val="both"/>
      </w:pPr>
      <w:r>
        <w:rPr>
          <w:rtl w:val="0"/>
          <w:lang w:val="en-US"/>
        </w:rPr>
        <w:t xml:space="preserve">Wooldridge, J. (2002). </w:t>
      </w:r>
      <w:r>
        <w:rPr>
          <w:rFonts w:ascii="Helvetica" w:hAnsi="Helvetica"/>
          <w:i w:val="1"/>
          <w:iCs w:val="1"/>
          <w:rtl w:val="0"/>
          <w:lang w:val="en-US"/>
        </w:rPr>
        <w:t>Introductory Econometrics: A Modern Approach</w:t>
      </w:r>
      <w:r>
        <w:rPr>
          <w:rtl w:val="0"/>
          <w:lang w:val="en-US"/>
        </w:rPr>
        <w:t xml:space="preserve"> (2nd., p. 896). South-Western College Pub.</w:t>
      </w:r>
    </w:p>
    <w:p>
      <w:pPr>
        <w:pStyle w:val="Bibliography"/>
        <w:jc w:val="both"/>
      </w:pPr>
      <w:r>
        <w:rPr>
          <w:rtl w:val="0"/>
          <w:lang w:val="en-US"/>
        </w:rPr>
        <w:t xml:space="preserve">Zeitlin, M. (1984). </w:t>
      </w:r>
      <w:r>
        <w:rPr>
          <w:rFonts w:ascii="Helvetica" w:hAnsi="Helvetica"/>
          <w:i w:val="1"/>
          <w:iCs w:val="1"/>
          <w:rtl w:val="0"/>
          <w:lang w:val="en-US"/>
        </w:rPr>
        <w:t>The civil wars in chile: (Or the bourgeois revolutions that never were)</w:t>
      </w:r>
      <w:r>
        <w:rPr>
          <w:rtl w:val="0"/>
          <w:lang w:val="en-US"/>
        </w:rPr>
        <w:t>. Maurice Zeitlin.</w:t>
      </w:r>
      <w:bookmarkEnd w:id="9"/>
    </w:p>
    <w:sectPr>
      <w:headerReference w:type="default" r:id="rId11"/>
      <w:footerReference w:type="default" r:id="rId12"/>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rPr>
        <w:t xml:space="preserve"> Johnson &amp; Koyama (2016).</w:t>
      </w:r>
    </w:p>
  </w:footnote>
  <w:footnote w:id="2">
    <w:p>
      <w:pPr>
        <w:pStyle w:val="Footnote Text"/>
      </w:pPr>
      <w:r>
        <w:rPr>
          <w:vertAlign w:val="superscript"/>
        </w:rPr>
        <w:footnoteRef/>
      </w:r>
      <w:r>
        <w:rPr>
          <w:rFonts w:cs="Arial Unicode MS" w:eastAsia="Arial Unicode MS"/>
          <w:rtl w:val="0"/>
        </w:rPr>
        <w:t xml:space="preserve"> North &amp; Weingast (1989).</w:t>
      </w:r>
    </w:p>
  </w:footnote>
  <w:footnote w:id="3">
    <w:p>
      <w:pPr>
        <w:pStyle w:val="Footnote Text"/>
      </w:pPr>
      <w:r>
        <w:rPr>
          <w:vertAlign w:val="superscript"/>
        </w:rPr>
        <w:footnoteRef/>
      </w:r>
      <w:r>
        <w:rPr>
          <w:rFonts w:cs="Arial Unicode MS" w:eastAsia="Arial Unicode MS"/>
          <w:rtl w:val="0"/>
        </w:rPr>
        <w:t xml:space="preserve"> Greif, Milgrom, &amp; Weingast (1994).</w:t>
      </w:r>
    </w:p>
  </w:footnote>
  <w:footnote w:id="4">
    <w:p>
      <w:pPr>
        <w:pStyle w:val="Footnote Text"/>
      </w:pPr>
      <w:r>
        <w:rPr>
          <w:vertAlign w:val="superscript"/>
        </w:rPr>
        <w:footnoteRef/>
      </w:r>
      <w:r>
        <w:rPr>
          <w:rFonts w:cs="Arial Unicode MS" w:eastAsia="Arial Unicode MS"/>
          <w:rtl w:val="0"/>
        </w:rPr>
        <w:t xml:space="preserve"> Leblang (1996; Iyer &amp; Banerjee, 2005; Weingast, 1997). However see Clark (2009) and Mokyr (2016).</w:t>
      </w:r>
    </w:p>
  </w:footnote>
  <w:footnote w:id="5">
    <w:p>
      <w:pPr>
        <w:pStyle w:val="Footnote Text"/>
      </w:pPr>
      <w:r>
        <w:rPr>
          <w:vertAlign w:val="superscript"/>
        </w:rPr>
        <w:footnoteRef/>
      </w:r>
      <w:r>
        <w:rPr>
          <w:rFonts w:cs="Arial Unicode MS" w:eastAsia="Arial Unicode MS"/>
          <w:rtl w:val="0"/>
        </w:rPr>
        <w:t xml:space="preserve"> Acemoglu &amp; Robinson (2009, p. 289) do consider preferences over democracy of industrialists and agriculturalists.</w:t>
      </w:r>
    </w:p>
  </w:footnote>
  <w:footnote w:id="6">
    <w:p>
      <w:pPr>
        <w:pStyle w:val="Footnote Text"/>
      </w:pPr>
      <w:r>
        <w:rPr>
          <w:vertAlign w:val="superscript"/>
        </w:rPr>
        <w:footnoteRef/>
      </w:r>
      <w:r>
        <w:rPr>
          <w:rFonts w:cs="Arial Unicode MS" w:eastAsia="Arial Unicode MS"/>
          <w:rtl w:val="0"/>
        </w:rPr>
        <w:t xml:space="preserve"> Gollin, Parente, &amp; Rogerson (2002, p. 160).</w:t>
      </w:r>
    </w:p>
  </w:footnote>
  <w:footnote w:id="7">
    <w:p>
      <w:pPr>
        <w:pStyle w:val="Footnote Text"/>
      </w:pPr>
      <w:r>
        <w:rPr>
          <w:vertAlign w:val="superscript"/>
        </w:rPr>
        <w:footnoteRef/>
      </w:r>
      <w:r>
        <w:rPr>
          <w:rFonts w:cs="Arial Unicode MS" w:eastAsia="Arial Unicode MS"/>
          <w:rtl w:val="0"/>
        </w:rPr>
        <w:t xml:space="preserve"> Johnston &amp; Mellor (1961, p. 567).</w:t>
      </w:r>
    </w:p>
  </w:footnote>
  <w:footnote w:id="8">
    <w:p>
      <w:pPr>
        <w:pStyle w:val="Footnote Text"/>
      </w:pPr>
      <w:r>
        <w:rPr>
          <w:vertAlign w:val="superscript"/>
        </w:rPr>
        <w:footnoteRef/>
      </w:r>
      <w:r>
        <w:rPr>
          <w:rFonts w:cs="Arial Unicode MS" w:eastAsia="Arial Unicode MS"/>
          <w:rtl w:val="0"/>
        </w:rPr>
        <w:t xml:space="preserve"> See for example Llavador &amp; Oxoby (2005).</w:t>
      </w:r>
    </w:p>
  </w:footnote>
  <w:footnote w:id="9">
    <w:p>
      <w:pPr>
        <w:pStyle w:val="Footnote Text"/>
      </w:pPr>
      <w:r>
        <w:rPr>
          <w:vertAlign w:val="superscript"/>
        </w:rPr>
        <w:footnoteRef/>
      </w:r>
      <w:r>
        <w:rPr>
          <w:rFonts w:cs="Arial Unicode MS" w:eastAsia="Arial Unicode MS"/>
          <w:rtl w:val="0"/>
        </w:rPr>
        <w:t xml:space="preserve"> Acemoglu &amp; Robinson (2009, p. 289).</w:t>
      </w:r>
    </w:p>
  </w:footnote>
  <w:footnote w:id="10">
    <w:p>
      <w:pPr>
        <w:pStyle w:val="Footnote Text"/>
      </w:pPr>
      <w:r>
        <w:rPr>
          <w:vertAlign w:val="superscript"/>
        </w:rPr>
        <w:footnoteRef/>
      </w:r>
      <w:r>
        <w:rPr>
          <w:rFonts w:cs="Arial Unicode MS" w:eastAsia="Arial Unicode MS"/>
          <w:rtl w:val="0"/>
        </w:rPr>
        <w:t xml:space="preserve"> </w:t>
      </w:r>
      <w:r>
        <w:rPr>
          <w:rFonts w:cs="Arial Unicode MS" w:eastAsia="Arial Unicode MS"/>
          <w:rtl w:val="0"/>
        </w:rPr>
        <w:t>CITATION HERE.</w:t>
      </w:r>
      <w:r>
        <w:rPr>
          <w:rFonts w:cs="Arial Unicode MS" w:eastAsia="Arial Unicode MS"/>
          <w:rtl w:val="0"/>
        </w:rPr>
        <w:t xml:space="preserve"> See</w:t>
      </w:r>
      <w:r>
        <w:rPr>
          <w:rFonts w:cs="Arial Unicode MS" w:eastAsia="Arial Unicode MS"/>
          <w:rtl w:val="0"/>
        </w:rPr>
        <w:t xml:space="preserve"> also</w:t>
      </w:r>
      <w:r>
        <w:rPr>
          <w:rFonts w:cs="Arial Unicode MS" w:eastAsia="Arial Unicode MS"/>
          <w:rtl w:val="0"/>
        </w:rPr>
        <w:t xml:space="preserve"> Schumpeter (1991).</w:t>
      </w:r>
    </w:p>
  </w:footnote>
  <w:footnote w:id="11">
    <w:p>
      <w:pPr>
        <w:pStyle w:val="Footnote Text"/>
      </w:pPr>
      <w:r>
        <w:rPr>
          <w:vertAlign w:val="superscript"/>
        </w:rPr>
        <w:footnoteRef/>
      </w:r>
      <w:r>
        <w:rPr>
          <w:rFonts w:cs="Arial Unicode MS" w:eastAsia="Arial Unicode MS"/>
          <w:rtl w:val="0"/>
        </w:rPr>
        <w:t xml:space="preserve"> See also Saylor (2014, p. 55) and L</w:t>
      </w:r>
      <w:r>
        <w:rPr>
          <w:rFonts w:cs="Arial Unicode MS" w:eastAsia="Arial Unicode MS" w:hint="default"/>
          <w:rtl w:val="0"/>
        </w:rPr>
        <w:t>ó</w:t>
      </w:r>
      <w:r>
        <w:rPr>
          <w:rFonts w:cs="Arial Unicode MS" w:eastAsia="Arial Unicode MS"/>
          <w:rtl w:val="0"/>
        </w:rPr>
        <w:t>pez-Alves (2000, pp. 27</w:t>
      </w:r>
      <w:r>
        <w:rPr>
          <w:rFonts w:cs="Arial Unicode MS" w:eastAsia="Arial Unicode MS" w:hint="default"/>
          <w:rtl w:val="0"/>
        </w:rPr>
        <w:t>–</w:t>
      </w:r>
      <w:r>
        <w:rPr>
          <w:rFonts w:cs="Arial Unicode MS" w:eastAsia="Arial Unicode MS"/>
          <w:rtl w:val="0"/>
        </w:rPr>
        <w:t>28, 35</w:t>
      </w:r>
      <w:r>
        <w:rPr>
          <w:rFonts w:cs="Arial Unicode MS" w:eastAsia="Arial Unicode MS" w:hint="default"/>
          <w:rtl w:val="0"/>
        </w:rPr>
        <w:t>–</w:t>
      </w:r>
      <w:r>
        <w:rPr>
          <w:rFonts w:cs="Arial Unicode MS" w:eastAsia="Arial Unicode MS"/>
          <w:rtl w:val="0"/>
        </w:rPr>
        <w:t>36).</w:t>
      </w:r>
    </w:p>
  </w:footnote>
  <w:footnote w:id="12">
    <w:p>
      <w:pPr>
        <w:pStyle w:val="Footnote Text"/>
      </w:pPr>
      <w:r>
        <w:rPr>
          <w:vertAlign w:val="superscript"/>
        </w:rPr>
        <w:footnoteRef/>
      </w:r>
      <w:r>
        <w:rPr>
          <w:rFonts w:cs="Arial Unicode MS" w:eastAsia="Arial Unicode MS"/>
          <w:rtl w:val="0"/>
        </w:rPr>
        <w:t xml:space="preserve"> </w:t>
      </w:r>
      <w:r>
        <w:rPr>
          <w:rFonts w:cs="Arial Unicode MS" w:eastAsia="Arial Unicode MS"/>
          <w:rtl w:val="0"/>
        </w:rPr>
        <w:t>CITATION HERE.</w:t>
      </w:r>
    </w:p>
  </w:footnote>
  <w:footnote w:id="13">
    <w:p>
      <w:pPr>
        <w:pStyle w:val="Footnote Text"/>
      </w:pPr>
      <w:r>
        <w:rPr>
          <w:vertAlign w:val="superscript"/>
        </w:rPr>
        <w:footnoteRef/>
      </w:r>
      <w:r>
        <w:rPr>
          <w:rFonts w:cs="Arial Unicode MS" w:eastAsia="Arial Unicode MS"/>
          <w:rtl w:val="0"/>
        </w:rPr>
        <w:t xml:space="preserve"> Jorgenson (1961, p. 311). Importantly, I follow Kuznets (1967, p. 87) in that </w:t>
      </w:r>
      <w:r>
        <w:rPr>
          <w:rFonts w:cs="Arial Unicode MS" w:eastAsia="Arial Unicode MS" w:hint="default"/>
          <w:rtl w:val="0"/>
        </w:rPr>
        <w:t>“</w:t>
      </w:r>
      <w:r>
        <w:rPr>
          <w:rFonts w:cs="Arial Unicode MS" w:eastAsia="Arial Unicode MS"/>
          <w:rtl w:val="0"/>
        </w:rPr>
        <w:t>mining is combined with [...] industry because of the large scale of its productive unit, its close connection with manufacturing, and the distinctive trend in its share in product and resources.</w:t>
      </w:r>
      <w:r>
        <w:rPr>
          <w:rFonts w:cs="Arial Unicode MS" w:eastAsia="Arial Unicode MS" w:hint="default"/>
          <w:rtl w:val="0"/>
        </w:rPr>
        <w:t xml:space="preserve">” </w:t>
      </w:r>
      <w:r>
        <w:rPr>
          <w:rFonts w:cs="Arial Unicode MS" w:eastAsia="Arial Unicode MS"/>
          <w:rtl w:val="0"/>
        </w:rPr>
        <w:t>Similarly, Debowicz &amp; Segal (2014, p. 237) includes mining within the industrial sector.</w:t>
      </w:r>
    </w:p>
  </w:footnote>
  <w:footnote w:id="14">
    <w:p>
      <w:pPr>
        <w:pStyle w:val="Footnote Text"/>
      </w:pPr>
      <w:r>
        <w:rPr>
          <w:vertAlign w:val="superscript"/>
        </w:rPr>
        <w:footnoteRef/>
      </w:r>
      <w:r>
        <w:rPr>
          <w:rFonts w:cs="Arial Unicode MS" w:eastAsia="Arial Unicode MS"/>
          <w:rtl w:val="0"/>
        </w:rPr>
        <w:t xml:space="preserve"> Just to name a few examples, Thirlwall (1986), Mathur (1990), Hatton &amp; Williamson (1991), Blunch &amp; Verner (2006), Tiffin &amp; Dawson (2003) and Kanwar (2000) study sectoral growth, shock persistence, and other related topics using the same theoretical framework and methodology I employ in this paper (or some variation of it).</w:t>
      </w:r>
    </w:p>
  </w:footnote>
  <w:footnote w:id="15">
    <w:p>
      <w:pPr>
        <w:pStyle w:val="Footnote Text"/>
      </w:pPr>
      <w:r>
        <w:rPr>
          <w:vertAlign w:val="superscript"/>
        </w:rPr>
        <w:footnoteRef/>
      </w:r>
      <w:r>
        <w:rPr>
          <w:rFonts w:cs="Arial Unicode MS" w:eastAsia="Arial Unicode MS"/>
          <w:rtl w:val="0"/>
        </w:rPr>
        <w:t xml:space="preserve"> Kelley, Williamson, &amp; Cheetham (1972, p. 8).</w:t>
      </w:r>
    </w:p>
  </w:footnote>
  <w:footnote w:id="16">
    <w:p>
      <w:pPr>
        <w:pStyle w:val="Footnote Text"/>
      </w:pPr>
      <w:r>
        <w:rPr>
          <w:vertAlign w:val="superscript"/>
        </w:rPr>
        <w:footnoteRef/>
      </w:r>
      <w:r>
        <w:rPr>
          <w:rFonts w:cs="Arial Unicode MS" w:eastAsia="Arial Unicode MS"/>
          <w:rtl w:val="0"/>
        </w:rPr>
        <w:t xml:space="preserve"> This is a stylized theory. Of course, in reality, there are other economic activities such as logging, mining and others. Given its dependence on capital, mining has always been considered industrial. The Chilean case illustrates this.</w:t>
      </w:r>
    </w:p>
  </w:footnote>
  <w:footnote w:id="17">
    <w:p>
      <w:pPr>
        <w:pStyle w:val="Footnote Text"/>
      </w:pPr>
      <w:r>
        <w:rPr>
          <w:vertAlign w:val="superscript"/>
        </w:rPr>
        <w:footnoteRef/>
      </w:r>
      <w:r>
        <w:rPr>
          <w:rFonts w:cs="Arial Unicode MS" w:eastAsia="Arial Unicode MS"/>
          <w:rtl w:val="0"/>
        </w:rPr>
        <w:t xml:space="preserve"> Emphasis is mine.</w:t>
      </w:r>
    </w:p>
  </w:footnote>
  <w:footnote w:id="18">
    <w:p>
      <w:pPr>
        <w:pStyle w:val="Footnote Text"/>
      </w:pPr>
      <w:r>
        <w:rPr>
          <w:vertAlign w:val="superscript"/>
        </w:rPr>
        <w:footnoteRef/>
      </w:r>
      <w:r>
        <w:rPr>
          <w:rFonts w:cs="Arial Unicode MS" w:eastAsia="Arial Unicode MS"/>
          <w:rtl w:val="0"/>
        </w:rPr>
        <w:t xml:space="preserve"> Streeten (1959, p. 169). Emphasis is mine.</w:t>
      </w:r>
    </w:p>
  </w:footnote>
  <w:footnote w:id="19">
    <w:p>
      <w:pPr>
        <w:pStyle w:val="Footnote Text"/>
      </w:pPr>
      <w:r>
        <w:rPr>
          <w:vertAlign w:val="superscript"/>
        </w:rPr>
        <w:footnoteRef/>
      </w:r>
      <w:r>
        <w:rPr>
          <w:rFonts w:cs="Arial Unicode MS" w:eastAsia="Arial Unicode MS"/>
          <w:rtl w:val="0"/>
        </w:rPr>
        <w:t xml:space="preserve"> Galenson (1963, pp. 506</w:t>
      </w:r>
      <w:r>
        <w:rPr>
          <w:rFonts w:cs="Arial Unicode MS" w:eastAsia="Arial Unicode MS" w:hint="default"/>
          <w:rtl w:val="0"/>
        </w:rPr>
        <w:t>–</w:t>
      </w:r>
      <w:r>
        <w:rPr>
          <w:rFonts w:cs="Arial Unicode MS" w:eastAsia="Arial Unicode MS"/>
          <w:rtl w:val="0"/>
        </w:rPr>
        <w:t>507, 513) and Baer &amp; Herve (1966, pp. 95</w:t>
      </w:r>
      <w:r>
        <w:rPr>
          <w:rFonts w:cs="Arial Unicode MS" w:eastAsia="Arial Unicode MS" w:hint="default"/>
          <w:rtl w:val="0"/>
        </w:rPr>
        <w:t>–</w:t>
      </w:r>
      <w:r>
        <w:rPr>
          <w:rFonts w:cs="Arial Unicode MS" w:eastAsia="Arial Unicode MS"/>
          <w:rtl w:val="0"/>
        </w:rPr>
        <w:t>96).</w:t>
      </w:r>
    </w:p>
  </w:footnote>
  <w:footnote w:id="20">
    <w:p>
      <w:pPr>
        <w:pStyle w:val="Footnote Text"/>
      </w:pPr>
      <w:r>
        <w:rPr>
          <w:vertAlign w:val="superscript"/>
        </w:rPr>
        <w:footnoteRef/>
      </w:r>
      <w:r>
        <w:rPr>
          <w:rFonts w:cs="Arial Unicode MS" w:eastAsia="Arial Unicode MS"/>
          <w:rtl w:val="0"/>
        </w:rPr>
        <w:t xml:space="preserve"> Johnston &amp; Mellor (1961, p. 567) argue that this process </w:t>
      </w:r>
      <w:r>
        <w:rPr>
          <w:rFonts w:cs="Arial Unicode MS" w:eastAsia="Arial Unicode MS" w:hint="default"/>
          <w:rtl w:val="0"/>
        </w:rPr>
        <w:t>“</w:t>
      </w:r>
      <w:r>
        <w:rPr>
          <w:rFonts w:cs="Arial Unicode MS" w:eastAsia="Arial Unicode MS"/>
          <w:rtl w:val="0"/>
        </w:rPr>
        <w:t>seems to be a necessary condition for cumulative and self-sustaining growth.</w:t>
      </w:r>
      <w:r>
        <w:rPr>
          <w:rFonts w:cs="Arial Unicode MS" w:eastAsia="Arial Unicode MS" w:hint="default"/>
          <w:rtl w:val="0"/>
        </w:rPr>
        <w:t>”</w:t>
      </w:r>
    </w:p>
  </w:footnote>
  <w:footnote w:id="21">
    <w:p>
      <w:pPr>
        <w:pStyle w:val="Footnote Text"/>
      </w:pPr>
      <w:r>
        <w:rPr>
          <w:vertAlign w:val="superscript"/>
        </w:rPr>
        <w:footnoteRef/>
      </w:r>
      <w:r>
        <w:rPr>
          <w:rFonts w:cs="Arial Unicode MS" w:eastAsia="Arial Unicode MS"/>
          <w:rtl w:val="0"/>
        </w:rPr>
        <w:t xml:space="preserve"> Emphasis is mine.</w:t>
      </w:r>
    </w:p>
  </w:footnote>
  <w:footnote w:id="22">
    <w:p>
      <w:pPr>
        <w:pStyle w:val="Footnote Text"/>
      </w:pPr>
      <w:r>
        <w:rPr>
          <w:vertAlign w:val="superscript"/>
        </w:rPr>
        <w:footnoteRef/>
      </w:r>
      <w:r>
        <w:rPr>
          <w:rFonts w:cs="Arial Unicode MS" w:eastAsia="Arial Unicode MS"/>
          <w:rtl w:val="0"/>
        </w:rPr>
        <w:t xml:space="preserve"> And while agriculture also needs capital, its </w:t>
      </w:r>
      <w:r>
        <w:rPr>
          <w:rFonts w:ascii="Helvetica" w:hAnsi="Helvetica"/>
          <w:i w:val="1"/>
          <w:iCs w:val="1"/>
          <w:rtl w:val="0"/>
          <w:lang w:val="en-US"/>
        </w:rPr>
        <w:t>main</w:t>
      </w:r>
      <w:r>
        <w:rPr>
          <w:rFonts w:cs="Arial Unicode MS" w:eastAsia="Arial Unicode MS"/>
          <w:rtl w:val="0"/>
        </w:rPr>
        <w:t xml:space="preserve"> input is land.</w:t>
      </w:r>
    </w:p>
  </w:footnote>
  <w:footnote w:id="23">
    <w:p>
      <w:pPr>
        <w:pStyle w:val="Footnote Text"/>
      </w:pPr>
      <w:r>
        <w:rPr>
          <w:vertAlign w:val="superscript"/>
        </w:rPr>
        <w:footnoteRef/>
      </w:r>
      <w:r>
        <w:rPr>
          <w:rFonts w:cs="Arial Unicode MS" w:eastAsia="Arial Unicode MS"/>
          <w:rtl w:val="0"/>
        </w:rPr>
        <w:t xml:space="preserve"> Emphasis is mine.</w:t>
      </w:r>
    </w:p>
  </w:footnote>
  <w:footnote w:id="24">
    <w:p>
      <w:pPr>
        <w:pStyle w:val="Footnote Text"/>
      </w:pPr>
      <w:r>
        <w:rPr>
          <w:vertAlign w:val="superscript"/>
        </w:rPr>
        <w:footnoteRef/>
      </w:r>
      <w:r>
        <w:rPr>
          <w:rFonts w:cs="Arial Unicode MS" w:eastAsia="Arial Unicode MS"/>
          <w:rtl w:val="0"/>
        </w:rPr>
        <w:t xml:space="preserve"> In fact Landon-Lane &amp; Robertson (2003, p. 2) find that an important source of growth in developing economies is </w:t>
      </w:r>
      <w:r>
        <w:rPr>
          <w:rFonts w:cs="Arial Unicode MS" w:eastAsia="Arial Unicode MS" w:hint="default"/>
          <w:rtl w:val="0"/>
        </w:rPr>
        <w:t>“</w:t>
      </w:r>
      <w:r>
        <w:rPr>
          <w:rFonts w:cs="Arial Unicode MS" w:eastAsia="Arial Unicode MS"/>
          <w:rtl w:val="0"/>
        </w:rPr>
        <w:t>derived through the reallocation of resources [particularly] by drawing labour moving out of traditional sector employment into the modern sector.</w:t>
      </w:r>
      <w:r>
        <w:rPr>
          <w:rFonts w:cs="Arial Unicode MS" w:eastAsia="Arial Unicode MS" w:hint="default"/>
          <w:rtl w:val="0"/>
        </w:rPr>
        <w:t>”</w:t>
      </w:r>
    </w:p>
  </w:footnote>
  <w:footnote w:id="25">
    <w:p>
      <w:pPr>
        <w:pStyle w:val="Footnote Text"/>
      </w:pPr>
      <w:r>
        <w:rPr>
          <w:vertAlign w:val="superscript"/>
        </w:rPr>
        <w:footnoteRef/>
      </w:r>
      <w:r>
        <w:rPr>
          <w:rFonts w:cs="Arial Unicode MS" w:eastAsia="Arial Unicode MS"/>
          <w:rtl w:val="0"/>
        </w:rPr>
        <w:t xml:space="preserve"> Kelley et al. (1972, p. 133).</w:t>
      </w:r>
    </w:p>
  </w:footnote>
  <w:footnote w:id="26">
    <w:p>
      <w:pPr>
        <w:pStyle w:val="Footnote Text"/>
      </w:pPr>
      <w:r>
        <w:rPr>
          <w:vertAlign w:val="superscript"/>
        </w:rPr>
        <w:footnoteRef/>
      </w:r>
      <w:r>
        <w:rPr>
          <w:rFonts w:cs="Arial Unicode MS" w:eastAsia="Arial Unicode MS"/>
          <w:rtl w:val="0"/>
        </w:rPr>
        <w:t xml:space="preserve"> Ranis &amp; Fei (1964, p. 62).</w:t>
      </w:r>
    </w:p>
  </w:footnote>
  <w:footnote w:id="27">
    <w:p>
      <w:pPr>
        <w:pStyle w:val="Footnote Text"/>
      </w:pPr>
      <w:r>
        <w:rPr>
          <w:vertAlign w:val="superscript"/>
        </w:rPr>
        <w:footnoteRef/>
      </w:r>
      <w:r>
        <w:rPr>
          <w:rFonts w:cs="Arial Unicode MS" w:eastAsia="Arial Unicode MS"/>
          <w:rtl w:val="0"/>
        </w:rPr>
        <w:t xml:space="preserve"> Johnston &amp; Mellor (1961, p. 571) and Johnston (1951, pp. 507</w:t>
      </w:r>
      <w:r>
        <w:rPr>
          <w:rFonts w:cs="Arial Unicode MS" w:eastAsia="Arial Unicode MS" w:hint="default"/>
          <w:rtl w:val="0"/>
        </w:rPr>
        <w:t>–</w:t>
      </w:r>
      <w:r>
        <w:rPr>
          <w:rFonts w:cs="Arial Unicode MS" w:eastAsia="Arial Unicode MS"/>
          <w:rtl w:val="0"/>
        </w:rPr>
        <w:t>508). Similarly Caselli (2005, p. 723) explains that poorer economies have inefficient agricultural sectors which at the same time are the mayor source of employment.</w:t>
      </w:r>
    </w:p>
  </w:footnote>
  <w:footnote w:id="28">
    <w:p>
      <w:pPr>
        <w:pStyle w:val="Footnote Text"/>
      </w:pPr>
      <w:r>
        <w:rPr>
          <w:vertAlign w:val="superscript"/>
        </w:rPr>
        <w:footnoteRef/>
      </w:r>
      <w:r>
        <w:rPr>
          <w:rFonts w:cs="Arial Unicode MS" w:eastAsia="Arial Unicode MS"/>
          <w:rtl w:val="0"/>
        </w:rPr>
        <w:t xml:space="preserve"> Ranis &amp; Fei (1964, p. 7) and Leibenstein (1957a, p. 51).</w:t>
      </w:r>
    </w:p>
  </w:footnote>
  <w:footnote w:id="29">
    <w:p>
      <w:pPr>
        <w:pStyle w:val="Footnote Text"/>
      </w:pPr>
      <w:r>
        <w:rPr>
          <w:vertAlign w:val="superscript"/>
        </w:rPr>
        <w:footnoteRef/>
      </w:r>
      <w:r>
        <w:rPr>
          <w:rFonts w:cs="Arial Unicode MS" w:eastAsia="Arial Unicode MS"/>
          <w:rtl w:val="0"/>
        </w:rPr>
        <w:t xml:space="preserve"> Similarly, Matsuyama (1991, pp. 621</w:t>
      </w:r>
      <w:r>
        <w:rPr>
          <w:rFonts w:cs="Arial Unicode MS" w:eastAsia="Arial Unicode MS" w:hint="default"/>
          <w:rtl w:val="0"/>
        </w:rPr>
        <w:t>–</w:t>
      </w:r>
      <w:r>
        <w:rPr>
          <w:rFonts w:cs="Arial Unicode MS" w:eastAsia="Arial Unicode MS"/>
          <w:rtl w:val="0"/>
        </w:rPr>
        <w:t xml:space="preserve">622) points out that </w:t>
      </w:r>
      <w:r>
        <w:rPr>
          <w:rFonts w:cs="Arial Unicode MS" w:eastAsia="Arial Unicode MS" w:hint="default"/>
          <w:rtl w:val="0"/>
        </w:rPr>
        <w:t>“</w:t>
      </w:r>
      <w:r>
        <w:rPr>
          <w:rFonts w:cs="Arial Unicode MS" w:eastAsia="Arial Unicode MS"/>
          <w:rtl w:val="0"/>
        </w:rPr>
        <w:t>[i]ndustrialization [</w:t>
      </w:r>
      <w:r>
        <w:rPr>
          <w:rFonts w:ascii="Helvetica" w:hAnsi="Helvetica"/>
          <w:i w:val="1"/>
          <w:iCs w:val="1"/>
          <w:rtl w:val="0"/>
          <w:lang w:val="en-US"/>
        </w:rPr>
        <w:t>consists of</w:t>
      </w:r>
      <w:r>
        <w:rPr>
          <w:rFonts w:cs="Arial Unicode MS" w:eastAsia="Arial Unicode MS"/>
          <w:rtl w:val="0"/>
        </w:rPr>
        <w:t>] a shift of resources from agriculture to manufacturing.</w:t>
      </w:r>
      <w:r>
        <w:rPr>
          <w:rFonts w:cs="Arial Unicode MS" w:eastAsia="Arial Unicode MS" w:hint="default"/>
          <w:rtl w:val="0"/>
        </w:rPr>
        <w:t>”</w:t>
      </w:r>
    </w:p>
  </w:footnote>
  <w:footnote w:id="30">
    <w:p>
      <w:pPr>
        <w:pStyle w:val="Footnote Text"/>
      </w:pPr>
      <w:r>
        <w:rPr>
          <w:vertAlign w:val="superscript"/>
        </w:rPr>
        <w:footnoteRef/>
      </w:r>
      <w:r>
        <w:rPr>
          <w:rFonts w:cs="Arial Unicode MS" w:eastAsia="Arial Unicode MS"/>
          <w:rtl w:val="0"/>
        </w:rPr>
        <w:t xml:space="preserve"> Ranis &amp; Fei (1964, p. 114) argue that </w:t>
      </w:r>
      <w:r>
        <w:rPr>
          <w:rFonts w:cs="Arial Unicode MS" w:eastAsia="Arial Unicode MS" w:hint="default"/>
          <w:rtl w:val="0"/>
        </w:rPr>
        <w:t>“</w:t>
      </w:r>
      <w:r>
        <w:rPr>
          <w:rFonts w:cs="Arial Unicode MS" w:eastAsia="Arial Unicode MS"/>
          <w:rtl w:val="0"/>
        </w:rPr>
        <w:t xml:space="preserve">labor reallocation [...] is the </w:t>
      </w:r>
      <w:r>
        <w:rPr>
          <w:rFonts w:ascii="Helvetica" w:hAnsi="Helvetica"/>
          <w:i w:val="1"/>
          <w:iCs w:val="1"/>
          <w:rtl w:val="0"/>
          <w:lang w:val="en-US"/>
        </w:rPr>
        <w:t>inevitable</w:t>
      </w:r>
      <w:r>
        <w:rPr>
          <w:rFonts w:cs="Arial Unicode MS" w:eastAsia="Arial Unicode MS"/>
          <w:rtl w:val="0"/>
        </w:rPr>
        <w:t xml:space="preserve"> and </w:t>
      </w:r>
      <w:r>
        <w:rPr>
          <w:rFonts w:ascii="Helvetica" w:hAnsi="Helvetica"/>
          <w:i w:val="1"/>
          <w:iCs w:val="1"/>
          <w:rtl w:val="0"/>
          <w:lang w:val="en-US"/>
        </w:rPr>
        <w:t>natural</w:t>
      </w:r>
      <w:r>
        <w:rPr>
          <w:rFonts w:cs="Arial Unicode MS" w:eastAsia="Arial Unicode MS"/>
          <w:rtl w:val="0"/>
        </w:rPr>
        <w:t xml:space="preserve"> consequence of the continuous expansion of agricultural labor productivity.</w:t>
      </w:r>
      <w:r>
        <w:rPr>
          <w:rFonts w:cs="Arial Unicode MS" w:eastAsia="Arial Unicode MS" w:hint="default"/>
          <w:rtl w:val="0"/>
        </w:rPr>
        <w:t xml:space="preserve">” </w:t>
      </w:r>
      <w:r>
        <w:rPr>
          <w:rFonts w:cs="Arial Unicode MS" w:eastAsia="Arial Unicode MS"/>
          <w:rtl w:val="0"/>
        </w:rPr>
        <w:t>Emphases are mine.</w:t>
      </w:r>
    </w:p>
  </w:footnote>
  <w:footnote w:id="31">
    <w:p>
      <w:pPr>
        <w:pStyle w:val="Footnote Text"/>
      </w:pPr>
      <w:r>
        <w:rPr>
          <w:vertAlign w:val="superscript"/>
        </w:rPr>
        <w:footnoteRef/>
      </w:r>
      <w:r>
        <w:rPr>
          <w:rFonts w:cs="Arial Unicode MS" w:eastAsia="Arial Unicode MS"/>
          <w:rtl w:val="0"/>
        </w:rPr>
        <w:t xml:space="preserve"> Emphasis is mine.</w:t>
      </w:r>
    </w:p>
  </w:footnote>
  <w:footnote w:id="32">
    <w:p>
      <w:pPr>
        <w:pStyle w:val="Footnote Text"/>
      </w:pPr>
      <w:r>
        <w:rPr>
          <w:vertAlign w:val="superscript"/>
        </w:rPr>
        <w:footnoteRef/>
      </w:r>
      <w:r>
        <w:rPr>
          <w:rFonts w:cs="Arial Unicode MS" w:eastAsia="Arial Unicode MS"/>
          <w:rtl w:val="0"/>
        </w:rPr>
        <w:t xml:space="preserve"> See Ranis &amp; Fei (1964, p. 203) and Jorgenson (1967, p. 289).</w:t>
      </w:r>
    </w:p>
  </w:footnote>
  <w:footnote w:id="33">
    <w:p>
      <w:pPr>
        <w:pStyle w:val="Footnote Text"/>
      </w:pPr>
      <w:r>
        <w:rPr>
          <w:vertAlign w:val="superscript"/>
        </w:rPr>
        <w:footnoteRef/>
      </w:r>
      <w:r>
        <w:rPr>
          <w:rFonts w:cs="Arial Unicode MS" w:eastAsia="Arial Unicode MS"/>
          <w:rtl w:val="0"/>
        </w:rPr>
        <w:t xml:space="preserve"> Or as Leibenstein (1957b, pp. 102</w:t>
      </w:r>
      <w:r>
        <w:rPr>
          <w:rFonts w:cs="Arial Unicode MS" w:eastAsia="Arial Unicode MS" w:hint="default"/>
          <w:rtl w:val="0"/>
        </w:rPr>
        <w:t>–</w:t>
      </w:r>
      <w:r>
        <w:rPr>
          <w:rFonts w:cs="Arial Unicode MS" w:eastAsia="Arial Unicode MS"/>
          <w:rtl w:val="0"/>
        </w:rPr>
        <w:t xml:space="preserve">103) puts it, </w:t>
      </w:r>
      <w:r>
        <w:rPr>
          <w:rFonts w:cs="Arial Unicode MS" w:eastAsia="Arial Unicode MS" w:hint="default"/>
          <w:rtl w:val="0"/>
        </w:rPr>
        <w:t>“</w:t>
      </w:r>
      <w:r>
        <w:rPr>
          <w:rFonts w:cs="Arial Unicode MS" w:eastAsia="Arial Unicode MS"/>
          <w:rtl w:val="0"/>
        </w:rPr>
        <w:t>where the existing labor supply could cultivate more land without loss of efficiency.</w:t>
      </w:r>
      <w:r>
        <w:rPr>
          <w:rFonts w:cs="Arial Unicode MS" w:eastAsia="Arial Unicode MS" w:hint="default"/>
          <w:rtl w:val="0"/>
        </w:rPr>
        <w:t xml:space="preserve">” </w:t>
      </w:r>
      <w:r>
        <w:rPr>
          <w:rFonts w:cs="Arial Unicode MS" w:eastAsia="Arial Unicode MS"/>
          <w:rtl w:val="0"/>
        </w:rPr>
        <w:t xml:space="preserve">In any case, Sen (1966) explains that a number of important predictions made by the dual sector model do not need this assumption to hold for the model to work. On a separate note, Ranis &amp; Fei (1964, p. 99), Skott &amp; Larudee (1998, p. 280) and Fields (2004, p. 730) argue that a pool of </w:t>
      </w:r>
      <w:r>
        <w:rPr>
          <w:rFonts w:ascii="Helvetica" w:hAnsi="Helvetica"/>
          <w:i w:val="1"/>
          <w:iCs w:val="1"/>
          <w:rtl w:val="0"/>
          <w:lang w:val="en-US"/>
        </w:rPr>
        <w:t>redundant</w:t>
      </w:r>
      <w:r>
        <w:rPr>
          <w:rFonts w:cs="Arial Unicode MS" w:eastAsia="Arial Unicode MS"/>
          <w:rtl w:val="0"/>
        </w:rPr>
        <w:t xml:space="preserve"> agricultural workers (a </w:t>
      </w:r>
      <w:r>
        <w:rPr>
          <w:rFonts w:cs="Arial Unicode MS" w:eastAsia="Arial Unicode MS" w:hint="default"/>
          <w:rtl w:val="0"/>
        </w:rPr>
        <w:t>‘</w:t>
      </w:r>
      <w:r>
        <w:rPr>
          <w:rFonts w:cs="Arial Unicode MS" w:eastAsia="Arial Unicode MS"/>
          <w:rtl w:val="0"/>
        </w:rPr>
        <w:t>reserve army</w:t>
      </w:r>
      <w:r>
        <w:rPr>
          <w:rFonts w:cs="Arial Unicode MS" w:eastAsia="Arial Unicode MS" w:hint="default"/>
          <w:rtl w:val="0"/>
        </w:rPr>
        <w:t>’</w:t>
      </w:r>
      <w:r>
        <w:rPr>
          <w:rFonts w:cs="Arial Unicode MS" w:eastAsia="Arial Unicode MS"/>
          <w:rtl w:val="0"/>
        </w:rPr>
        <w:t>) is what prevents a rise in industrial wages.</w:t>
      </w:r>
    </w:p>
  </w:footnote>
  <w:footnote w:id="34">
    <w:p>
      <w:pPr>
        <w:pStyle w:val="Footnote Text"/>
      </w:pPr>
      <w:r>
        <w:rPr>
          <w:vertAlign w:val="superscript"/>
        </w:rPr>
        <w:footnoteRef/>
      </w:r>
      <w:r>
        <w:rPr>
          <w:rFonts w:cs="Arial Unicode MS" w:eastAsia="Arial Unicode MS"/>
          <w:rtl w:val="0"/>
        </w:rPr>
        <w:t xml:space="preserve"> See Jorgenson (1961, p. 312) and Ranis &amp; Fei (1964, p. 157).</w:t>
      </w:r>
    </w:p>
  </w:footnote>
  <w:footnote w:id="35">
    <w:p>
      <w:pPr>
        <w:pStyle w:val="Footnote Text"/>
      </w:pPr>
      <w:r>
        <w:rPr>
          <w:vertAlign w:val="superscript"/>
        </w:rPr>
        <w:footnoteRef/>
      </w:r>
      <w:r>
        <w:rPr>
          <w:rFonts w:cs="Arial Unicode MS" w:eastAsia="Arial Unicode MS"/>
          <w:rtl w:val="0"/>
        </w:rPr>
        <w:t xml:space="preserve"> Ohkawa (1961, p. 21). Emphasis is mine.</w:t>
      </w:r>
    </w:p>
  </w:footnote>
  <w:footnote w:id="36">
    <w:p>
      <w:pPr>
        <w:pStyle w:val="Footnote Text"/>
      </w:pPr>
      <w:r>
        <w:rPr>
          <w:vertAlign w:val="superscript"/>
        </w:rPr>
        <w:footnoteRef/>
      </w:r>
      <w:r>
        <w:rPr>
          <w:rFonts w:cs="Arial Unicode MS" w:eastAsia="Arial Unicode MS"/>
          <w:rtl w:val="0"/>
        </w:rPr>
        <w:t xml:space="preserve"> See also Johnston &amp; Nielsen (1966, p. 280).</w:t>
      </w:r>
    </w:p>
  </w:footnote>
  <w:footnote w:id="37">
    <w:p>
      <w:pPr>
        <w:pStyle w:val="Footnote Text"/>
      </w:pPr>
      <w:r>
        <w:rPr>
          <w:vertAlign w:val="superscript"/>
        </w:rPr>
        <w:footnoteRef/>
      </w:r>
      <w:r>
        <w:rPr>
          <w:rFonts w:cs="Arial Unicode MS" w:eastAsia="Arial Unicode MS"/>
          <w:rtl w:val="0"/>
        </w:rPr>
        <w:t xml:space="preserve"> Kelley et al. (1972, p. 110).</w:t>
      </w:r>
    </w:p>
  </w:footnote>
  <w:footnote w:id="38">
    <w:p>
      <w:pPr>
        <w:pStyle w:val="Footnote Text"/>
      </w:pPr>
      <w:r>
        <w:rPr>
          <w:vertAlign w:val="superscript"/>
        </w:rPr>
        <w:footnoteRef/>
      </w:r>
      <w:r>
        <w:rPr>
          <w:rFonts w:cs="Arial Unicode MS" w:eastAsia="Arial Unicode MS"/>
          <w:rtl w:val="0"/>
        </w:rPr>
        <w:t xml:space="preserve"> Nerlove (1994, p. 14).</w:t>
      </w:r>
    </w:p>
  </w:footnote>
  <w:footnote w:id="39">
    <w:p>
      <w:pPr>
        <w:pStyle w:val="Footnote Text"/>
      </w:pPr>
      <w:r>
        <w:rPr>
          <w:vertAlign w:val="superscript"/>
        </w:rPr>
        <w:footnoteRef/>
      </w:r>
      <w:r>
        <w:rPr>
          <w:rFonts w:cs="Arial Unicode MS" w:eastAsia="Arial Unicode MS"/>
          <w:rtl w:val="0"/>
        </w:rPr>
        <w:t xml:space="preserve"> Kuznets (1961, p. 45).</w:t>
      </w:r>
    </w:p>
  </w:footnote>
  <w:footnote w:id="40">
    <w:p>
      <w:pPr>
        <w:pStyle w:val="Footnote Text"/>
      </w:pPr>
      <w:r>
        <w:rPr>
          <w:vertAlign w:val="superscript"/>
        </w:rPr>
        <w:footnoteRef/>
      </w:r>
      <w:r>
        <w:rPr>
          <w:rFonts w:cs="Arial Unicode MS" w:eastAsia="Arial Unicode MS"/>
          <w:rtl w:val="0"/>
        </w:rPr>
        <w:t xml:space="preserve"> Ranis &amp; Fei (1961, p. 534).</w:t>
      </w:r>
    </w:p>
  </w:footnote>
  <w:footnote w:id="41">
    <w:p>
      <w:pPr>
        <w:pStyle w:val="Footnote Text"/>
      </w:pPr>
      <w:r>
        <w:rPr>
          <w:vertAlign w:val="superscript"/>
        </w:rPr>
        <w:footnoteRef/>
      </w:r>
      <w:r>
        <w:rPr>
          <w:rFonts w:cs="Arial Unicode MS" w:eastAsia="Arial Unicode MS"/>
          <w:rtl w:val="0"/>
        </w:rPr>
        <w:t xml:space="preserve"> Nicholls (1963, p. 2).</w:t>
      </w:r>
    </w:p>
  </w:footnote>
  <w:footnote w:id="42">
    <w:p>
      <w:pPr>
        <w:pStyle w:val="Footnote Text"/>
      </w:pPr>
      <w:r>
        <w:rPr>
          <w:vertAlign w:val="superscript"/>
        </w:rPr>
        <w:footnoteRef/>
      </w:r>
      <w:r>
        <w:rPr>
          <w:rFonts w:cs="Arial Unicode MS" w:eastAsia="Arial Unicode MS"/>
          <w:rtl w:val="0"/>
        </w:rPr>
        <w:t xml:space="preserve"> This idea also applies for Mexico. </w:t>
      </w:r>
      <w:r>
        <w:rPr>
          <w:rFonts w:cs="Arial Unicode MS" w:eastAsia="Arial Unicode MS" w:hint="default"/>
          <w:rtl w:val="0"/>
        </w:rPr>
        <w:t>“</w:t>
      </w:r>
      <w:r>
        <w:rPr>
          <w:rFonts w:cs="Arial Unicode MS" w:eastAsia="Arial Unicode MS"/>
          <w:rtl w:val="0"/>
        </w:rPr>
        <w:t>The principal source of its wealth was not its mines, Humboldt noted, but agriculture.</w:t>
      </w:r>
      <w:r>
        <w:rPr>
          <w:rFonts w:cs="Arial Unicode MS" w:eastAsia="Arial Unicode MS" w:hint="default"/>
          <w:rtl w:val="0"/>
        </w:rPr>
        <w:t xml:space="preserve">” </w:t>
      </w:r>
      <w:r>
        <w:rPr>
          <w:rFonts w:cs="Arial Unicode MS" w:eastAsia="Arial Unicode MS"/>
          <w:rtl w:val="0"/>
        </w:rPr>
        <w:t>Amaral and Doringo, in Uribe-Uran (2001, p. 13).</w:t>
      </w:r>
    </w:p>
  </w:footnote>
  <w:footnote w:id="43">
    <w:p>
      <w:pPr>
        <w:pStyle w:val="Footnote Text"/>
      </w:pPr>
      <w:r>
        <w:rPr>
          <w:vertAlign w:val="superscript"/>
        </w:rPr>
        <w:footnoteRef/>
      </w:r>
      <w:r>
        <w:rPr>
          <w:rFonts w:cs="Arial Unicode MS" w:eastAsia="Arial Unicode MS"/>
          <w:rtl w:val="0"/>
        </w:rPr>
        <w:t xml:space="preserve"> See also McBride (1936, p. 15) who argues that </w:t>
      </w:r>
      <w:r>
        <w:rPr>
          <w:rFonts w:cs="Arial Unicode MS" w:eastAsia="Arial Unicode MS" w:hint="default"/>
          <w:rtl w:val="0"/>
        </w:rPr>
        <w:t>“</w:t>
      </w:r>
      <w:r>
        <w:rPr>
          <w:rFonts w:cs="Arial Unicode MS" w:eastAsia="Arial Unicode MS"/>
          <w:rtl w:val="0"/>
        </w:rPr>
        <w:t>Chile</w:t>
      </w:r>
      <w:r>
        <w:rPr>
          <w:rFonts w:cs="Arial Unicode MS" w:eastAsia="Arial Unicode MS" w:hint="default"/>
          <w:rtl w:val="0"/>
        </w:rPr>
        <w:t>’</w:t>
      </w:r>
      <w:r>
        <w:rPr>
          <w:rFonts w:cs="Arial Unicode MS" w:eastAsia="Arial Unicode MS"/>
          <w:rtl w:val="0"/>
        </w:rPr>
        <w:t>s people live on the soil. Her life is agricultural to the core. Her government has always been of farm owners. Her Congress is made up chiefly of rich landlords. Social life is dominated by families whose proudest possession is the ancestral estate.</w:t>
      </w:r>
      <w:r>
        <w:rPr>
          <w:rFonts w:cs="Arial Unicode MS" w:eastAsia="Arial Unicode MS" w:hint="default"/>
          <w:rtl w:val="0"/>
        </w:rPr>
        <w:t>”</w:t>
      </w:r>
    </w:p>
  </w:footnote>
  <w:footnote w:id="44">
    <w:p>
      <w:pPr>
        <w:pStyle w:val="Footnote Text"/>
      </w:pPr>
      <w:r>
        <w:rPr>
          <w:vertAlign w:val="superscript"/>
        </w:rPr>
        <w:footnoteRef/>
      </w:r>
      <w:r>
        <w:rPr>
          <w:rFonts w:cs="Arial Unicode MS" w:eastAsia="Arial Unicode MS"/>
          <w:rtl w:val="0"/>
        </w:rPr>
        <w:t xml:space="preserve"> Bauer (2008, p. 45).</w:t>
      </w:r>
    </w:p>
  </w:footnote>
  <w:footnote w:id="45">
    <w:p>
      <w:pPr>
        <w:pStyle w:val="Footnote Text"/>
      </w:pPr>
      <w:r>
        <w:rPr>
          <w:vertAlign w:val="superscript"/>
        </w:rPr>
        <w:footnoteRef/>
      </w:r>
      <w:r>
        <w:rPr>
          <w:rFonts w:cs="Arial Unicode MS" w:eastAsia="Arial Unicode MS"/>
          <w:rtl w:val="0"/>
        </w:rPr>
        <w:t xml:space="preserve"> Weaver (1980, p. 107).</w:t>
      </w:r>
    </w:p>
  </w:footnote>
  <w:footnote w:id="46">
    <w:p>
      <w:pPr>
        <w:pStyle w:val="Footnote Text"/>
      </w:pPr>
      <w:r>
        <w:rPr>
          <w:vertAlign w:val="superscript"/>
        </w:rPr>
        <w:footnoteRef/>
      </w:r>
      <w:r>
        <w:rPr>
          <w:rFonts w:cs="Arial Unicode MS" w:eastAsia="Arial Unicode MS"/>
          <w:rtl w:val="0"/>
        </w:rPr>
        <w:t xml:space="preserve"> Collier &amp; Collier (2002, p. 109).</w:t>
      </w:r>
    </w:p>
  </w:footnote>
  <w:footnote w:id="47">
    <w:p>
      <w:pPr>
        <w:pStyle w:val="Footnote Text"/>
      </w:pPr>
      <w:r>
        <w:rPr>
          <w:vertAlign w:val="superscript"/>
        </w:rPr>
        <w:footnoteRef/>
      </w:r>
      <w:r>
        <w:rPr>
          <w:rFonts w:cs="Arial Unicode MS" w:eastAsia="Arial Unicode MS"/>
          <w:rtl w:val="0"/>
        </w:rPr>
        <w:t xml:space="preserve"> Zeitlin (1984, p. 23) argues that the civil wars challenged a </w:t>
      </w:r>
      <w:r>
        <w:rPr>
          <w:rFonts w:cs="Arial Unicode MS" w:eastAsia="Arial Unicode MS" w:hint="default"/>
          <w:rtl w:val="0"/>
        </w:rPr>
        <w:t>“</w:t>
      </w:r>
      <w:r>
        <w:rPr>
          <w:rFonts w:cs="Arial Unicode MS" w:eastAsia="Arial Unicode MS"/>
          <w:rtl w:val="0"/>
        </w:rPr>
        <w:t>large landed property [elite against a] productive capital [elite].</w:t>
      </w:r>
      <w:r>
        <w:rPr>
          <w:rFonts w:cs="Arial Unicode MS" w:eastAsia="Arial Unicode MS" w:hint="default"/>
          <w:rtl w:val="0"/>
        </w:rPr>
        <w:t>”</w:t>
      </w:r>
    </w:p>
  </w:footnote>
  <w:footnote w:id="48">
    <w:p>
      <w:pPr>
        <w:pStyle w:val="Footnote Text"/>
      </w:pPr>
      <w:r>
        <w:rPr>
          <w:vertAlign w:val="superscript"/>
        </w:rPr>
        <w:footnoteRef/>
      </w:r>
      <w:r>
        <w:rPr>
          <w:rFonts w:cs="Arial Unicode MS" w:eastAsia="Arial Unicode MS"/>
          <w:rtl w:val="0"/>
        </w:rPr>
        <w:t xml:space="preserve"> Boix (2015).</w:t>
      </w:r>
    </w:p>
  </w:footnote>
  <w:footnote w:id="49">
    <w:p>
      <w:pPr>
        <w:pStyle w:val="Footnote Text"/>
      </w:pPr>
      <w:r>
        <w:rPr>
          <w:vertAlign w:val="superscript"/>
        </w:rPr>
        <w:footnoteRef/>
      </w:r>
      <w:r>
        <w:rPr>
          <w:rFonts w:cs="Arial Unicode MS" w:eastAsia="Arial Unicode MS"/>
          <w:rtl w:val="0"/>
        </w:rPr>
        <w:t xml:space="preserve"> Richard Salvucci in Uribe-Uran (2001, p. 48).</w:t>
      </w:r>
    </w:p>
  </w:footnote>
  <w:footnote w:id="50">
    <w:p>
      <w:pPr>
        <w:pStyle w:val="Footnote Text"/>
      </w:pPr>
      <w:r>
        <w:rPr>
          <w:vertAlign w:val="superscript"/>
        </w:rPr>
        <w:footnoteRef/>
      </w:r>
      <w:r>
        <w:rPr>
          <w:rFonts w:cs="Arial Unicode MS" w:eastAsia="Arial Unicode MS"/>
          <w:rtl w:val="0"/>
        </w:rPr>
        <w:t xml:space="preserve"> Carmenza Gallo, in Brautigam, Fjeldstad, &amp; Moore (2008, p. 165). Emphases are mine. She refers specifically to nitrate producers, one of the first industrial productions.</w:t>
      </w:r>
    </w:p>
  </w:footnote>
  <w:footnote w:id="51">
    <w:p>
      <w:pPr>
        <w:pStyle w:val="Footnote Text"/>
      </w:pPr>
      <w:r>
        <w:rPr>
          <w:vertAlign w:val="superscript"/>
        </w:rPr>
        <w:footnoteRef/>
      </w:r>
      <w:r>
        <w:rPr>
          <w:rFonts w:cs="Arial Unicode MS" w:eastAsia="Arial Unicode MS"/>
          <w:rtl w:val="0"/>
        </w:rPr>
        <w:t xml:space="preserve"> Keller (1931, p. 231) argues that there existed in Chile a </w:t>
      </w:r>
      <w:r>
        <w:rPr>
          <w:rFonts w:cs="Arial Unicode MS" w:eastAsia="Arial Unicode MS" w:hint="default"/>
          <w:rtl w:val="0"/>
        </w:rPr>
        <w:t>“</w:t>
      </w:r>
      <w:r>
        <w:rPr>
          <w:rFonts w:cs="Arial Unicode MS" w:eastAsia="Arial Unicode MS"/>
          <w:rtl w:val="0"/>
        </w:rPr>
        <w:t>lack of scientific and technical knowledge</w:t>
      </w:r>
      <w:r>
        <w:rPr>
          <w:rFonts w:cs="Arial Unicode MS" w:eastAsia="Arial Unicode MS" w:hint="default"/>
          <w:rtl w:val="0"/>
        </w:rPr>
        <w:t xml:space="preserve">” </w:t>
      </w:r>
      <w:r>
        <w:rPr>
          <w:rFonts w:cs="Arial Unicode MS" w:eastAsia="Arial Unicode MS"/>
          <w:rtl w:val="0"/>
        </w:rPr>
        <w:t>in the agricultural sector. My translation.</w:t>
      </w:r>
    </w:p>
  </w:footnote>
  <w:footnote w:id="52">
    <w:p>
      <w:pPr>
        <w:pStyle w:val="Footnote Text"/>
      </w:pPr>
      <w:r>
        <w:rPr>
          <w:vertAlign w:val="superscript"/>
        </w:rPr>
        <w:footnoteRef/>
      </w:r>
      <w:r>
        <w:rPr>
          <w:rFonts w:cs="Arial Unicode MS" w:eastAsia="Arial Unicode MS"/>
          <w:rtl w:val="0"/>
        </w:rPr>
        <w:t xml:space="preserve"> Robles-Ortiz (2009, p. 499).</w:t>
      </w:r>
    </w:p>
  </w:footnote>
  <w:footnote w:id="53">
    <w:p>
      <w:pPr>
        <w:pStyle w:val="Footnote Text"/>
      </w:pPr>
      <w:r>
        <w:rPr>
          <w:vertAlign w:val="superscript"/>
        </w:rPr>
        <w:footnoteRef/>
      </w:r>
      <w:r>
        <w:rPr>
          <w:rFonts w:cs="Arial Unicode MS" w:eastAsia="Arial Unicode MS"/>
          <w:rtl w:val="0"/>
        </w:rPr>
        <w:t xml:space="preserve"> Segall (1962, p. 18).</w:t>
      </w:r>
    </w:p>
  </w:footnote>
  <w:footnote w:id="54">
    <w:p>
      <w:pPr>
        <w:pStyle w:val="Footnote Text"/>
      </w:pPr>
      <w:r>
        <w:rPr>
          <w:vertAlign w:val="superscript"/>
        </w:rPr>
        <w:footnoteRef/>
      </w:r>
      <w:r>
        <w:rPr>
          <w:rFonts w:cs="Arial Unicode MS" w:eastAsia="Arial Unicode MS"/>
          <w:rtl w:val="0"/>
        </w:rPr>
        <w:t xml:space="preserve"> Robles-Ortiz (2009, p. 503).</w:t>
      </w:r>
    </w:p>
  </w:footnote>
  <w:footnote w:id="55">
    <w:p>
      <w:pPr>
        <w:pStyle w:val="Footnote Text"/>
      </w:pPr>
      <w:r>
        <w:rPr>
          <w:vertAlign w:val="superscript"/>
        </w:rPr>
        <w:footnoteRef/>
      </w:r>
      <w:r>
        <w:rPr>
          <w:rFonts w:cs="Arial Unicode MS" w:eastAsia="Arial Unicode MS"/>
          <w:rtl w:val="0"/>
        </w:rPr>
        <w:t xml:space="preserve"> The same idea can be applied to the Colombian case. McGreevey (1971) explains that the two major exports comprised two agricultural produce, tobacco (1845-1975) and coffee (1890-1930). Importantly, the </w:t>
      </w:r>
      <w:r>
        <w:rPr>
          <w:rFonts w:cs="Arial Unicode MS" w:eastAsia="Arial Unicode MS" w:hint="default"/>
          <w:rtl w:val="0"/>
        </w:rPr>
        <w:t>“</w:t>
      </w:r>
      <w:r>
        <w:rPr>
          <w:rFonts w:cs="Arial Unicode MS" w:eastAsia="Arial Unicode MS"/>
          <w:rtl w:val="0"/>
        </w:rPr>
        <w:t>cultivation of coffee [...] created a class of agricultural smallholders.</w:t>
      </w:r>
      <w:r>
        <w:rPr>
          <w:rFonts w:cs="Arial Unicode MS" w:eastAsia="Arial Unicode MS" w:hint="default"/>
          <w:rtl w:val="0"/>
        </w:rPr>
        <w:t xml:space="preserve">” </w:t>
      </w:r>
      <w:r>
        <w:rPr>
          <w:rFonts w:cs="Arial Unicode MS" w:eastAsia="Arial Unicode MS"/>
          <w:rtl w:val="0"/>
        </w:rPr>
        <w:t>(p. 241).</w:t>
      </w:r>
    </w:p>
  </w:footnote>
  <w:footnote w:id="56">
    <w:p>
      <w:pPr>
        <w:pStyle w:val="Footnote Text"/>
      </w:pPr>
      <w:r>
        <w:rPr>
          <w:vertAlign w:val="superscript"/>
        </w:rPr>
        <w:footnoteRef/>
      </w:r>
      <w:r>
        <w:rPr>
          <w:rFonts w:cs="Arial Unicode MS" w:eastAsia="Arial Unicode MS"/>
          <w:rtl w:val="0"/>
        </w:rPr>
        <w:t xml:space="preserve"> Campos, Karanasos, &amp; Tan (2016, p. 209).</w:t>
      </w:r>
    </w:p>
  </w:footnote>
  <w:footnote w:id="57">
    <w:p>
      <w:pPr>
        <w:pStyle w:val="Footnote Text"/>
      </w:pPr>
      <w:r>
        <w:rPr>
          <w:vertAlign w:val="superscript"/>
        </w:rPr>
        <w:footnoteRef/>
      </w:r>
      <w:r>
        <w:rPr>
          <w:rFonts w:cs="Arial Unicode MS" w:eastAsia="Arial Unicode MS"/>
          <w:rtl w:val="0"/>
        </w:rPr>
        <w:t xml:space="preserve"> Emphases are mine.</w:t>
      </w:r>
    </w:p>
  </w:footnote>
  <w:footnote w:id="58">
    <w:p>
      <w:pPr>
        <w:pStyle w:val="Footnote Text"/>
      </w:pPr>
      <w:r>
        <w:rPr>
          <w:vertAlign w:val="superscript"/>
        </w:rPr>
        <w:footnoteRef/>
      </w:r>
      <w:r>
        <w:rPr>
          <w:rFonts w:cs="Arial Unicode MS" w:eastAsia="Arial Unicode MS"/>
          <w:rtl w:val="0"/>
        </w:rPr>
        <w:t xml:space="preserve"> Bulmer-Thomas (2003, p. 143).</w:t>
      </w:r>
    </w:p>
  </w:footnote>
  <w:footnote w:id="59">
    <w:p>
      <w:pPr>
        <w:pStyle w:val="Footnote Text"/>
      </w:pPr>
      <w:r>
        <w:rPr>
          <w:vertAlign w:val="superscript"/>
        </w:rPr>
        <w:footnoteRef/>
      </w:r>
      <w:r>
        <w:rPr>
          <w:rFonts w:cs="Arial Unicode MS" w:eastAsia="Arial Unicode MS"/>
          <w:rtl w:val="0"/>
        </w:rPr>
        <w:t xml:space="preserve"> Bulmer-Thomas (2003, p. 188).</w:t>
      </w:r>
    </w:p>
  </w:footnote>
  <w:footnote w:id="60">
    <w:p>
      <w:pPr>
        <w:pStyle w:val="Footnote Text"/>
      </w:pPr>
      <w:r>
        <w:rPr>
          <w:vertAlign w:val="superscript"/>
        </w:rPr>
        <w:footnoteRef/>
      </w:r>
      <w:r>
        <w:rPr>
          <w:rFonts w:cs="Arial Unicode MS" w:eastAsia="Arial Unicode MS"/>
          <w:rtl w:val="0"/>
        </w:rPr>
        <w:t xml:space="preserve"> Bulmer-Thomas (2003, p. 143).</w:t>
      </w:r>
    </w:p>
  </w:footnote>
  <w:footnote w:id="61">
    <w:p>
      <w:pPr>
        <w:pStyle w:val="Footnote Text"/>
      </w:pPr>
      <w:r>
        <w:rPr>
          <w:vertAlign w:val="superscript"/>
        </w:rPr>
        <w:footnoteRef/>
      </w:r>
      <w:r>
        <w:rPr>
          <w:rFonts w:cs="Arial Unicode MS" w:eastAsia="Arial Unicode MS"/>
          <w:rtl w:val="0"/>
        </w:rPr>
        <w:t xml:space="preserve"> D</w:t>
      </w:r>
      <w:r>
        <w:rPr>
          <w:rFonts w:cs="Arial Unicode MS" w:eastAsia="Arial Unicode MS" w:hint="default"/>
          <w:rtl w:val="0"/>
        </w:rPr>
        <w:t>í</w:t>
      </w:r>
      <w:r>
        <w:rPr>
          <w:rFonts w:cs="Arial Unicode MS" w:eastAsia="Arial Unicode MS"/>
          <w:rtl w:val="0"/>
        </w:rPr>
        <w:t>az-Alejandro (1967, p. 157).</w:t>
      </w:r>
    </w:p>
  </w:footnote>
  <w:footnote w:id="62">
    <w:p>
      <w:pPr>
        <w:pStyle w:val="Footnote Text"/>
      </w:pPr>
      <w:r>
        <w:rPr>
          <w:vertAlign w:val="superscript"/>
        </w:rPr>
        <w:footnoteRef/>
      </w:r>
      <w:r>
        <w:rPr>
          <w:rFonts w:cs="Arial Unicode MS" w:eastAsia="Arial Unicode MS"/>
          <w:rtl w:val="0"/>
        </w:rPr>
        <w:t xml:space="preserve"> D</w:t>
      </w:r>
      <w:r>
        <w:rPr>
          <w:rFonts w:cs="Arial Unicode MS" w:eastAsia="Arial Unicode MS" w:hint="default"/>
          <w:rtl w:val="0"/>
        </w:rPr>
        <w:t>í</w:t>
      </w:r>
      <w:r>
        <w:rPr>
          <w:rFonts w:cs="Arial Unicode MS" w:eastAsia="Arial Unicode MS"/>
          <w:rtl w:val="0"/>
        </w:rPr>
        <w:t>az-Alejandro (1970).</w:t>
      </w:r>
    </w:p>
  </w:footnote>
  <w:footnote w:id="63">
    <w:p>
      <w:pPr>
        <w:pStyle w:val="Footnote Text"/>
      </w:pPr>
      <w:r>
        <w:rPr>
          <w:vertAlign w:val="superscript"/>
        </w:rPr>
        <w:footnoteRef/>
      </w:r>
      <w:r>
        <w:rPr>
          <w:rFonts w:cs="Arial Unicode MS" w:eastAsia="Arial Unicode MS"/>
          <w:rtl w:val="0"/>
        </w:rPr>
        <w:t xml:space="preserve"> D</w:t>
      </w:r>
      <w:r>
        <w:rPr>
          <w:rFonts w:cs="Arial Unicode MS" w:eastAsia="Arial Unicode MS" w:hint="default"/>
          <w:rtl w:val="0"/>
        </w:rPr>
        <w:t>í</w:t>
      </w:r>
      <w:r>
        <w:rPr>
          <w:rFonts w:cs="Arial Unicode MS" w:eastAsia="Arial Unicode MS"/>
          <w:rtl w:val="0"/>
        </w:rPr>
        <w:t>az-Alejandro (1967, p. 157).</w:t>
      </w:r>
    </w:p>
  </w:footnote>
  <w:footnote w:id="64">
    <w:p>
      <w:pPr>
        <w:pStyle w:val="Footnote Text"/>
      </w:pPr>
      <w:r>
        <w:rPr>
          <w:vertAlign w:val="superscript"/>
        </w:rPr>
        <w:footnoteRef/>
      </w:r>
      <w:r>
        <w:rPr>
          <w:rFonts w:cs="Arial Unicode MS" w:eastAsia="Arial Unicode MS"/>
          <w:rtl w:val="0"/>
        </w:rPr>
        <w:t xml:space="preserve"> This is not an experimental design, and hence the term </w:t>
      </w:r>
      <w:r>
        <w:rPr>
          <w:rFonts w:cs="Arial Unicode MS" w:eastAsia="Arial Unicode MS" w:hint="default"/>
          <w:rtl w:val="0"/>
        </w:rPr>
        <w:t>‘</w:t>
      </w:r>
      <w:r>
        <w:rPr>
          <w:rFonts w:cs="Arial Unicode MS" w:eastAsia="Arial Unicode MS"/>
          <w:rtl w:val="0"/>
        </w:rPr>
        <w:t>causation</w:t>
      </w:r>
      <w:r>
        <w:rPr>
          <w:rFonts w:cs="Arial Unicode MS" w:eastAsia="Arial Unicode MS" w:hint="default"/>
          <w:rtl w:val="0"/>
        </w:rPr>
        <w:t xml:space="preserve">’ </w:t>
      </w:r>
      <w:r>
        <w:rPr>
          <w:rFonts w:cs="Arial Unicode MS" w:eastAsia="Arial Unicode MS"/>
          <w:rtl w:val="0"/>
        </w:rPr>
        <w:t>should be taken loosely. As Beck (1992, p. 241) explains, cointegration is not causal.</w:t>
      </w:r>
    </w:p>
  </w:footnote>
  <w:footnote w:id="65">
    <w:p>
      <w:pPr>
        <w:pStyle w:val="Footnote Text"/>
      </w:pPr>
      <w:r>
        <w:rPr>
          <w:vertAlign w:val="superscript"/>
        </w:rPr>
        <w:footnoteRef/>
      </w:r>
      <w:r>
        <w:rPr>
          <w:rFonts w:cs="Arial Unicode MS" w:eastAsia="Arial Unicode MS"/>
          <w:rtl w:val="0"/>
        </w:rPr>
        <w:t xml:space="preserve"> See Durr (1992, p. 197) for a similar definition.</w:t>
      </w:r>
    </w:p>
  </w:footnote>
  <w:footnote w:id="66">
    <w:p>
      <w:pPr>
        <w:pStyle w:val="Footnote Text"/>
      </w:pPr>
      <w:r>
        <w:rPr>
          <w:vertAlign w:val="superscript"/>
        </w:rPr>
        <w:footnoteRef/>
      </w:r>
      <w:r>
        <w:rPr>
          <w:rFonts w:cs="Arial Unicode MS" w:eastAsia="Arial Unicode MS"/>
          <w:rtl w:val="0"/>
        </w:rPr>
        <w:t xml:space="preserve"> The former measures </w:t>
      </w:r>
      <w:r>
        <w:rPr>
          <w:rFonts w:cs="Arial Unicode MS" w:eastAsia="Arial Unicode MS" w:hint="default"/>
          <w:rtl w:val="0"/>
        </w:rPr>
        <w:t>“</w:t>
      </w:r>
      <w:r>
        <w:rPr>
          <w:rFonts w:cs="Arial Unicode MS" w:eastAsia="Arial Unicode MS"/>
          <w:rtl w:val="0"/>
        </w:rPr>
        <w:t>the output of the sector net of intermediate inputs and includes the cultivation of crops, livestock production, hunting, forestry and fishing.</w:t>
      </w:r>
      <w:r>
        <w:rPr>
          <w:rFonts w:cs="Arial Unicode MS" w:eastAsia="Arial Unicode MS" w:hint="default"/>
          <w:rtl w:val="0"/>
        </w:rPr>
        <w:t xml:space="preserve">” </w:t>
      </w:r>
      <w:r>
        <w:rPr>
          <w:rFonts w:cs="Arial Unicode MS" w:eastAsia="Arial Unicode MS"/>
          <w:rtl w:val="0"/>
        </w:rPr>
        <w:t xml:space="preserve">The later </w:t>
      </w:r>
      <w:r>
        <w:rPr>
          <w:rFonts w:cs="Arial Unicode MS" w:eastAsia="Arial Unicode MS" w:hint="default"/>
          <w:rtl w:val="0"/>
        </w:rPr>
        <w:t>“</w:t>
      </w:r>
      <w:r>
        <w:rPr>
          <w:rFonts w:cs="Arial Unicode MS" w:eastAsia="Arial Unicode MS"/>
          <w:rtl w:val="0"/>
        </w:rPr>
        <w:t>[r]eports the output of the sector net of intermediate inputs.</w:t>
      </w:r>
      <w:r>
        <w:rPr>
          <w:rFonts w:cs="Arial Unicode MS" w:eastAsia="Arial Unicode MS" w:hint="default"/>
          <w:rtl w:val="0"/>
        </w:rPr>
        <w:t>”</w:t>
      </w:r>
    </w:p>
  </w:footnote>
  <w:footnote w:id="67">
    <w:p>
      <w:pPr>
        <w:pStyle w:val="Footnote Text"/>
      </w:pPr>
      <w:r>
        <w:rPr>
          <w:vertAlign w:val="superscript"/>
        </w:rPr>
        <w:footnoteRef/>
      </w:r>
      <w:r>
        <w:rPr>
          <w:rFonts w:cs="Arial Unicode MS" w:eastAsia="Arial Unicode MS"/>
          <w:rtl w:val="0"/>
        </w:rPr>
        <w:t xml:space="preserve"> According to Astorga, Berges, &amp; Fitzgerald (2005, p. 790), this dataset provides extended </w:t>
      </w:r>
      <w:r>
        <w:rPr>
          <w:rFonts w:ascii="Helvetica" w:hAnsi="Helvetica"/>
          <w:i w:val="1"/>
          <w:iCs w:val="1"/>
          <w:rtl w:val="0"/>
          <w:lang w:val="en-US"/>
        </w:rPr>
        <w:t>comparable</w:t>
      </w:r>
      <w:r>
        <w:rPr>
          <w:rFonts w:cs="Arial Unicode MS" w:eastAsia="Arial Unicode MS"/>
          <w:rtl w:val="0"/>
        </w:rPr>
        <w:t xml:space="preserve"> sectoral value-added series in constant purchasing power parity prices.</w:t>
      </w:r>
    </w:p>
  </w:footnote>
  <w:footnote w:id="68">
    <w:p>
      <w:pPr>
        <w:pStyle w:val="Footnote Text"/>
      </w:pPr>
      <w:r>
        <w:rPr>
          <w:vertAlign w:val="superscript"/>
        </w:rPr>
        <w:footnoteRef/>
      </w:r>
      <w:r>
        <w:rPr>
          <w:rFonts w:cs="Arial Unicode MS" w:eastAsia="Arial Unicode MS"/>
          <w:rtl w:val="0"/>
        </w:rPr>
        <w:t xml:space="preserve"> Some countries implemented some kind of income tax before, however these laws lacked enforcement, they were weak or not at all followed. In in the Appendix section I establish the year that the literature seems to agree for when the law was implemented and properly enforced.</w:t>
      </w:r>
    </w:p>
  </w:footnote>
  <w:footnote w:id="69">
    <w:p>
      <w:pPr>
        <w:pStyle w:val="Footnote Text"/>
      </w:pPr>
      <w:r>
        <w:rPr>
          <w:vertAlign w:val="superscript"/>
        </w:rPr>
        <w:footnoteRef/>
      </w:r>
      <w:r>
        <w:rPr>
          <w:rFonts w:cs="Arial Unicode MS" w:eastAsia="Arial Unicode MS"/>
          <w:rtl w:val="0"/>
        </w:rPr>
        <w:t xml:space="preserve"> Specifically, the tests were computed after estimating the reduced form VAR specified in .</w:t>
      </w:r>
    </w:p>
  </w:footnote>
  <w:footnote w:id="70">
    <w:p>
      <w:pPr>
        <w:pStyle w:val="Footnote Text"/>
      </w:pPr>
      <w:r>
        <w:rPr>
          <w:vertAlign w:val="superscript"/>
        </w:rPr>
        <w:footnoteRef/>
      </w:r>
      <w:r>
        <w:rPr>
          <w:rFonts w:cs="Arial Unicode MS" w:eastAsia="Arial Unicode MS"/>
          <w:rtl w:val="0"/>
        </w:rPr>
        <w:t xml:space="preserve"> Except for the Mexico after the implementation of the income tax (p-value = ).</w:t>
      </w:r>
    </w:p>
  </w:footnote>
  <w:footnote w:id="71">
    <w:p>
      <w:pPr>
        <w:pStyle w:val="Footnote Text"/>
      </w:pPr>
      <w:r>
        <w:rPr>
          <w:vertAlign w:val="superscript"/>
        </w:rPr>
        <w:footnoteRef/>
      </w:r>
      <w:r>
        <w:rPr>
          <w:rFonts w:cs="Arial Unicode MS" w:eastAsia="Arial Unicode MS"/>
          <w:rtl w:val="0"/>
        </w:rPr>
        <w:t xml:space="preserve"> Except for the pre income tax period test of Guatemala, which is significant at the  level.</w:t>
      </w:r>
    </w:p>
  </w:footnote>
  <w:footnote w:id="72">
    <w:p>
      <w:pPr>
        <w:pStyle w:val="Footnote Text"/>
      </w:pPr>
      <w:r>
        <w:rPr>
          <w:vertAlign w:val="superscript"/>
        </w:rPr>
        <w:footnoteRef/>
      </w:r>
      <w:r>
        <w:rPr>
          <w:rFonts w:cs="Arial Unicode MS" w:eastAsia="Arial Unicode MS"/>
          <w:rtl w:val="0"/>
        </w:rPr>
        <w:t xml:space="preserve"> Tiffin &amp; Dawson (2003, p. 33).</w:t>
      </w:r>
    </w:p>
  </w:footnote>
  <w:footnote w:id="73">
    <w:p>
      <w:pPr>
        <w:pStyle w:val="Footnote Text"/>
      </w:pPr>
      <w:r>
        <w:rPr>
          <w:vertAlign w:val="superscript"/>
        </w:rPr>
        <w:footnoteRef/>
      </w:r>
      <w:r>
        <w:rPr>
          <w:rFonts w:cs="Arial Unicode MS" w:eastAsia="Arial Unicode MS"/>
          <w:rtl w:val="0"/>
        </w:rPr>
        <w:t xml:space="preserve"> The order of integration could be higher than 1. However, for simplicity sake, I restrict my analyses to I(1) processes, which is the most common strategy in applied econometric analyses of time series.</w:t>
      </w:r>
    </w:p>
  </w:footnote>
  <w:footnote w:id="74">
    <w:p>
      <w:pPr>
        <w:pStyle w:val="Footnote Text"/>
      </w:pPr>
      <w:r>
        <w:rPr>
          <w:vertAlign w:val="superscript"/>
        </w:rPr>
        <w:footnoteRef/>
      </w:r>
      <w:r>
        <w:rPr>
          <w:rFonts w:cs="Arial Unicode MS" w:eastAsia="Arial Unicode MS"/>
          <w:rtl w:val="0"/>
        </w:rPr>
        <w:t xml:space="preserve"> Box-Steffensmeier, Freeman, Hitt, &amp; Pevehouse (2014, p. 129).</w:t>
      </w:r>
    </w:p>
  </w:footnote>
  <w:footnote w:id="75">
    <w:p>
      <w:pPr>
        <w:pStyle w:val="Footnote Text"/>
      </w:pPr>
      <w:r>
        <w:rPr>
          <w:vertAlign w:val="superscript"/>
        </w:rPr>
        <w:footnoteRef/>
      </w:r>
      <w:r>
        <w:rPr>
          <w:rFonts w:cs="Arial Unicode MS" w:eastAsia="Arial Unicode MS"/>
          <w:rtl w:val="0"/>
        </w:rPr>
        <w:t xml:space="preserve"> See Granger (1981) and Engle &amp; Granger (1987)).</w:t>
      </w:r>
    </w:p>
  </w:footnote>
  <w:footnote w:id="76">
    <w:p>
      <w:pPr>
        <w:pStyle w:val="Footnote Text"/>
      </w:pPr>
      <w:r>
        <w:rPr>
          <w:vertAlign w:val="superscript"/>
        </w:rPr>
        <w:footnoteRef/>
      </w:r>
      <w:r>
        <w:rPr>
          <w:rFonts w:cs="Arial Unicode MS" w:eastAsia="Arial Unicode MS"/>
          <w:rtl w:val="0"/>
        </w:rPr>
        <w:t xml:space="preserve"> Durr (1992, p. 193).</w:t>
      </w:r>
    </w:p>
  </w:footnote>
  <w:footnote w:id="77">
    <w:p>
      <w:pPr>
        <w:pStyle w:val="Footnote Text"/>
      </w:pPr>
      <w:r>
        <w:rPr>
          <w:vertAlign w:val="superscript"/>
        </w:rPr>
        <w:footnoteRef/>
      </w:r>
      <w:r>
        <w:rPr>
          <w:rFonts w:cs="Arial Unicode MS" w:eastAsia="Arial Unicode MS"/>
          <w:rtl w:val="0"/>
        </w:rPr>
        <w:t xml:space="preserve"> I show the test statistic and its associated MacKinnon approximate p-value in parenthesis for the ADF and Phillips-Perron tests. Both trend and drift were tested in all tests, when applicable. As I did not find any differences, I show the test statistic with no trend nor drift and one lag. The lags in the KPSS test were selected via an automatic procedure. </w:t>
      </w:r>
      <w:r>
        <w:rPr>
          <w:rFonts w:cs="Arial Unicode MS" w:eastAsia="Arial Unicode MS" w:hint="default"/>
          <w:rtl w:val="0"/>
        </w:rPr>
        <w:t xml:space="preserve">“” </w:t>
      </w:r>
      <w:r>
        <w:rPr>
          <w:rFonts w:cs="Arial Unicode MS" w:eastAsia="Arial Unicode MS"/>
          <w:rtl w:val="0"/>
        </w:rPr>
        <w:t>indicates that the test is barely significant or non-significant.</w:t>
      </w:r>
    </w:p>
  </w:footnote>
  <w:footnote w:id="78">
    <w:p>
      <w:pPr>
        <w:pStyle w:val="Footnote Text"/>
      </w:pPr>
      <w:r>
        <w:rPr>
          <w:vertAlign w:val="superscript"/>
        </w:rPr>
        <w:footnoteRef/>
      </w:r>
      <w:r>
        <w:rPr>
          <w:rFonts w:cs="Arial Unicode MS" w:eastAsia="Arial Unicode MS"/>
          <w:rtl w:val="0"/>
        </w:rPr>
        <w:t xml:space="preserve"> I use VAR regressions, which do not necessarily need cointegrated vectors (see Box-Steffensmeier et al. (2014, p. 161, 164)). Cointegration, however, is important from a substantive standpoint in this paper.</w:t>
      </w:r>
    </w:p>
  </w:footnote>
  <w:footnote w:id="79">
    <w:p>
      <w:pPr>
        <w:pStyle w:val="Footnote Text"/>
      </w:pPr>
      <w:r>
        <w:rPr>
          <w:vertAlign w:val="superscript"/>
        </w:rPr>
        <w:footnoteRef/>
      </w:r>
      <w:r>
        <w:rPr>
          <w:rFonts w:cs="Arial Unicode MS" w:eastAsia="Arial Unicode MS"/>
          <w:rtl w:val="0"/>
        </w:rPr>
        <w:t xml:space="preserve"> Box-Steffensmeier et al. (2014, p. 165).</w:t>
      </w:r>
    </w:p>
  </w:footnote>
  <w:footnote w:id="80">
    <w:p>
      <w:pPr>
        <w:pStyle w:val="Footnote Text"/>
      </w:pPr>
      <w:r>
        <w:rPr>
          <w:vertAlign w:val="superscript"/>
        </w:rPr>
        <w:footnoteRef/>
      </w:r>
      <w:r>
        <w:rPr>
          <w:rFonts w:cs="Arial Unicode MS" w:eastAsia="Arial Unicode MS"/>
          <w:rtl w:val="0"/>
        </w:rPr>
        <w:t xml:space="preserve"> Since I am interested in the long-run equilibrium, I do not split the sample before and after the implementation of the income tax.</w:t>
      </w:r>
    </w:p>
  </w:footnote>
  <w:footnote w:id="81">
    <w:p>
      <w:pPr>
        <w:pStyle w:val="Footnote Text"/>
      </w:pPr>
      <w:r>
        <w:rPr>
          <w:vertAlign w:val="superscript"/>
        </w:rPr>
        <w:footnoteRef/>
      </w:r>
      <w:r>
        <w:rPr>
          <w:rFonts w:cs="Arial Unicode MS" w:eastAsia="Arial Unicode MS"/>
          <w:rtl w:val="0"/>
        </w:rPr>
        <w:t xml:space="preserve"> Wooldridge (2002, p. 571). Cointegrated vectors, ECMs and VARs are widely common in political science too. Just to mention some examples, refer to Ostrom &amp; Smith (1992), Krause (1997), Fish &amp; Choudhry (2007), Haber &amp; Menaldo (2011), Sobel &amp; Coyne (2011), Herzer &amp; Vollmer (2012, p. 489) and Blaydes &amp; Kayser (2011).</w:t>
      </w:r>
    </w:p>
  </w:footnote>
  <w:footnote w:id="82">
    <w:p>
      <w:pPr>
        <w:pStyle w:val="Footnote Text"/>
      </w:pPr>
      <w:r>
        <w:rPr>
          <w:vertAlign w:val="superscript"/>
        </w:rPr>
        <w:footnoteRef/>
      </w:r>
      <w:r>
        <w:rPr>
          <w:rFonts w:cs="Arial Unicode MS" w:eastAsia="Arial Unicode MS"/>
          <w:rtl w:val="0"/>
        </w:rPr>
        <w:t xml:space="preserve"> Ostrom &amp; Smith (1992, pp. 142</w:t>
      </w:r>
      <w:r>
        <w:rPr>
          <w:rFonts w:cs="Arial Unicode MS" w:eastAsia="Arial Unicode MS" w:hint="default"/>
          <w:rtl w:val="0"/>
        </w:rPr>
        <w:t>–</w:t>
      </w:r>
      <w:r>
        <w:rPr>
          <w:rFonts w:cs="Arial Unicode MS" w:eastAsia="Arial Unicode MS"/>
          <w:rtl w:val="0"/>
        </w:rPr>
        <w:t>143).</w:t>
      </w:r>
    </w:p>
  </w:footnote>
  <w:footnote w:id="83">
    <w:p>
      <w:pPr>
        <w:pStyle w:val="Footnote Text"/>
      </w:pPr>
      <w:r>
        <w:rPr>
          <w:vertAlign w:val="superscript"/>
        </w:rPr>
        <w:footnoteRef/>
      </w:r>
      <w:r>
        <w:rPr>
          <w:rFonts w:cs="Arial Unicode MS" w:eastAsia="Arial Unicode MS"/>
          <w:rtl w:val="0"/>
        </w:rPr>
        <w:t xml:space="preserve"> Box-Steffensmeier et al. (2014, p. 164).</w:t>
      </w:r>
    </w:p>
  </w:footnote>
  <w:footnote w:id="84">
    <w:p>
      <w:pPr>
        <w:pStyle w:val="Footnote Text"/>
      </w:pPr>
      <w:r>
        <w:rPr>
          <w:vertAlign w:val="superscript"/>
        </w:rPr>
        <w:footnoteRef/>
      </w:r>
      <w:r>
        <w:rPr>
          <w:rFonts w:cs="Arial Unicode MS" w:eastAsia="Arial Unicode MS"/>
          <w:rtl w:val="0"/>
        </w:rPr>
        <w:t xml:space="preserve"> The next information criteria were used to determine the appropriate lag length: final prediction error, AIC, Schwarz</w:t>
      </w:r>
      <w:r>
        <w:rPr>
          <w:rFonts w:cs="Arial Unicode MS" w:eastAsia="Arial Unicode MS" w:hint="default"/>
          <w:rtl w:val="0"/>
        </w:rPr>
        <w:t>’</w:t>
      </w:r>
      <w:r>
        <w:rPr>
          <w:rFonts w:cs="Arial Unicode MS" w:eastAsia="Arial Unicode MS"/>
          <w:rtl w:val="0"/>
        </w:rPr>
        <w:t>s Bayesian information criterion, Hannan and Quinn criterion as well as the corresponding likelihood-ratio test statistics. The same criteria are used to compute the optimal lag length in . The table also shows a summary of different post-estimation tests when the optimum lag length specified in the table was used. A check mark indicates that the tests was passed successfully, a check-minus mark indicates that the test was passed somewhat successfully, and a cross mark denotes failure to reject specification problems. Detailed results are available upon request.</w:t>
      </w:r>
    </w:p>
  </w:footnote>
  <w:footnote w:id="85">
    <w:p>
      <w:pPr>
        <w:pStyle w:val="Footnote Text"/>
      </w:pPr>
      <w:r>
        <w:rPr>
          <w:vertAlign w:val="superscript"/>
        </w:rPr>
        <w:footnoteRef/>
      </w:r>
      <w:r>
        <w:rPr>
          <w:rFonts w:cs="Arial Unicode MS" w:eastAsia="Arial Unicode MS"/>
          <w:rtl w:val="0"/>
        </w:rPr>
        <w:t xml:space="preserve"> L</w:t>
      </w:r>
      <w:r>
        <w:rPr>
          <w:rFonts w:cs="Arial Unicode MS" w:eastAsia="Arial Unicode MS" w:hint="default"/>
          <w:rtl w:val="0"/>
        </w:rPr>
        <w:t>ü</w:t>
      </w:r>
      <w:r>
        <w:rPr>
          <w:rFonts w:cs="Arial Unicode MS" w:eastAsia="Arial Unicode MS"/>
          <w:rtl w:val="0"/>
        </w:rPr>
        <w:t>tkepohl &amp; Kr</w:t>
      </w:r>
      <w:r>
        <w:rPr>
          <w:rFonts w:cs="Arial Unicode MS" w:eastAsia="Arial Unicode MS" w:hint="default"/>
          <w:rtl w:val="0"/>
        </w:rPr>
        <w:t>ä</w:t>
      </w:r>
      <w:r>
        <w:rPr>
          <w:rFonts w:cs="Arial Unicode MS" w:eastAsia="Arial Unicode MS"/>
          <w:rtl w:val="0"/>
        </w:rPr>
        <w:t>tzig (2004, p. 159).</w:t>
      </w:r>
    </w:p>
  </w:footnote>
  <w:footnote w:id="86">
    <w:p>
      <w:pPr>
        <w:pStyle w:val="Footnote Text"/>
      </w:pPr>
      <w:r>
        <w:rPr>
          <w:vertAlign w:val="superscript"/>
        </w:rPr>
        <w:footnoteRef/>
      </w:r>
      <w:r>
        <w:rPr>
          <w:rFonts w:cs="Arial Unicode MS" w:eastAsia="Arial Unicode MS"/>
          <w:rtl w:val="0"/>
        </w:rPr>
        <w:t xml:space="preserve"> The raw VAR regression tables are available upon requests.</w:t>
      </w:r>
    </w:p>
  </w:footnote>
  <w:footnote w:id="87">
    <w:p>
      <w:pPr>
        <w:pStyle w:val="Footnote Text"/>
      </w:pPr>
      <w:r>
        <w:rPr>
          <w:vertAlign w:val="superscript"/>
        </w:rPr>
        <w:footnoteRef/>
      </w:r>
      <w:r>
        <w:rPr>
          <w:rFonts w:cs="Arial Unicode MS" w:eastAsia="Arial Unicode MS"/>
          <w:rtl w:val="0"/>
        </w:rPr>
        <w:t xml:space="preserve"> Stock &amp; Watson (2001, p. 106). See also L</w:t>
      </w:r>
      <w:r>
        <w:rPr>
          <w:rFonts w:cs="Arial Unicode MS" w:eastAsia="Arial Unicode MS" w:hint="default"/>
          <w:rtl w:val="0"/>
        </w:rPr>
        <w:t>ü</w:t>
      </w:r>
      <w:r>
        <w:rPr>
          <w:rFonts w:cs="Arial Unicode MS" w:eastAsia="Arial Unicode MS"/>
          <w:rtl w:val="0"/>
        </w:rPr>
        <w:t>tkepohl (2005, p. 51).</w:t>
      </w:r>
    </w:p>
  </w:footnote>
  <w:footnote w:id="88">
    <w:p>
      <w:pPr>
        <w:pStyle w:val="Footnote Text"/>
      </w:pPr>
      <w:r>
        <w:rPr>
          <w:vertAlign w:val="superscript"/>
        </w:rPr>
        <w:footnoteRef/>
      </w:r>
      <w:r>
        <w:rPr>
          <w:rFonts w:cs="Arial Unicode MS" w:eastAsia="Arial Unicode MS"/>
          <w:rtl w:val="0"/>
        </w:rPr>
        <w:t xml:space="preserve"> That is why the </w:t>
      </w:r>
      <w:r>
        <w:rPr>
          <w:rFonts w:cs="Arial Unicode MS" w:eastAsia="Arial Unicode MS" w:hint="default"/>
          <w:rtl w:val="0"/>
        </w:rPr>
        <w:t>“</w:t>
      </w:r>
      <w:r>
        <w:rPr>
          <w:rFonts w:cs="Arial Unicode MS" w:eastAsia="Arial Unicode MS"/>
          <w:rtl w:val="0"/>
        </w:rPr>
        <w:t>shape of the [IRFs] indicate [...] the dynamic responses of the variables [and since the variables] are I(0) the impulse responses [...] should converge to zero</w:t>
      </w:r>
      <w:r>
        <w:rPr>
          <w:rFonts w:cs="Arial Unicode MS" w:eastAsia="Arial Unicode MS" w:hint="default"/>
          <w:rtl w:val="0"/>
        </w:rPr>
        <w:t xml:space="preserve">” </w:t>
      </w:r>
      <w:r>
        <w:rPr>
          <w:rFonts w:cs="Arial Unicode MS" w:eastAsia="Arial Unicode MS"/>
          <w:rtl w:val="0"/>
        </w:rPr>
        <w:t>(Enders (2014, p. 364)).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character" w:styleId="Hyperlink.0">
    <w:name w:val="Hyperlink.0"/>
    <w:basedOn w:val="Hyperlink"/>
    <w:next w:val="Hyperlink.0"/>
    <w:rPr>
      <w:color w:val="4f81bd"/>
      <w:u w:val="single" w:color="4f81bd"/>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