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1448"/>
        <w:gridCol w:w="685"/>
        <w:gridCol w:w="662"/>
        <w:gridCol w:w="631"/>
        <w:gridCol w:w="685"/>
        <w:gridCol w:w="685"/>
        <w:gridCol w:w="685"/>
        <w:gridCol w:w="662"/>
        <w:gridCol w:w="662"/>
        <w:gridCol w:w="662"/>
        <w:gridCol w:w="631"/>
        <w:gridCol w:w="631"/>
        <w:gridCol w:w="631"/>
      </w:tblGrid>
      <w:tr w:rsidR="00000000" w:rsidRPr="009559D4">
        <w:trPr>
          <w:tblHeader/>
        </w:trPr>
        <w:tc>
          <w:tcPr>
            <w:tcW w:w="0" w:type="auto"/>
            <w:gridSpan w:val="13"/>
            <w:tcBorders>
              <w:top w:val="nil"/>
              <w:left w:val="nil"/>
              <w:bottom w:val="nil"/>
              <w:right w:val="nil"/>
            </w:tcBorders>
            <w:vAlign w:val="center"/>
            <w:hideMark/>
          </w:tcPr>
          <w:p w:rsidR="00000000" w:rsidRPr="009559D4" w:rsidRDefault="00000000">
            <w:pPr>
              <w:spacing w:before="150" w:after="150"/>
              <w:jc w:val="center"/>
              <w:rPr>
                <w:rFonts w:eastAsia="Times New Roman"/>
                <w:color w:val="000000"/>
                <w:sz w:val="8"/>
                <w:szCs w:val="8"/>
              </w:rPr>
            </w:pPr>
            <w:r w:rsidRPr="009559D4">
              <w:rPr>
                <w:rFonts w:eastAsia="Times New Roman"/>
                <w:color w:val="000000"/>
                <w:sz w:val="8"/>
                <w:szCs w:val="8"/>
              </w:rPr>
              <w:t>Table 2. Physical Appearance and Voting in the 2017 Finnish Municipal Elections: Baseline Models Without the Interaction Term</w:t>
            </w:r>
          </w:p>
        </w:tc>
      </w:tr>
      <w:tr w:rsidR="00000000" w:rsidRPr="009559D4">
        <w:trPr>
          <w:tblHeader/>
        </w:trPr>
        <w:tc>
          <w:tcPr>
            <w:tcW w:w="0" w:type="auto"/>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 </w:t>
            </w:r>
          </w:p>
        </w:tc>
        <w:tc>
          <w:tcPr>
            <w:tcW w:w="0" w:type="auto"/>
            <w:tcBorders>
              <w:bottom w:val="single" w:sz="6" w:space="0" w:color="000000"/>
            </w:tcBorders>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1</w:t>
            </w:r>
          </w:p>
        </w:tc>
        <w:tc>
          <w:tcPr>
            <w:tcW w:w="0" w:type="auto"/>
            <w:tcBorders>
              <w:bottom w:val="single" w:sz="6" w:space="0" w:color="000000"/>
            </w:tcBorders>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2</w:t>
            </w:r>
          </w:p>
        </w:tc>
        <w:tc>
          <w:tcPr>
            <w:tcW w:w="0" w:type="auto"/>
            <w:tcBorders>
              <w:bottom w:val="single" w:sz="6" w:space="0" w:color="000000"/>
            </w:tcBorders>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3</w:t>
            </w:r>
          </w:p>
        </w:tc>
        <w:tc>
          <w:tcPr>
            <w:tcW w:w="0" w:type="auto"/>
            <w:tcBorders>
              <w:bottom w:val="single" w:sz="6" w:space="0" w:color="000000"/>
            </w:tcBorders>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4</w:t>
            </w:r>
          </w:p>
        </w:tc>
        <w:tc>
          <w:tcPr>
            <w:tcW w:w="0" w:type="auto"/>
            <w:tcBorders>
              <w:bottom w:val="single" w:sz="6" w:space="0" w:color="000000"/>
            </w:tcBorders>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5</w:t>
            </w:r>
          </w:p>
        </w:tc>
        <w:tc>
          <w:tcPr>
            <w:tcW w:w="0" w:type="auto"/>
            <w:tcBorders>
              <w:bottom w:val="single" w:sz="6" w:space="0" w:color="000000"/>
            </w:tcBorders>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6</w:t>
            </w:r>
          </w:p>
        </w:tc>
        <w:tc>
          <w:tcPr>
            <w:tcW w:w="0" w:type="auto"/>
            <w:tcBorders>
              <w:bottom w:val="single" w:sz="6" w:space="0" w:color="000000"/>
            </w:tcBorders>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7</w:t>
            </w:r>
          </w:p>
        </w:tc>
        <w:tc>
          <w:tcPr>
            <w:tcW w:w="0" w:type="auto"/>
            <w:tcBorders>
              <w:bottom w:val="single" w:sz="6" w:space="0" w:color="000000"/>
            </w:tcBorders>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8</w:t>
            </w:r>
          </w:p>
        </w:tc>
        <w:tc>
          <w:tcPr>
            <w:tcW w:w="0" w:type="auto"/>
            <w:tcBorders>
              <w:bottom w:val="single" w:sz="6" w:space="0" w:color="000000"/>
            </w:tcBorders>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9</w:t>
            </w:r>
          </w:p>
        </w:tc>
        <w:tc>
          <w:tcPr>
            <w:tcW w:w="0" w:type="auto"/>
            <w:tcBorders>
              <w:bottom w:val="single" w:sz="6" w:space="0" w:color="000000"/>
            </w:tcBorders>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10</w:t>
            </w:r>
          </w:p>
        </w:tc>
        <w:tc>
          <w:tcPr>
            <w:tcW w:w="0" w:type="auto"/>
            <w:tcBorders>
              <w:bottom w:val="single" w:sz="6" w:space="0" w:color="000000"/>
            </w:tcBorders>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11</w:t>
            </w:r>
          </w:p>
        </w:tc>
        <w:tc>
          <w:tcPr>
            <w:tcW w:w="0" w:type="auto"/>
            <w:tcBorders>
              <w:bottom w:val="single" w:sz="6" w:space="0" w:color="000000"/>
            </w:tcBorders>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12</w:t>
            </w:r>
          </w:p>
        </w:tc>
      </w:tr>
      <w:tr w:rsidR="00000000" w:rsidRPr="009559D4">
        <w:trPr>
          <w:tblHeader/>
        </w:trPr>
        <w:tc>
          <w:tcPr>
            <w:tcW w:w="0" w:type="auto"/>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Full</w:t>
            </w:r>
          </w:p>
        </w:tc>
        <w:tc>
          <w:tcPr>
            <w:tcW w:w="0" w:type="auto"/>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Male</w:t>
            </w:r>
          </w:p>
        </w:tc>
        <w:tc>
          <w:tcPr>
            <w:tcW w:w="0" w:type="auto"/>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Female</w:t>
            </w:r>
          </w:p>
        </w:tc>
        <w:tc>
          <w:tcPr>
            <w:tcW w:w="0" w:type="auto"/>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Full</w:t>
            </w:r>
          </w:p>
        </w:tc>
        <w:tc>
          <w:tcPr>
            <w:tcW w:w="0" w:type="auto"/>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Full</w:t>
            </w:r>
          </w:p>
        </w:tc>
        <w:tc>
          <w:tcPr>
            <w:tcW w:w="0" w:type="auto"/>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Full</w:t>
            </w:r>
          </w:p>
        </w:tc>
        <w:tc>
          <w:tcPr>
            <w:tcW w:w="0" w:type="auto"/>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Male</w:t>
            </w:r>
          </w:p>
        </w:tc>
        <w:tc>
          <w:tcPr>
            <w:tcW w:w="0" w:type="auto"/>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Male</w:t>
            </w:r>
          </w:p>
        </w:tc>
        <w:tc>
          <w:tcPr>
            <w:tcW w:w="0" w:type="auto"/>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Male</w:t>
            </w:r>
          </w:p>
        </w:tc>
        <w:tc>
          <w:tcPr>
            <w:tcW w:w="0" w:type="auto"/>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Female</w:t>
            </w:r>
          </w:p>
        </w:tc>
        <w:tc>
          <w:tcPr>
            <w:tcW w:w="0" w:type="auto"/>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Female</w:t>
            </w:r>
          </w:p>
        </w:tc>
        <w:tc>
          <w:tcPr>
            <w:tcW w:w="0" w:type="auto"/>
            <w:tcMar>
              <w:top w:w="15" w:type="dxa"/>
              <w:left w:w="75" w:type="dxa"/>
              <w:bottom w:w="15" w:type="dxa"/>
              <w:right w:w="75" w:type="dxa"/>
            </w:tcMar>
            <w:vAlign w:val="center"/>
            <w:hideMark/>
          </w:tcPr>
          <w:p w:rsidR="00000000" w:rsidRPr="009559D4" w:rsidRDefault="00000000">
            <w:pPr>
              <w:spacing w:before="150" w:after="150"/>
              <w:jc w:val="center"/>
              <w:rPr>
                <w:rFonts w:eastAsia="Times New Roman"/>
                <w:b/>
                <w:bCs/>
                <w:color w:val="000000"/>
                <w:sz w:val="8"/>
                <w:szCs w:val="8"/>
              </w:rPr>
            </w:pPr>
            <w:r w:rsidRPr="009559D4">
              <w:rPr>
                <w:rFonts w:eastAsia="Times New Roman"/>
                <w:b/>
                <w:bCs/>
                <w:color w:val="000000"/>
                <w:sz w:val="8"/>
                <w:szCs w:val="8"/>
              </w:rPr>
              <w:t>Female</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Intercept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5.08</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3.40</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6.63</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2.41</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4.90</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4.93</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0.16</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3.34</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1.68</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3.51</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6.89</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3.27</w:t>
            </w:r>
            <w:r w:rsidRPr="009559D4">
              <w:rPr>
                <w:rFonts w:eastAsia="Times New Roman"/>
                <w:color w:val="000000"/>
                <w:sz w:val="8"/>
                <w:szCs w:val="8"/>
                <w:vertAlign w:val="superscript"/>
              </w:rPr>
              <w:t>***</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(0.05)</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(0.08)</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(0.06)</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(0.05)</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(0.05)</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(0.05)</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(0.08)</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(0.08)</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(0.08)</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(0.07)</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(0.06)</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(0.08)</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Appearance-Occupation Congruence</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0.26</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0.40</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0.16</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0.15</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0.27</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0.25</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0.25</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0.40</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0.40</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0.13</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0.15</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0.18</w:t>
            </w:r>
            <w:r w:rsidRPr="009559D4">
              <w:rPr>
                <w:rFonts w:eastAsia="Times New Roman"/>
                <w:color w:val="000000"/>
                <w:sz w:val="8"/>
                <w:szCs w:val="8"/>
                <w:vertAlign w:val="superscript"/>
              </w:rPr>
              <w:t>***</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Middle Class</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-0.33</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-0.35</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-0.47</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-0.31</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-0.33</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-0.33</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-0.22</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-0.35</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-0.28</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-0.50</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-0.47</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-0.53</w:t>
            </w:r>
            <w:r w:rsidRPr="009559D4">
              <w:rPr>
                <w:rFonts w:eastAsia="Times New Roman"/>
                <w:color w:val="000000"/>
                <w:sz w:val="8"/>
                <w:szCs w:val="8"/>
                <w:vertAlign w:val="superscript"/>
              </w:rPr>
              <w:t>***</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Working Class</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-0.53</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-0.44</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-0.78</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-0.44</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-0.54</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-0.52</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-0.33</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-0.45</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-0.36</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-0.74</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-0.77</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-0.70</w:t>
            </w:r>
            <w:r w:rsidRPr="009559D4">
              <w:rPr>
                <w:rFonts w:eastAsia="Times New Roman"/>
                <w:color w:val="000000"/>
                <w:sz w:val="8"/>
                <w:szCs w:val="8"/>
                <w:vertAlign w:val="superscript"/>
              </w:rPr>
              <w:t>***</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Age</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-0.02</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-0.03</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-0.02</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-0.02</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-0.03</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-0.02</w:t>
            </w:r>
            <w:r w:rsidRPr="009559D4">
              <w:rPr>
                <w:rFonts w:eastAsia="Times New Roman"/>
                <w:color w:val="000000"/>
                <w:sz w:val="8"/>
                <w:szCs w:val="8"/>
                <w:vertAlign w:val="superscript"/>
              </w:rPr>
              <w:t>***</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Attractiveness</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0.78</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1.03</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0.73</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Masculinity</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0.08</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0.02</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-0.19</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Femininity</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0.05</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0.54</w:t>
            </w:r>
            <w:r w:rsidRPr="009559D4">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0.69</w:t>
            </w:r>
            <w:r w:rsidRPr="009559D4">
              <w:rPr>
                <w:rFonts w:eastAsia="Times New Roman"/>
                <w:color w:val="000000"/>
                <w:sz w:val="8"/>
                <w:szCs w:val="8"/>
                <w:vertAlign w:val="superscript"/>
              </w:rPr>
              <w:t>***</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(0.01)</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AIC</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289962.26</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172895.19</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79620.46</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268840.99</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289492.30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289673.94</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155861.99</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172888.00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168386.44</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73501.59</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79392.16</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74575.78</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BIC</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291184.00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173850.85</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80436.78</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270067.78</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290719.26</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290900.90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156822.34</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173848.35</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169346.78</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74321.92</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80212.82</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75396.44</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Log Likelihood</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-144747.13</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-86243.60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-39622.23</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-134185.50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-144511.15</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-144601.97</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-77726.00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-86239.00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-83988.22</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-36561.80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-39507.08</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-37098.89</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Deviance</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280978.73</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167552.51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75663.61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259861.79</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280506.76</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280688.40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150517.31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167543.32</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163041.75</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69549.08</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75433.31</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70616.93</w:t>
            </w:r>
          </w:p>
        </w:tc>
      </w:tr>
      <w:tr w:rsidR="00000000" w:rsidRPr="009559D4">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Num. obs.</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1368</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800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568</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1367</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1368</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1368</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800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800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800</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567</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568</w:t>
            </w:r>
          </w:p>
        </w:tc>
        <w:tc>
          <w:tcPr>
            <w:tcW w:w="0" w:type="auto"/>
            <w:tcMar>
              <w:top w:w="15" w:type="dxa"/>
              <w:left w:w="75" w:type="dxa"/>
              <w:bottom w:w="15" w:type="dxa"/>
              <w:right w:w="75" w:type="dxa"/>
            </w:tcMar>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rPr>
              <w:t>568</w:t>
            </w:r>
          </w:p>
        </w:tc>
      </w:tr>
      <w:tr w:rsidR="00000000" w:rsidRPr="009559D4">
        <w:tc>
          <w:tcPr>
            <w:tcW w:w="0" w:type="auto"/>
            <w:gridSpan w:val="13"/>
            <w:vAlign w:val="center"/>
            <w:hideMark/>
          </w:tcPr>
          <w:p w:rsidR="00000000" w:rsidRPr="009559D4" w:rsidRDefault="00000000">
            <w:pPr>
              <w:spacing w:before="150" w:after="150"/>
              <w:rPr>
                <w:rFonts w:eastAsia="Times New Roman"/>
                <w:color w:val="000000"/>
                <w:sz w:val="8"/>
                <w:szCs w:val="8"/>
              </w:rPr>
            </w:pPr>
            <w:r w:rsidRPr="009559D4">
              <w:rPr>
                <w:rFonts w:eastAsia="Times New Roman"/>
                <w:color w:val="000000"/>
                <w:sz w:val="8"/>
                <w:szCs w:val="8"/>
                <w:vertAlign w:val="superscript"/>
              </w:rPr>
              <w:t>***</w:t>
            </w:r>
            <w:r w:rsidRPr="009559D4">
              <w:rPr>
                <w:rFonts w:eastAsia="Times New Roman"/>
                <w:color w:val="000000"/>
                <w:sz w:val="8"/>
                <w:szCs w:val="8"/>
              </w:rPr>
              <w:t xml:space="preserve">p &lt; 0.001; </w:t>
            </w:r>
            <w:r w:rsidRPr="009559D4">
              <w:rPr>
                <w:rFonts w:eastAsia="Times New Roman"/>
                <w:color w:val="000000"/>
                <w:sz w:val="8"/>
                <w:szCs w:val="8"/>
                <w:vertAlign w:val="superscript"/>
              </w:rPr>
              <w:t>**</w:t>
            </w:r>
            <w:r w:rsidRPr="009559D4">
              <w:rPr>
                <w:rFonts w:eastAsia="Times New Roman"/>
                <w:color w:val="000000"/>
                <w:sz w:val="8"/>
                <w:szCs w:val="8"/>
              </w:rPr>
              <w:t xml:space="preserve">p &lt; 0.01; </w:t>
            </w:r>
            <w:r w:rsidRPr="009559D4">
              <w:rPr>
                <w:rFonts w:eastAsia="Times New Roman"/>
                <w:color w:val="000000"/>
                <w:sz w:val="8"/>
                <w:szCs w:val="8"/>
                <w:vertAlign w:val="superscript"/>
              </w:rPr>
              <w:t>*</w:t>
            </w:r>
            <w:r w:rsidRPr="009559D4">
              <w:rPr>
                <w:rFonts w:eastAsia="Times New Roman"/>
                <w:color w:val="000000"/>
                <w:sz w:val="8"/>
                <w:szCs w:val="8"/>
              </w:rPr>
              <w:t>p &lt; 0.05. Dependent variable is the number of votes each candidate received. City fixed effects and party variables omitted. The reference category in the ESEC variable is 'Upper Class.' Given the symmetry of the derivatives, changing the reference category does not alter the interpretation of the results. Functional form is Poisson regression for all models.</w:t>
            </w:r>
          </w:p>
        </w:tc>
      </w:tr>
    </w:tbl>
    <w:p w:rsidR="00345E32" w:rsidRPr="009559D4" w:rsidRDefault="00345E32">
      <w:pPr>
        <w:rPr>
          <w:rFonts w:eastAsia="Times New Roman"/>
          <w:sz w:val="8"/>
          <w:szCs w:val="8"/>
        </w:rPr>
      </w:pPr>
    </w:p>
    <w:sectPr w:rsidR="00345E32" w:rsidRPr="00955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2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59D4"/>
    <w:rsid w:val="00345E32"/>
    <w:rsid w:val="00955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342C5EB3-7B32-254A-AA42-77BA2A713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2023-10-16T07:25:00Z</dcterms:created>
  <dcterms:modified xsi:type="dcterms:W3CDTF">2023-10-16T07:25:00Z</dcterms:modified>
</cp:coreProperties>
</file>