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50" w:before="160"/>
        <w:jc w:val="center"/>
      </w:pPr>
      <w:r>
        <w:rPr>
          <w:rFonts w:ascii="Arial" w:cs="Arial" w:eastAsia="Arial" w:hAnsi="Arial"/>
          <w:b/>
          <w:bCs/>
          <w:color w:val="1A3558"/>
          <w:sz w:val="38"/>
          <w:szCs w:val="38"/>
        </w:rPr>
        <w:t xml:space="preserve">Discontinuité Temporelle Quantique :</w:t>
      </w:r>
    </w:p>
    <w:p>
      <w:pPr>
        <w:spacing w:after="50" w:before="0"/>
        <w:jc w:val="center"/>
      </w:pPr>
      <w:r>
        <w:rPr>
          <w:rFonts w:ascii="Arial" w:cs="Arial" w:eastAsia="Arial" w:hAnsi="Arial"/>
          <w:b/>
          <w:bCs/>
          <w:color w:val="2C4770"/>
          <w:sz w:val="28"/>
          <w:szCs w:val="28"/>
        </w:rPr>
        <w:t xml:space="preserve">Résolution du Problème de la Mesure par Formalisation</w:t>
      </w:r>
    </w:p>
    <w:p>
      <w:pPr>
        <w:spacing w:after="50" w:before="0"/>
        <w:jc w:val="center"/>
      </w:pPr>
      <w:r>
        <w:rPr>
          <w:rFonts w:ascii="Arial" w:cs="Arial" w:eastAsia="Arial" w:hAnsi="Arial"/>
          <w:b/>
          <w:bCs/>
          <w:color w:val="2C4770"/>
          <w:sz w:val="28"/>
          <w:szCs w:val="28"/>
        </w:rPr>
        <w:t xml:space="preserve">Mathématique d’une Intuition Analogique</w:t>
      </w:r>
    </w:p>
    <w:p>
      <w:pPr>
        <w:pBdr>
          <w:bottom w:val="single" w:color="2C4770" w:sz="10" w:space="2"/>
        </w:pBdr>
        <w:spacing w:after="100"/>
      </w:pPr>
    </w:p>
    <w:p>
      <w:pPr>
        <w:spacing w:after="30" w:before="100"/>
        <w:jc w:val="center"/>
      </w:pPr>
      <w:r>
        <w:rPr>
          <w:rFonts w:ascii="Arial" w:cs="Arial" w:eastAsia="Arial" w:hAnsi="Arial"/>
          <w:b/>
          <w:bCs/>
          <w:color w:val="111111"/>
          <w:sz w:val="25"/>
          <w:szCs w:val="25"/>
        </w:rPr>
        <w:t xml:space="preserve">Hassane Bakkaoui</w:t>
      </w:r>
    </w:p>
    <w:p>
      <w:pPr>
        <w:spacing w:after="30" w:before="0"/>
        <w:jc w:val="center"/>
      </w:pPr>
      <w:r>
        <w:rPr>
          <w:rFonts w:ascii="Arial" w:cs="Arial" w:eastAsia="Arial" w:hAnsi="Arial"/>
          <w:i/>
          <w:iCs/>
          <w:color w:val="444444"/>
          <w:sz w:val="21"/>
          <w:szCs w:val="21"/>
        </w:rPr>
        <w:t xml:space="preserve">Chercheur indépendant</w:t>
      </w:r>
    </w:p>
    <w:p>
      <w:pPr>
        <w:spacing w:after="30" w:before="0"/>
        <w:jc w:val="center"/>
      </w:pPr>
      <w:r>
        <w:rPr>
          <w:rFonts w:ascii="Georgia" w:cs="Georgia" w:eastAsia="Georgia" w:hAnsi="Georgia"/>
          <w:sz w:val="22"/>
          <w:szCs w:val="22"/>
        </w:rPr>
        <w:t xml:space="preserve">Formalisation et collaboration analytique : </w:t>
      </w:r>
      <w:r>
        <w:rPr>
          <w:rFonts w:ascii="Georgia" w:cs="Georgia" w:eastAsia="Georgia" w:hAnsi="Georgia"/>
          <w:i/>
          <w:iCs/>
          <w:color w:val="555555"/>
          <w:sz w:val="21"/>
          <w:szCs w:val="21"/>
        </w:rPr>
        <w:t xml:space="preserve">Claude (Anthropic) · Le Chat (Mistral AI)</w:t>
      </w:r>
      <w:r>
        <w:rPr>
          <w:rFonts w:ascii="Georgia" w:cs="Georgia" w:eastAsia="Georgia" w:hAnsi="Georgia"/>
          <w:sz w:val="22"/>
          <w:szCs w:val="22"/>
        </w:rPr>
        <w:t xml:space="preserve"> — sous direction de l’auteur</w:t>
      </w:r>
    </w:p>
    <w:p>
      <w:pPr>
        <w:spacing w:after="220" w:before="0"/>
        <w:jc w:val="center"/>
      </w:pPr>
      <w:r>
        <w:rPr>
          <w:rFonts w:ascii="Arial" w:cs="Arial" w:eastAsia="Arial" w:hAnsi="Arial"/>
          <w:color w:val="888888"/>
          <w:sz w:val="18"/>
          <w:szCs w:val="18"/>
        </w:rPr>
        <w:t xml:space="preserve">Intuition originale : c. 1990  ·  Formalisation : 2024–2026</w:t>
      </w:r>
    </w:p>
    <w:p>
      <w:pPr>
        <w:pStyle w:val="Heading1"/>
        <w:pBdr>
          <w:bottom w:val="single" w:color="2C4770" w:sz="6" w:space="3"/>
        </w:pBdr>
        <w:spacing w:after="160" w:before="400"/>
      </w:pPr>
      <w:r>
        <w:rPr>
          <w:rFonts w:ascii="Arial" w:cs="Arial" w:eastAsia="Arial" w:hAnsi="Arial"/>
          <w:b/>
          <w:bCs/>
          <w:color w:val="1A3558"/>
          <w:sz w:val="27"/>
          <w:szCs w:val="27"/>
        </w:rPr>
        <w:t xml:space="preserve">Résumé</w:t>
      </w:r>
    </w:p>
    <w:p>
      <w:pPr>
        <w:spacing w:after="120" w:before="0" w:line="280"/>
        <w:jc w:val="both"/>
      </w:pPr>
      <w:r>
        <w:rPr>
          <w:rFonts w:ascii="Georgia" w:cs="Georgia" w:eastAsia="Georgia" w:hAnsi="Georgia"/>
          <w:sz w:val="22"/>
          <w:szCs w:val="22"/>
        </w:rPr>
        <w:t xml:space="preserve">Nous présentons l’Hypothèse de Discontinuité Temporelle Quantique (HDTQ), dont l’intuition originale a été conçue par l’auteur vers 1990 et dont la formalisation mathématique a été réalisée en 2024–2026 en collaboration avec des systèmes d’intelligence artificielle, sous direction et orientation de l’auteur. HDTQ postule que les particules quantiques n’évoluent pas continument dans le temps, mais par </w:t>
      </w:r>
      <w:r>
        <w:rPr>
          <w:rFonts w:ascii="Georgia" w:cs="Georgia" w:eastAsia="Georgia" w:hAnsi="Georgia"/>
          <w:i/>
          <w:iCs/>
          <w:sz w:val="22"/>
          <w:szCs w:val="22"/>
        </w:rPr>
        <w:t xml:space="preserve">impulsions discrètes</w:t>
      </w:r>
      <w:r>
        <w:rPr>
          <w:rFonts w:ascii="Georgia" w:cs="Georgia" w:eastAsia="Georgia" w:hAnsi="Georgia"/>
          <w:sz w:val="22"/>
          <w:szCs w:val="22"/>
        </w:rPr>
        <w:t xml:space="preserve"> de durée caractéristique τ₀, séparées par des phases inactives où le hamiltonien est suspendu. L’objectif central de cet article est de démontrer, par formalisation mathématique rigoureuse, que cette hypothèse fournit une résolution naturelle et sans postulat additionnel du </w:t>
      </w:r>
      <w:r>
        <w:rPr>
          <w:rFonts w:ascii="Georgia" w:cs="Georgia" w:eastAsia="Georgia" w:hAnsi="Georgia"/>
          <w:b/>
          <w:bCs/>
          <w:sz w:val="22"/>
          <w:szCs w:val="22"/>
        </w:rPr>
        <w:t xml:space="preserve">problème de la mesure quantique</w:t>
      </w:r>
      <w:r>
        <w:rPr>
          <w:rFonts w:ascii="Georgia" w:cs="Georgia" w:eastAsia="Georgia" w:hAnsi="Georgia"/>
          <w:sz w:val="22"/>
          <w:szCs w:val="22"/>
        </w:rPr>
        <w:t xml:space="preserve">—un problème ouvert depuis un siècle. Nous établissons : (i) un opérateur de projection temporel P̂(τ₀) qui réalise dynamiquement l’effondrement de la fonction d’onde sans violation de l’unitarité globale ; (ii) un critère quantitatif de sélection de base préférée par maximisation de stabilité de phase ; (iii) des prédictions expérimentales dérivées, notamment un élargissement de raie δΓ ∼ 10⁻¹⁶ Hz dans les transitions interdites de ¹⁷¹Yb⁺ et un taux de décohérence en N² pour les systèmes composites, distinctement testable par rapport à la décohérence environnementale (en N¹). Les problèmes conceptuels de l’hypothèse sont brièvement identifiés avec leurs voies de reformulation.</w:t>
      </w:r>
    </w:p>
    <w:p>
      <w:pPr>
        <w:spacing w:after="100"/>
      </w:pPr>
      <w:r>
        <w:rPr>
          <w:rFonts w:ascii="Arial" w:cs="Arial" w:eastAsia="Arial" w:hAnsi="Arial"/>
          <w:b/>
          <w:bCs/>
          <w:sz w:val="20"/>
          <w:szCs w:val="20"/>
        </w:rPr>
        <w:t xml:space="preserve">Mots-clés : </w:t>
      </w:r>
      <w:r>
        <w:rPr>
          <w:rFonts w:ascii="Georgia" w:cs="Georgia" w:eastAsia="Georgia" w:hAnsi="Georgia"/>
          <w:i/>
          <w:iCs/>
          <w:sz w:val="20"/>
          <w:szCs w:val="20"/>
        </w:rPr>
        <w:t xml:space="preserve">discontinuité temporelle • problème de la mesure quantique • effondrement de la fonction d’onde • décohérence intrinsèque • base préférée • spectroscopie de précision • ions piégés</w:t>
      </w:r>
    </w:p>
    <w:p>
      <w:pPr>
        <w:pBdr>
          <w:bottom w:val="single" w:color="BFD0E8" w:sz="4" w:space="2"/>
        </w:pBdr>
        <w:spacing w:after="100"/>
      </w:pPr>
    </w:p>
    <w:p>
      <w:pPr>
        <w:spacing w:after="100"/>
      </w:pPr>
      <w:r>
        <w:rPr>
          <w:rFonts w:ascii="Georgia" w:cs="Georgia" w:eastAsia="Georgia" w:hAnsi="Georgia"/>
          <w:sz w:val="22"/>
          <w:szCs w:val="22"/>
        </w:rPr>
        <w:t xml:space="preserve"/>
      </w:r>
    </w:p>
    <w:p>
      <w:pPr>
        <w:pStyle w:val="Heading1"/>
        <w:pBdr>
          <w:bottom w:val="single" w:color="2C4770" w:sz="6" w:space="3"/>
        </w:pBdr>
        <w:spacing w:after="160" w:before="400"/>
      </w:pPr>
      <w:r>
        <w:rPr>
          <w:rFonts w:ascii="Arial" w:cs="Arial" w:eastAsia="Arial" w:hAnsi="Arial"/>
          <w:b/>
          <w:bCs/>
          <w:color w:val="1A3558"/>
          <w:sz w:val="27"/>
          <w:szCs w:val="27"/>
        </w:rPr>
        <w:t xml:space="preserve">1.  Introduction et Origine de l’Hypothèse</w:t>
      </w:r>
    </w:p>
    <w:p>
      <w:pPr>
        <w:pStyle w:val="Heading2"/>
        <w:spacing w:after="100" w:before="280"/>
      </w:pPr>
      <w:r>
        <w:rPr>
          <w:rFonts w:ascii="Arial" w:cs="Arial" w:eastAsia="Arial" w:hAnsi="Arial"/>
          <w:b/>
          <w:bCs/>
          <w:color w:val="2C4770"/>
          <w:sz w:val="24"/>
          <w:szCs w:val="24"/>
        </w:rPr>
        <w:t xml:space="preserve">1.1  L’Intuition Analogique Originale (H. Bakkaoui, c. 1990)</w:t>
      </w:r>
    </w:p>
    <w:p>
      <w:pPr>
        <w:spacing w:after="160" w:before="0" w:line="280"/>
        <w:jc w:val="both"/>
      </w:pPr>
      <w:r>
        <w:rPr>
          <w:rFonts w:ascii="Georgia" w:cs="Georgia" w:eastAsia="Georgia" w:hAnsi="Georgia"/>
          <w:sz w:val="22"/>
          <w:szCs w:val="22"/>
        </w:rPr>
        <w:t xml:space="preserve">L’intuition originale, conçue par l’auteur vers 1990 et conservée pendant trois décennies sous la dénomination informelle </w:t>
      </w:r>
      <w:r>
        <w:rPr>
          <w:rFonts w:ascii="Georgia" w:cs="Georgia" w:eastAsia="Georgia" w:hAnsi="Georgia"/>
          <w:b/>
          <w:bCs/>
          <w:i/>
          <w:iCs/>
          <w:sz w:val="22"/>
          <w:szCs w:val="22"/>
        </w:rPr>
        <w:t xml:space="preserve">« quantiquo-épilepsie »</w:t>
      </w:r>
      <w:r>
        <w:rPr>
          <w:rFonts w:ascii="Georgia" w:cs="Georgia" w:eastAsia="Georgia" w:hAnsi="Georgia"/>
          <w:sz w:val="22"/>
          <w:szCs w:val="22"/>
        </w:rPr>
        <w:t xml:space="preserve">, procède d’une observation simple : la matière baryonique est spatialement </w:t>
      </w:r>
      <w:r>
        <w:rPr>
          <w:rFonts w:ascii="Georgia" w:cs="Georgia" w:eastAsia="Georgia" w:hAnsi="Georgia"/>
          <w:i/>
          <w:iCs/>
          <w:sz w:val="22"/>
          <w:szCs w:val="22"/>
        </w:rPr>
        <w:t xml:space="preserve">granulaire</w:t>
      </w:r>
      <w:r>
        <w:rPr>
          <w:rFonts w:ascii="Georgia" w:cs="Georgia" w:eastAsia="Georgia" w:hAnsi="Georgia"/>
          <w:sz w:val="22"/>
          <w:szCs w:val="22"/>
        </w:rPr>
        <w:t xml:space="preserve">. Le noyau atomique, de rayon Rₙᵤᵡ ∼ 10⁻¹⁵ m, est concentré dans une fraction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8208"/>
        <w:gridCol w:w="1152"/>
      </w:tblGrid>
      <w:tr>
        <w:tc>
          <w:tcPr>
            <w:tcW w:type="dxa" w:w="8208"/>
            <w:tcBorders>
              <w:top w:val="none" w:color="FFFFFF" w:sz="0"/>
              <w:left w:val="none" w:color="FFFFFF" w:sz="0"/>
              <w:bottom w:val="none" w:color="FFFFFF" w:sz="0"/>
              <w:right w:val="none" w:color="FFFFFF" w:sz="0"/>
            </w:tcBorders>
            <w:tcMar>
              <w:top w:type="dxa" w:w="100"/>
              <w:left w:type="dxa" w:w="400"/>
              <w:bottom w:type="dxa" w:w="100"/>
              <w:right w:type="dxa" w:w="100"/>
            </w:tcMar>
          </w:tcPr>
          <w:p>
            <w:pPr>
              <w:jc w:val="center"/>
            </w:pPr>
            <w:r>
              <w:rPr>
                <w:rFonts w:ascii="Cambria Math" w:cs="Cambria Math" w:eastAsia="Cambria Math" w:hAnsi="Cambria Math"/>
                <w:i/>
                <w:iCs/>
                <w:sz w:val="24"/>
                <w:szCs w:val="24"/>
              </w:rPr>
              <w:t xml:space="preserve">ηₛₚ = (Rₙᵤᵡ / Rₐₜₒₘ)³ ∼ 10⁻¹⁵</w:t>
            </w:r>
          </w:p>
        </w:tc>
        <w:tc>
          <w:tcPr>
            <w:tcW w:type="dxa" w:w="1152"/>
            <w:tcBorders>
              <w:top w:val="none" w:color="FFFFFF" w:sz="0"/>
              <w:left w:val="none" w:color="FFFFFF" w:sz="0"/>
              <w:bottom w:val="none" w:color="FFFFFF" w:sz="0"/>
              <w:right w:val="none" w:color="FFFFFF" w:sz="0"/>
            </w:tcBorders>
            <w:tcMar>
              <w:top w:type="dxa" w:w="100"/>
              <w:left w:type="dxa" w:w="40"/>
              <w:bottom w:type="dxa" w:w="100"/>
              <w:right w:type="dxa" w:w="80"/>
            </w:tcMar>
          </w:tcPr>
          <w:p>
            <w:pPr>
              <w:jc w:val="right"/>
            </w:pPr>
            <w:r>
              <w:rPr>
                <w:rFonts w:ascii="Georgia" w:cs="Georgia" w:eastAsia="Georgia" w:hAnsi="Georgia"/>
                <w:color w:val="777777"/>
                <w:sz w:val="20"/>
                <w:szCs w:val="20"/>
              </w:rPr>
              <w:t xml:space="preserve">(1)</w:t>
            </w:r>
          </w:p>
        </w:tc>
      </w:tr>
    </w:tbl>
    <w:p>
      <w:pPr>
        <w:spacing w:after="160" w:before="0" w:line="280"/>
        <w:jc w:val="both"/>
      </w:pPr>
      <w:r>
        <w:rPr>
          <w:rFonts w:ascii="Georgia" w:cs="Georgia" w:eastAsia="Georgia" w:hAnsi="Georgia"/>
          <w:sz w:val="22"/>
          <w:szCs w:val="22"/>
        </w:rPr>
        <w:t xml:space="preserve">du volume atomique. La matière nucléaire est présente dans 10⁻¹⁵ de l’espace disponible, et absente dans 1 − 10⁻¹⁵ ≈ 1. La question de l’auteur : </w:t>
      </w:r>
      <w:r>
        <w:rPr>
          <w:rFonts w:ascii="Georgia" w:cs="Georgia" w:eastAsia="Georgia" w:hAnsi="Georgia"/>
          <w:b/>
          <w:bCs/>
          <w:i/>
          <w:iCs/>
          <w:sz w:val="22"/>
          <w:szCs w:val="22"/>
        </w:rPr>
        <w:t xml:space="preserve">« Si la matière est spatialement intermittente, pourquoi son existence temporelle serait-elle strictement continue ? »</w:t>
      </w:r>
      <w:r>
        <w:rPr>
          <w:rFonts w:ascii="Georgia" w:cs="Georgia" w:eastAsia="Georgia" w:hAnsi="Georgia"/>
          <w:sz w:val="22"/>
          <w:szCs w:val="22"/>
        </w:rPr>
        <w:t xml:space="preserve"> La symétrie espace-temps de la relativité générale suggère qu’une granularité spatiale profonde devrait avoir un analogue temporel. Cette intuition constitue la contribution intellectuelle exclusive de l’auteur.</w:t>
      </w:r>
    </w:p>
    <w:p>
      <w:pPr>
        <w:spacing w:after="160" w:before="0" w:line="280"/>
        <w:jc w:val="both"/>
      </w:pPr>
      <w:r>
        <w:rPr>
          <w:rFonts w:ascii="Georgia" w:cs="Georgia" w:eastAsia="Georgia" w:hAnsi="Georgia"/>
          <w:sz w:val="22"/>
          <w:szCs w:val="22"/>
        </w:rPr>
        <w:t xml:space="preserve">Faute d’appareil technique pour la formaliser, l’idée est restée à l’état de notes informelles jusqu’en 2024, où le dialogue itératif avec des systèmes d’IA (Claude, Anthropic ; Le Chat, Mistral AI), </w:t>
      </w:r>
      <w:r>
        <w:rPr>
          <w:rFonts w:ascii="Georgia" w:cs="Georgia" w:eastAsia="Georgia" w:hAnsi="Georgia"/>
          <w:i/>
          <w:iCs/>
          <w:sz w:val="22"/>
          <w:szCs w:val="22"/>
        </w:rPr>
        <w:t xml:space="preserve">orienté et dirigé par l’auteur</w:t>
      </w:r>
      <w:r>
        <w:rPr>
          <w:rFonts w:ascii="Georgia" w:cs="Georgia" w:eastAsia="Georgia" w:hAnsi="Georgia"/>
          <w:sz w:val="22"/>
          <w:szCs w:val="22"/>
        </w:rPr>
        <w:t xml:space="preserve">, a permis sa transformation en objet mathématique rigoureux. La formalisation, les équations, et les protocoles expérimentaux présentés dans cet article sont le produit de cette collaboration.</w:t>
      </w:r>
    </w:p>
    <w:p>
      <w:pPr>
        <w:spacing w:after="100"/>
      </w:pPr>
      <w:r>
        <w:rPr>
          <w:rFonts w:ascii="Georgia" w:cs="Georgia" w:eastAsia="Georgia" w:hAnsi="Georgia"/>
          <w:sz w:val="22"/>
          <w:szCs w:val="22"/>
        </w:rPr>
        <w:t xml:space="preserve"/>
      </w:r>
    </w:p>
    <w:p>
      <w:pPr>
        <w:pStyle w:val="Heading2"/>
        <w:spacing w:after="100" w:before="280"/>
      </w:pPr>
      <w:r>
        <w:rPr>
          <w:rFonts w:ascii="Arial" w:cs="Arial" w:eastAsia="Arial" w:hAnsi="Arial"/>
          <w:b/>
          <w:bCs/>
          <w:color w:val="2C4770"/>
          <w:sz w:val="24"/>
          <w:szCs w:val="24"/>
        </w:rPr>
        <w:t xml:space="preserve">1.2  Pourquoi le Problème de la Mesure comme Cible Principale</w:t>
      </w:r>
    </w:p>
    <w:p>
      <w:pPr>
        <w:spacing w:after="160" w:before="0" w:line="280"/>
        <w:jc w:val="both"/>
      </w:pPr>
      <w:r>
        <w:rPr>
          <w:rFonts w:ascii="Georgia" w:cs="Georgia" w:eastAsia="Georgia" w:hAnsi="Georgia"/>
          <w:sz w:val="22"/>
          <w:szCs w:val="22"/>
        </w:rPr>
        <w:t xml:space="preserve">Le problème de la mesure quantique est l’un des problèmes ouverts les plus anciens et les plus fondamentaux de la physique. Depuis sa formulation rigoureuse par von Neumann (1932), il n’a reçu aucune résolution expérimentalement discriminée. Les interprétations existantes—Copenhague, mondes multiples, variables cachées de Bohm, modèles d’effondrement objectif (GRW, Diósi–Penrose)—sont mutuellement incompatibles et aucune ne génère de prédiction quantitative aisément discriminée à court terme.</w:t>
      </w:r>
    </w:p>
    <w:p>
      <w:pPr>
        <w:spacing w:after="160" w:before="0" w:line="280"/>
        <w:jc w:val="both"/>
      </w:pPr>
      <w:r>
        <w:rPr>
          <w:rFonts w:ascii="Georgia" w:cs="Georgia" w:eastAsia="Georgia" w:hAnsi="Georgia"/>
          <w:sz w:val="22"/>
          <w:szCs w:val="22"/>
        </w:rPr>
        <w:t xml:space="preserve">HDTQ apporte une réponse radicalement différente : l’effondrement de la fonction d’onde n’est pas un postulat extérieur à la théorie—c’est la conséquence naturelle de la </w:t>
      </w:r>
      <w:r>
        <w:rPr>
          <w:rFonts w:ascii="Georgia" w:cs="Georgia" w:eastAsia="Georgia" w:hAnsi="Georgia"/>
          <w:i/>
          <w:iCs/>
          <w:sz w:val="22"/>
          <w:szCs w:val="22"/>
        </w:rPr>
        <w:t xml:space="preserve">structure temporelle intermittente</w:t>
      </w:r>
      <w:r>
        <w:rPr>
          <w:rFonts w:ascii="Georgia" w:cs="Georgia" w:eastAsia="Georgia" w:hAnsi="Georgia"/>
          <w:sz w:val="22"/>
          <w:szCs w:val="22"/>
        </w:rPr>
        <w:t xml:space="preserve"> de la dynamique quantique. Chaque transition entre phase active et phase inactive constitue une projection qui réalise dynamiquement la réduction, sans observateur privilégié, sans multivers, sans variables supplémentaires. La mesure devient un phénomène ordinaire de la physique des phases.</w:t>
      </w:r>
    </w:p>
    <w:p>
      <w:pPr>
        <w:spacing w:after="100"/>
      </w:pPr>
      <w:r>
        <w:rPr>
          <w:rFonts w:ascii="Georgia" w:cs="Georgia" w:eastAsia="Georgia" w:hAnsi="Georgia"/>
          <w:sz w:val="22"/>
          <w:szCs w:val="22"/>
        </w:rPr>
        <w:t xml:space="preserve"/>
      </w:r>
    </w:p>
    <w:p>
      <w:pPr>
        <w:pStyle w:val="Heading2"/>
        <w:spacing w:after="100" w:before="280"/>
      </w:pPr>
      <w:r>
        <w:rPr>
          <w:rFonts w:ascii="Arial" w:cs="Arial" w:eastAsia="Arial" w:hAnsi="Arial"/>
          <w:b/>
          <w:bCs/>
          <w:color w:val="2C4770"/>
          <w:sz w:val="24"/>
          <w:szCs w:val="24"/>
        </w:rPr>
        <w:t xml:space="preserve">1.3  Briève Cartographie des Autres Problèmes</w:t>
      </w:r>
    </w:p>
    <w:p>
      <w:pPr>
        <w:spacing w:after="160" w:before="0" w:line="280"/>
        <w:jc w:val="both"/>
      </w:pPr>
      <w:r>
        <w:rPr>
          <w:rFonts w:ascii="Georgia" w:cs="Georgia" w:eastAsia="Georgia" w:hAnsi="Georgia"/>
          <w:sz w:val="22"/>
          <w:szCs w:val="22"/>
        </w:rPr>
        <w:t xml:space="preserve">HDTQ touche plusieurs autres problèmes ouverts, mentionnés brièvement ici pour complétude :</w:t>
      </w:r>
    </w:p>
    <w:p>
      <w:pPr>
        <w:pStyle w:val="ListParagraph"/>
        <w:numPr>
          <w:ilvl w:val="0"/>
          <w:numId w:val="2"/>
        </w:numPr>
        <w:spacing w:after="100"/>
      </w:pPr>
      <w:r>
        <w:rPr>
          <w:rFonts w:ascii="Georgia" w:cs="Georgia" w:eastAsia="Georgia" w:hAnsi="Georgia"/>
          <w:b/>
          <w:bCs/>
          <w:sz w:val="22"/>
          <w:szCs w:val="22"/>
        </w:rPr>
        <w:t xml:space="preserve">Transition quantique–classique : </w:t>
      </w:r>
      <w:r>
        <w:rPr>
          <w:rFonts w:ascii="Georgia" w:cs="Georgia" w:eastAsia="Georgia" w:hAnsi="Georgia"/>
          <w:sz w:val="22"/>
          <w:szCs w:val="22"/>
        </w:rPr>
        <w:t xml:space="preserve">le taux de décohérence en N² (intrinsèque) vs N¹ (environnementale) offre un critère de classicalité fondamental.</w:t>
      </w:r>
    </w:p>
    <w:p>
      <w:pPr>
        <w:pStyle w:val="ListParagraph"/>
        <w:numPr>
          <w:ilvl w:val="0"/>
          <w:numId w:val="2"/>
        </w:numPr>
        <w:spacing w:after="100"/>
      </w:pPr>
      <w:r>
        <w:rPr>
          <w:rFonts w:ascii="Georgia" w:cs="Georgia" w:eastAsia="Georgia" w:hAnsi="Georgia"/>
          <w:b/>
          <w:bCs/>
          <w:sz w:val="22"/>
          <w:szCs w:val="22"/>
        </w:rPr>
        <w:t xml:space="preserve">Non-localité EPR : </w:t>
      </w:r>
      <w:r>
        <w:rPr>
          <w:rFonts w:ascii="Georgia" w:cs="Georgia" w:eastAsia="Georgia" w:hAnsi="Georgia"/>
          <w:sz w:val="22"/>
          <w:szCs w:val="22"/>
        </w:rPr>
        <w:t xml:space="preserve">la synchronisation des phases temporelles des paires intriquées offre une image locale géométrique des corrélations de Bell.</w:t>
      </w:r>
    </w:p>
    <w:p>
      <w:pPr>
        <w:pStyle w:val="ListParagraph"/>
        <w:numPr>
          <w:ilvl w:val="0"/>
          <w:numId w:val="2"/>
        </w:numPr>
        <w:spacing w:after="100"/>
      </w:pPr>
      <w:r>
        <w:rPr>
          <w:rFonts w:ascii="Georgia" w:cs="Georgia" w:eastAsia="Georgia" w:hAnsi="Georgia"/>
          <w:b/>
          <w:bCs/>
          <w:sz w:val="22"/>
          <w:szCs w:val="22"/>
        </w:rPr>
        <w:t xml:space="preserve">Constante cosmologique : </w:t>
      </w:r>
      <w:r>
        <w:rPr>
          <w:rFonts w:ascii="Georgia" w:cs="Georgia" w:eastAsia="Georgia" w:hAnsi="Georgia"/>
          <w:sz w:val="22"/>
          <w:szCs w:val="22"/>
        </w:rPr>
        <w:t xml:space="preserve">la coupure UV naturelle τ₀⁻¹ ∼ 4 GeV atténue la divergence de l’énergie du vide en QFT.</w:t>
      </w:r>
    </w:p>
    <w:p>
      <w:pPr>
        <w:pStyle w:val="ListParagraph"/>
        <w:numPr>
          <w:ilvl w:val="0"/>
          <w:numId w:val="2"/>
        </w:numPr>
        <w:spacing w:after="100"/>
      </w:pPr>
      <w:r>
        <w:rPr>
          <w:rFonts w:ascii="Georgia" w:cs="Georgia" w:eastAsia="Georgia" w:hAnsi="Georgia"/>
          <w:b/>
          <w:bCs/>
          <w:sz w:val="22"/>
          <w:szCs w:val="22"/>
        </w:rPr>
        <w:t xml:space="preserve">Flèche du temps : </w:t>
      </w:r>
      <w:r>
        <w:rPr>
          <w:rFonts w:ascii="Georgia" w:cs="Georgia" w:eastAsia="Georgia" w:hAnsi="Georgia"/>
          <w:sz w:val="22"/>
          <w:szCs w:val="22"/>
        </w:rPr>
        <w:t xml:space="preserve">la discrétisation temporelle brise la symétrie de renversement si la projection est irréversible.</w:t>
      </w:r>
    </w:p>
    <w:p>
      <w:pPr>
        <w:spacing w:after="160" w:before="0" w:line="280"/>
        <w:jc w:val="both"/>
      </w:pPr>
      <w:r>
        <w:rPr>
          <w:rFonts w:ascii="Georgia" w:cs="Georgia" w:eastAsia="Georgia" w:hAnsi="Georgia"/>
          <w:sz w:val="22"/>
          <w:szCs w:val="22"/>
        </w:rPr>
        <w:t xml:space="preserve">Ces problèmes ne sont pas développés dans cet article. La quasi-totalité des développements suivants est consacrée à la résolution formelle du problème de la mesure.</w:t>
      </w:r>
    </w:p>
    <w:p>
      <w:pPr>
        <w:spacing w:after="100"/>
      </w:pPr>
      <w:r>
        <w:rPr>
          <w:rFonts w:ascii="Georgia" w:cs="Georgia" w:eastAsia="Georgia" w:hAnsi="Georgia"/>
          <w:sz w:val="22"/>
          <w:szCs w:val="22"/>
        </w:rPr>
        <w:t xml:space="preserve"/>
      </w:r>
    </w:p>
    <w:p>
      <w:pPr>
        <w:pStyle w:val="Heading1"/>
        <w:pBdr>
          <w:bottom w:val="single" w:color="2C4770" w:sz="6" w:space="3"/>
        </w:pBdr>
        <w:spacing w:after="160" w:before="400"/>
      </w:pPr>
      <w:r>
        <w:rPr>
          <w:rFonts w:ascii="Arial" w:cs="Arial" w:eastAsia="Arial" w:hAnsi="Arial"/>
          <w:b/>
          <w:bCs/>
          <w:color w:val="1A3558"/>
          <w:sz w:val="27"/>
          <w:szCs w:val="27"/>
        </w:rPr>
        <w:t xml:space="preserve">2.  Cadre Formel de l’Hypothèse de Discontinuité Temporelle Quantique</w:t>
      </w:r>
    </w:p>
    <w:p>
      <w:pPr>
        <w:pStyle w:val="Heading2"/>
        <w:spacing w:after="100" w:before="280"/>
      </w:pPr>
      <w:r>
        <w:rPr>
          <w:rFonts w:ascii="Arial" w:cs="Arial" w:eastAsia="Arial" w:hAnsi="Arial"/>
          <w:b/>
          <w:bCs/>
          <w:color w:val="2C4770"/>
          <w:sz w:val="24"/>
          <w:szCs w:val="24"/>
        </w:rPr>
        <w:t xml:space="preserve">2.1  Postulat Fondamental et Facteur d’Existence</w:t>
      </w:r>
    </w:p>
    <w:p>
      <w:pPr>
        <w:spacing w:after="160" w:before="0" w:line="280"/>
        <w:jc w:val="both"/>
      </w:pPr>
      <w:r>
        <w:rPr>
          <w:rFonts w:ascii="Georgia" w:cs="Georgia" w:eastAsia="Georgia" w:hAnsi="Georgia"/>
          <w:sz w:val="22"/>
          <w:szCs w:val="22"/>
        </w:rPr>
        <w:t xml:space="preserve">HDTQ postule que le temps physique n’agit pas continument sur les états quantiques. L’évolution est phasée : sur chaque intervalle τ₀, la particule est dans une phase </w:t>
      </w:r>
      <w:r>
        <w:rPr>
          <w:rFonts w:ascii="Georgia" w:cs="Georgia" w:eastAsia="Georgia" w:hAnsi="Georgia"/>
          <w:i/>
          <w:iCs/>
          <w:sz w:val="22"/>
          <w:szCs w:val="22"/>
        </w:rPr>
        <w:t xml:space="preserve">active</w:t>
      </w:r>
      <w:r>
        <w:rPr>
          <w:rFonts w:ascii="Georgia" w:cs="Georgia" w:eastAsia="Georgia" w:hAnsi="Georgia"/>
          <w:sz w:val="22"/>
          <w:szCs w:val="22"/>
        </w:rPr>
        <w:t xml:space="preserve"> (durée Eτ₀, évolution unitaire sous Ĥ) ou dans une phase </w:t>
      </w:r>
      <w:r>
        <w:rPr>
          <w:rFonts w:ascii="Georgia" w:cs="Georgia" w:eastAsia="Georgia" w:hAnsi="Georgia"/>
          <w:i/>
          <w:iCs/>
          <w:sz w:val="22"/>
          <w:szCs w:val="22"/>
        </w:rPr>
        <w:t xml:space="preserve">inactive</w:t>
      </w:r>
      <w:r>
        <w:rPr>
          <w:rFonts w:ascii="Georgia" w:cs="Georgia" w:eastAsia="Georgia" w:hAnsi="Georgia"/>
          <w:sz w:val="22"/>
          <w:szCs w:val="22"/>
        </w:rPr>
        <w:t xml:space="preserve"> (durée (1−E)τ₀, hamiltonien suspendu). Le </w:t>
      </w:r>
      <w:r>
        <w:rPr>
          <w:rFonts w:ascii="Georgia" w:cs="Georgia" w:eastAsia="Georgia" w:hAnsi="Georgia"/>
          <w:b/>
          <w:bCs/>
          <w:sz w:val="22"/>
          <w:szCs w:val="22"/>
        </w:rPr>
        <w:t xml:space="preserve">facteur d’existence</w:t>
      </w:r>
      <w:r>
        <w:rPr>
          <w:rFonts w:ascii="Georgia" w:cs="Georgia" w:eastAsia="Georgia" w:hAnsi="Georgia"/>
          <w:sz w:val="22"/>
          <w:szCs w:val="22"/>
        </w:rPr>
        <w:t xml:space="preserve"> E ∈ (0, 1] est défini par :</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8208"/>
        <w:gridCol w:w="1152"/>
      </w:tblGrid>
      <w:tr>
        <w:tc>
          <w:tcPr>
            <w:tcW w:type="dxa" w:w="8208"/>
            <w:tcBorders>
              <w:top w:val="none" w:color="FFFFFF" w:sz="0"/>
              <w:left w:val="none" w:color="FFFFFF" w:sz="0"/>
              <w:bottom w:val="none" w:color="FFFFFF" w:sz="0"/>
              <w:right w:val="none" w:color="FFFFFF" w:sz="0"/>
            </w:tcBorders>
            <w:tcMar>
              <w:top w:type="dxa" w:w="100"/>
              <w:left w:type="dxa" w:w="400"/>
              <w:bottom w:type="dxa" w:w="100"/>
              <w:right w:type="dxa" w:w="100"/>
            </w:tcMar>
          </w:tcPr>
          <w:p>
            <w:pPr>
              <w:jc w:val="center"/>
            </w:pPr>
            <w:r>
              <w:rPr>
                <w:rFonts w:ascii="Cambria Math" w:cs="Cambria Math" w:eastAsia="Cambria Math" w:hAnsi="Cambria Math"/>
                <w:i/>
                <w:iCs/>
                <w:sz w:val="24"/>
                <w:szCs w:val="24"/>
              </w:rPr>
              <w:t xml:space="preserve">E = τ_{évolution} / τ_0 ≪ 1</w:t>
            </w:r>
          </w:p>
        </w:tc>
        <w:tc>
          <w:tcPr>
            <w:tcW w:type="dxa" w:w="1152"/>
            <w:tcBorders>
              <w:top w:val="none" w:color="FFFFFF" w:sz="0"/>
              <w:left w:val="none" w:color="FFFFFF" w:sz="0"/>
              <w:bottom w:val="none" w:color="FFFFFF" w:sz="0"/>
              <w:right w:val="none" w:color="FFFFFF" w:sz="0"/>
            </w:tcBorders>
            <w:tcMar>
              <w:top w:type="dxa" w:w="100"/>
              <w:left w:type="dxa" w:w="40"/>
              <w:bottom w:type="dxa" w:w="100"/>
              <w:right w:type="dxa" w:w="80"/>
            </w:tcMar>
          </w:tcPr>
          <w:p>
            <w:pPr>
              <w:jc w:val="right"/>
            </w:pPr>
            <w:r>
              <w:rPr>
                <w:rFonts w:ascii="Georgia" w:cs="Georgia" w:eastAsia="Georgia" w:hAnsi="Georgia"/>
                <w:color w:val="777777"/>
                <w:sz w:val="20"/>
                <w:szCs w:val="20"/>
              </w:rPr>
              <w:t xml:space="preserve">(2)</w:t>
            </w:r>
          </w:p>
        </w:tc>
      </w:tr>
    </w:tbl>
    <w:p>
      <w:pPr>
        <w:spacing w:after="160" w:before="0" w:line="280"/>
        <w:jc w:val="both"/>
      </w:pPr>
      <w:r>
        <w:rPr>
          <w:rFonts w:ascii="Georgia" w:cs="Georgia" w:eastAsia="Georgia" w:hAnsi="Georgia"/>
          <w:sz w:val="22"/>
          <w:szCs w:val="22"/>
        </w:rPr>
        <w:t xml:space="preserve">par analogie directe avec le facteur de présence spatiale ηₛₚ de l’éq. (1). L’opérateur d’évolution sur un cycle complet est :</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8208"/>
        <w:gridCol w:w="1152"/>
      </w:tblGrid>
      <w:tr>
        <w:tc>
          <w:tcPr>
            <w:tcW w:type="dxa" w:w="8208"/>
            <w:tcBorders>
              <w:top w:val="none" w:color="FFFFFF" w:sz="0"/>
              <w:left w:val="none" w:color="FFFFFF" w:sz="0"/>
              <w:bottom w:val="none" w:color="FFFFFF" w:sz="0"/>
              <w:right w:val="none" w:color="FFFFFF" w:sz="0"/>
            </w:tcBorders>
            <w:tcMar>
              <w:top w:type="dxa" w:w="100"/>
              <w:left w:type="dxa" w:w="400"/>
              <w:bottom w:type="dxa" w:w="100"/>
              <w:right w:type="dxa" w:w="100"/>
            </w:tcMar>
          </w:tcPr>
          <w:p>
            <w:pPr>
              <w:jc w:val="center"/>
            </w:pPr>
            <w:r>
              <w:rPr>
                <w:rFonts w:ascii="Cambria Math" w:cs="Cambria Math" w:eastAsia="Cambria Math" w:hAnsi="Cambria Math"/>
                <w:i/>
                <w:iCs/>
                <w:sz w:val="24"/>
                <w:szCs w:val="24"/>
              </w:rPr>
              <w:t xml:space="preserve">Û(τ_0) = P̂ · e^{−iĤEτ_0/ℏ} + (1−E)·î</w:t>
            </w:r>
          </w:p>
        </w:tc>
        <w:tc>
          <w:tcPr>
            <w:tcW w:type="dxa" w:w="1152"/>
            <w:tcBorders>
              <w:top w:val="none" w:color="FFFFFF" w:sz="0"/>
              <w:left w:val="none" w:color="FFFFFF" w:sz="0"/>
              <w:bottom w:val="none" w:color="FFFFFF" w:sz="0"/>
              <w:right w:val="none" w:color="FFFFFF" w:sz="0"/>
            </w:tcBorders>
            <w:tcMar>
              <w:top w:type="dxa" w:w="100"/>
              <w:left w:type="dxa" w:w="40"/>
              <w:bottom w:type="dxa" w:w="100"/>
              <w:right w:type="dxa" w:w="80"/>
            </w:tcMar>
          </w:tcPr>
          <w:p>
            <w:pPr>
              <w:jc w:val="right"/>
            </w:pPr>
            <w:r>
              <w:rPr>
                <w:rFonts w:ascii="Georgia" w:cs="Georgia" w:eastAsia="Georgia" w:hAnsi="Georgia"/>
                <w:color w:val="777777"/>
                <w:sz w:val="20"/>
                <w:szCs w:val="20"/>
              </w:rPr>
              <w:t xml:space="preserve">(3)</w:t>
            </w:r>
          </w:p>
        </w:tc>
      </w:tr>
    </w:tbl>
    <w:p>
      <w:pPr>
        <w:spacing w:after="160" w:before="0" w:line="280"/>
        <w:jc w:val="both"/>
      </w:pPr>
      <w:r>
        <w:rPr>
          <w:rFonts w:ascii="Georgia" w:cs="Georgia" w:eastAsia="Georgia" w:hAnsi="Georgia"/>
          <w:sz w:val="22"/>
          <w:szCs w:val="22"/>
        </w:rPr>
        <w:t xml:space="preserve">où P̂ est l’opérateur de projection temporel (défini en §3) et î l’identité. Sur N cycles (T = Nτ₀), l’évolution effective est :</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8208"/>
        <w:gridCol w:w="1152"/>
      </w:tblGrid>
      <w:tr>
        <w:tc>
          <w:tcPr>
            <w:tcW w:type="dxa" w:w="8208"/>
            <w:tcBorders>
              <w:top w:val="none" w:color="FFFFFF" w:sz="0"/>
              <w:left w:val="none" w:color="FFFFFF" w:sz="0"/>
              <w:bottom w:val="none" w:color="FFFFFF" w:sz="0"/>
              <w:right w:val="none" w:color="FFFFFF" w:sz="0"/>
            </w:tcBorders>
            <w:tcMar>
              <w:top w:type="dxa" w:w="100"/>
              <w:left w:type="dxa" w:w="400"/>
              <w:bottom w:type="dxa" w:w="100"/>
              <w:right w:type="dxa" w:w="100"/>
            </w:tcMar>
          </w:tcPr>
          <w:p>
            <w:pPr>
              <w:jc w:val="center"/>
            </w:pPr>
            <w:r>
              <w:rPr>
                <w:rFonts w:ascii="Cambria Math" w:cs="Cambria Math" w:eastAsia="Cambria Math" w:hAnsi="Cambria Math"/>
                <w:i/>
                <w:iCs/>
                <w:sz w:val="24"/>
                <w:szCs w:val="24"/>
              </w:rPr>
              <w:t xml:space="preserve">U(T) = ∏_{n=1}^{N} Û(τ_0) ≈ e^{−iĤET/ℏ} · P̂^N</w:t>
            </w:r>
          </w:p>
        </w:tc>
        <w:tc>
          <w:tcPr>
            <w:tcW w:type="dxa" w:w="1152"/>
            <w:tcBorders>
              <w:top w:val="none" w:color="FFFFFF" w:sz="0"/>
              <w:left w:val="none" w:color="FFFFFF" w:sz="0"/>
              <w:bottom w:val="none" w:color="FFFFFF" w:sz="0"/>
              <w:right w:val="none" w:color="FFFFFF" w:sz="0"/>
            </w:tcBorders>
            <w:tcMar>
              <w:top w:type="dxa" w:w="100"/>
              <w:left w:type="dxa" w:w="40"/>
              <w:bottom w:type="dxa" w:w="100"/>
              <w:right w:type="dxa" w:w="80"/>
            </w:tcMar>
          </w:tcPr>
          <w:p>
            <w:pPr>
              <w:jc w:val="right"/>
            </w:pPr>
            <w:r>
              <w:rPr>
                <w:rFonts w:ascii="Georgia" w:cs="Georgia" w:eastAsia="Georgia" w:hAnsi="Georgia"/>
                <w:color w:val="777777"/>
                <w:sz w:val="20"/>
                <w:szCs w:val="20"/>
              </w:rPr>
              <w:t xml:space="preserve">(4)</w:t>
            </w:r>
          </w:p>
        </w:tc>
      </w:tr>
    </w:tbl>
    <w:p>
      <w:pPr>
        <w:spacing w:after="160" w:before="0" w:line="280"/>
        <w:jc w:val="both"/>
      </w:pPr>
      <w:r>
        <w:rPr>
          <w:rFonts w:ascii="Georgia" w:cs="Georgia" w:eastAsia="Georgia" w:hAnsi="Georgia"/>
          <w:sz w:val="22"/>
          <w:szCs w:val="22"/>
        </w:rPr>
        <w:t xml:space="preserve">La mécanique quantique standard est restaurée à la double limite E → 1, τ₀ → 0 avec Eτ₀ constant.</w:t>
      </w:r>
    </w:p>
    <w:p>
      <w:pPr>
        <w:spacing w:after="100"/>
      </w:pPr>
      <w:r>
        <w:rPr>
          <w:rFonts w:ascii="Georgia" w:cs="Georgia" w:eastAsia="Georgia" w:hAnsi="Georgia"/>
          <w:sz w:val="22"/>
          <w:szCs w:val="22"/>
        </w:rPr>
        <w:t xml:space="preserve"/>
      </w:r>
    </w:p>
    <w:p>
      <w:pPr>
        <w:pStyle w:val="Heading2"/>
        <w:spacing w:after="100" w:before="280"/>
      </w:pPr>
      <w:r>
        <w:rPr>
          <w:rFonts w:ascii="Arial" w:cs="Arial" w:eastAsia="Arial" w:hAnsi="Arial"/>
          <w:b/>
          <w:bCs/>
          <w:color w:val="2C4770"/>
          <w:sz w:val="24"/>
          <w:szCs w:val="24"/>
        </w:rPr>
        <w:t xml:space="preserve">2.2  Échelle Caractéristique τ₀</w:t>
      </w:r>
    </w:p>
    <w:p>
      <w:pPr>
        <w:spacing w:after="160" w:before="0" w:line="280"/>
        <w:jc w:val="both"/>
      </w:pPr>
      <w:r>
        <w:rPr>
          <w:rFonts w:ascii="Georgia" w:cs="Georgia" w:eastAsia="Georgia" w:hAnsi="Georgia"/>
          <w:sz w:val="22"/>
          <w:szCs w:val="22"/>
        </w:rPr>
        <w:t xml:space="preserve">La valeur τ₀ ∼ 10⁻²⁴ s est motivée par proximité avec les échelles hadroniques (τ_hadr ∼ 10⁻²⁴ s) et électrofaibles (τ_W ∼ 4 × 10⁻²⁷ s). Nous traitons τ₀ comme un </w:t>
      </w:r>
      <w:r>
        <w:rPr>
          <w:rFonts w:ascii="Georgia" w:cs="Georgia" w:eastAsia="Georgia" w:hAnsi="Georgia"/>
          <w:b/>
          <w:bCs/>
          <w:sz w:val="22"/>
          <w:szCs w:val="22"/>
        </w:rPr>
        <w:t xml:space="preserve">paramètre phénoménologique libre</w:t>
      </w:r>
      <w:r>
        <w:rPr>
          <w:rFonts w:ascii="Georgia" w:cs="Georgia" w:eastAsia="Georgia" w:hAnsi="Georgia"/>
          <w:sz w:val="22"/>
          <w:szCs w:val="22"/>
        </w:rPr>
        <w:t xml:space="preserve">, contraint :</w:t>
      </w:r>
    </w:p>
    <w:p>
      <w:pPr>
        <w:pStyle w:val="ListParagraph"/>
        <w:numPr>
          <w:ilvl w:val="0"/>
          <w:numId w:val="2"/>
        </w:numPr>
        <w:spacing w:after="100"/>
      </w:pPr>
      <w:r>
        <w:rPr>
          <w:rFonts w:ascii="Georgia" w:cs="Georgia" w:eastAsia="Georgia" w:hAnsi="Georgia"/>
          <w:sz w:val="22"/>
          <w:szCs w:val="22"/>
        </w:rPr>
        <w:t xml:space="preserve">Par le haut : les données spectroscopiques (voir §5) imposent τ₀ &lt; 3 × 10⁻²⁴ s.</w:t>
      </w:r>
    </w:p>
    <w:p>
      <w:pPr>
        <w:pStyle w:val="ListParagraph"/>
        <w:numPr>
          <w:ilvl w:val="0"/>
          <w:numId w:val="2"/>
        </w:numPr>
        <w:spacing w:after="100"/>
      </w:pPr>
      <w:r>
        <w:rPr>
          <w:rFonts w:ascii="Georgia" w:cs="Georgia" w:eastAsia="Georgia" w:hAnsi="Georgia"/>
          <w:sz w:val="22"/>
          <w:szCs w:val="22"/>
        </w:rPr>
        <w:t xml:space="preserve">Par le bas : les arguments de gravité quantique à boucles et causal sets situent toute granularité fondamentale au-dessus du temps de Planck t_P ≈ 5,4 × 10⁻⁄⁴ s.</w:t>
      </w:r>
    </w:p>
    <w:p>
      <w:pPr>
        <w:pStyle w:val="ListParagraph"/>
        <w:numPr>
          <w:ilvl w:val="0"/>
          <w:numId w:val="2"/>
        </w:numPr>
        <w:spacing w:after="100"/>
      </w:pPr>
      <w:r>
        <w:rPr>
          <w:rFonts w:ascii="Georgia" w:cs="Georgia" w:eastAsia="Georgia" w:hAnsi="Georgia"/>
          <w:sz w:val="22"/>
          <w:szCs w:val="22"/>
        </w:rPr>
        <w:t xml:space="preserve">Par les données Fermi-LAT : |δv/c| ≲ 10⁻¹¹ à 1 TeV implique τ₀ ≲ 10⁻²³ s.</w:t>
      </w:r>
    </w:p>
    <w:p>
      <w:pPr>
        <w:spacing w:after="100"/>
      </w:pPr>
      <w:r>
        <w:rPr>
          <w:rFonts w:ascii="Georgia" w:cs="Georgia" w:eastAsia="Georgia" w:hAnsi="Georgia"/>
          <w:sz w:val="22"/>
          <w:szCs w:val="22"/>
        </w:rPr>
        <w:t xml:space="preserve"/>
      </w:r>
    </w:p>
    <w:p>
      <w:pPr>
        <w:pStyle w:val="Heading2"/>
        <w:spacing w:after="100" w:before="280"/>
      </w:pPr>
      <w:r>
        <w:rPr>
          <w:rFonts w:ascii="Arial" w:cs="Arial" w:eastAsia="Arial" w:hAnsi="Arial"/>
          <w:b/>
          <w:bCs/>
          <w:color w:val="2C4770"/>
          <w:sz w:val="24"/>
          <w:szCs w:val="24"/>
        </w:rPr>
        <w:t xml:space="preserve">2.3  Limites Conceptuelles Identifiées</w:t>
      </w:r>
    </w:p>
    <w:p>
      <w:pPr>
        <w:spacing w:after="160" w:before="0" w:line="280"/>
        <w:jc w:val="both"/>
      </w:pPr>
      <w:r>
        <w:rPr>
          <w:rFonts w:ascii="Georgia" w:cs="Georgia" w:eastAsia="Georgia" w:hAnsi="Georgia"/>
          <w:sz w:val="22"/>
          <w:szCs w:val="22"/>
        </w:rPr>
        <w:t xml:space="preserve">Quatre problèmes sont identifiés ; chacun a une voie de reformulation :</w:t>
      </w:r>
    </w:p>
    <w:p>
      <w:pPr>
        <w:spacing w:after="100"/>
      </w:pPr>
      <w:r>
        <w:rPr>
          <w:rFonts w:ascii="Georgia" w:cs="Georgia" w:eastAsia="Georgia" w:hAnsi="Georgia"/>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592"/>
        <w:gridCol w:w="2736"/>
        <w:gridCol w:w="4032"/>
      </w:tblGrid>
      <w:tr>
        <w:trPr>
          <w:trHeight w:val="600" w:hRule="atLeast"/>
        </w:trPr>
        <w:tc>
          <w:tcPr>
            <w:tcW w:type="dxa" w:w="2592"/>
            <w:tcBorders>
              <w:top w:val="single" w:color="1A3558" w:sz="6"/>
              <w:left w:val="single" w:color="1A3558" w:sz="6"/>
              <w:bottom w:val="single" w:color="1A3558" w:sz="6"/>
              <w:right w:val="single" w:color="1A3558" w:sz="6"/>
            </w:tcBorders>
            <w:shd w:fill="1A3558" w:val="clear"/>
            <w:tcMar>
              <w:top w:type="dxa" w:w="140"/>
              <w:left w:type="dxa" w:w="180"/>
              <w:bottom w:type="dxa" w:w="140"/>
              <w:right w:type="dxa" w:w="180"/>
            </w:tcMar>
            <w:vAlign w:val="center"/>
          </w:tcPr>
          <w:p>
            <w:pPr>
              <w:spacing w:line="260"/>
              <w:jc w:val="left"/>
            </w:pPr>
            <w:r>
              <w:rPr>
                <w:rFonts w:ascii="Georgia" w:cs="Georgia" w:eastAsia="Georgia" w:hAnsi="Georgia"/>
                <w:b/>
                <w:bCs/>
                <w:color w:val="FFFFFF"/>
                <w:sz w:val="21"/>
                <w:szCs w:val="21"/>
              </w:rPr>
              <w:t xml:space="preserve">Problème</w:t>
            </w:r>
          </w:p>
        </w:tc>
        <w:tc>
          <w:tcPr>
            <w:tcW w:type="dxa" w:w="2736"/>
            <w:tcBorders>
              <w:top w:val="single" w:color="1A3558" w:sz="6"/>
              <w:left w:val="single" w:color="1A3558" w:sz="6"/>
              <w:bottom w:val="single" w:color="1A3558" w:sz="6"/>
              <w:right w:val="single" w:color="1A3558" w:sz="6"/>
            </w:tcBorders>
            <w:shd w:fill="1A3558" w:val="clear"/>
            <w:tcMar>
              <w:top w:type="dxa" w:w="140"/>
              <w:left w:type="dxa" w:w="180"/>
              <w:bottom w:type="dxa" w:w="140"/>
              <w:right w:type="dxa" w:w="180"/>
            </w:tcMar>
            <w:vAlign w:val="center"/>
          </w:tcPr>
          <w:p>
            <w:pPr>
              <w:spacing w:line="260"/>
              <w:jc w:val="left"/>
            </w:pPr>
            <w:r>
              <w:rPr>
                <w:rFonts w:ascii="Georgia" w:cs="Georgia" w:eastAsia="Georgia" w:hAnsi="Georgia"/>
                <w:b/>
                <w:bCs/>
                <w:color w:val="FFFFFF"/>
                <w:sz w:val="21"/>
                <w:szCs w:val="21"/>
              </w:rPr>
              <w:t xml:space="preserve">Nature</w:t>
            </w:r>
          </w:p>
        </w:tc>
        <w:tc>
          <w:tcPr>
            <w:tcW w:type="dxa" w:w="4032"/>
            <w:tcBorders>
              <w:top w:val="single" w:color="1A3558" w:sz="6"/>
              <w:left w:val="single" w:color="1A3558" w:sz="6"/>
              <w:bottom w:val="single" w:color="1A3558" w:sz="6"/>
              <w:right w:val="single" w:color="1A3558" w:sz="6"/>
            </w:tcBorders>
            <w:shd w:fill="1A3558" w:val="clear"/>
            <w:tcMar>
              <w:top w:type="dxa" w:w="140"/>
              <w:left w:type="dxa" w:w="180"/>
              <w:bottom w:type="dxa" w:w="140"/>
              <w:right w:type="dxa" w:w="180"/>
            </w:tcMar>
            <w:vAlign w:val="center"/>
          </w:tcPr>
          <w:p>
            <w:pPr>
              <w:spacing w:line="260"/>
              <w:jc w:val="left"/>
            </w:pPr>
            <w:r>
              <w:rPr>
                <w:rFonts w:ascii="Georgia" w:cs="Georgia" w:eastAsia="Georgia" w:hAnsi="Georgia"/>
                <w:b/>
                <w:bCs/>
                <w:color w:val="FFFFFF"/>
                <w:sz w:val="21"/>
                <w:szCs w:val="21"/>
              </w:rPr>
              <w:t xml:space="preserve">Voie de résolution</w:t>
            </w:r>
          </w:p>
        </w:tc>
      </w:tr>
      <w:tr>
        <w:trPr>
          <w:trHeight w:val="480" w:hRule="atLeast"/>
        </w:trPr>
        <w:tc>
          <w:tcPr>
            <w:tcW w:type="dxa" w:w="2592"/>
            <w:tcBorders>
              <w:top w:val="single" w:color="1A3558" w:sz="6"/>
              <w:left w:val="single" w:color="1A3558" w:sz="6"/>
              <w:bottom w:val="single" w:color="1A3558" w:sz="6"/>
              <w:right w:val="single" w:color="1A3558" w:sz="6"/>
            </w:tcBorders>
            <w:shd w:fill="F0F4FA" w:val="clear"/>
            <w:tcMar>
              <w:top w:type="dxa" w:w="140"/>
              <w:left w:type="dxa" w:w="180"/>
              <w:bottom w:type="dxa" w:w="140"/>
              <w:right w:type="dxa" w:w="180"/>
            </w:tcMar>
            <w:vAlign w:val="center"/>
          </w:tcPr>
          <w:p>
            <w:pPr>
              <w:spacing w:line="260"/>
              <w:jc w:val="left"/>
            </w:pPr>
            <w:r>
              <w:rPr>
                <w:rFonts w:ascii="Georgia" w:cs="Georgia" w:eastAsia="Georgia" w:hAnsi="Georgia"/>
                <w:b w:val="false"/>
                <w:bCs w:val="false"/>
                <w:color w:val="111111"/>
                <w:sz w:val="21"/>
                <w:szCs w:val="21"/>
              </w:rPr>
              <w:t xml:space="preserve">Non-existence temporelle</w:t>
            </w:r>
          </w:p>
        </w:tc>
        <w:tc>
          <w:tcPr>
            <w:tcW w:type="dxa" w:w="2736"/>
            <w:tcBorders>
              <w:top w:val="single" w:color="1A3558" w:sz="6"/>
              <w:left w:val="single" w:color="1A3558" w:sz="6"/>
              <w:bottom w:val="single" w:color="1A3558" w:sz="6"/>
              <w:right w:val="single" w:color="1A3558" w:sz="6"/>
            </w:tcBorders>
            <w:shd w:fill="FFFFFF" w:val="clear"/>
            <w:tcMar>
              <w:top w:type="dxa" w:w="140"/>
              <w:left w:type="dxa" w:w="180"/>
              <w:bottom w:type="dxa" w:w="140"/>
              <w:right w:type="dxa" w:w="180"/>
            </w:tcMar>
            <w:vAlign w:val="center"/>
          </w:tcPr>
          <w:p>
            <w:pPr>
              <w:spacing w:line="260"/>
              <w:jc w:val="left"/>
            </w:pPr>
            <w:r>
              <w:rPr>
                <w:rFonts w:ascii="Georgia" w:cs="Georgia" w:eastAsia="Georgia" w:hAnsi="Georgia"/>
                <w:b w:val="false"/>
                <w:bCs w:val="false"/>
                <w:color w:val="111111"/>
                <w:sz w:val="21"/>
                <w:szCs w:val="21"/>
              </w:rPr>
              <w:t xml:space="preserve">Ontologiquement indéfini</w:t>
            </w:r>
          </w:p>
        </w:tc>
        <w:tc>
          <w:tcPr>
            <w:tcW w:type="dxa" w:w="4032"/>
            <w:tcBorders>
              <w:top w:val="single" w:color="1A3558" w:sz="6"/>
              <w:left w:val="single" w:color="1A3558" w:sz="6"/>
              <w:bottom w:val="single" w:color="1A3558" w:sz="6"/>
              <w:right w:val="single" w:color="1A3558" w:sz="6"/>
            </w:tcBorders>
            <w:shd w:fill="F0F4FA" w:val="clear"/>
            <w:tcMar>
              <w:top w:type="dxa" w:w="140"/>
              <w:left w:type="dxa" w:w="180"/>
              <w:bottom w:type="dxa" w:w="140"/>
              <w:right w:type="dxa" w:w="180"/>
            </w:tcMar>
            <w:vAlign w:val="center"/>
          </w:tcPr>
          <w:p>
            <w:pPr>
              <w:spacing w:line="260"/>
              <w:jc w:val="left"/>
            </w:pPr>
            <w:r>
              <w:rPr>
                <w:rFonts w:ascii="Georgia" w:cs="Georgia" w:eastAsia="Georgia" w:hAnsi="Georgia"/>
                <w:b w:val="false"/>
                <w:bCs w:val="false"/>
                <w:color w:val="111111"/>
                <w:sz w:val="21"/>
                <w:szCs w:val="21"/>
              </w:rPr>
              <w:t xml:space="preserve">Reformuler en phases actives/inactives orthogonales</w:t>
            </w:r>
          </w:p>
        </w:tc>
      </w:tr>
      <w:tr>
        <w:trPr>
          <w:trHeight w:val="480" w:hRule="atLeast"/>
        </w:trPr>
        <w:tc>
          <w:tcPr>
            <w:tcW w:type="dxa" w:w="2592"/>
            <w:tcBorders>
              <w:top w:val="single" w:color="1A3558" w:sz="6"/>
              <w:left w:val="single" w:color="1A3558" w:sz="6"/>
              <w:bottom w:val="single" w:color="1A3558" w:sz="6"/>
              <w:right w:val="single" w:color="1A3558" w:sz="6"/>
            </w:tcBorders>
            <w:shd w:fill="F0F4FA" w:val="clear"/>
            <w:tcMar>
              <w:top w:type="dxa" w:w="140"/>
              <w:left w:type="dxa" w:w="180"/>
              <w:bottom w:type="dxa" w:w="140"/>
              <w:right w:type="dxa" w:w="180"/>
            </w:tcMar>
            <w:vAlign w:val="center"/>
          </w:tcPr>
          <w:p>
            <w:pPr>
              <w:spacing w:line="260"/>
              <w:jc w:val="left"/>
            </w:pPr>
            <w:r>
              <w:rPr>
                <w:rFonts w:ascii="Georgia" w:cs="Georgia" w:eastAsia="Georgia" w:hAnsi="Georgia"/>
                <w:b w:val="false"/>
                <w:bCs w:val="false"/>
                <w:color w:val="111111"/>
                <w:sz w:val="21"/>
                <w:szCs w:val="21"/>
              </w:rPr>
              <w:t xml:space="preserve">τ₀ non dérivé</w:t>
            </w:r>
          </w:p>
        </w:tc>
        <w:tc>
          <w:tcPr>
            <w:tcW w:type="dxa" w:w="2736"/>
            <w:tcBorders>
              <w:top w:val="single" w:color="1A3558" w:sz="6"/>
              <w:left w:val="single" w:color="1A3558" w:sz="6"/>
              <w:bottom w:val="single" w:color="1A3558" w:sz="6"/>
              <w:right w:val="single" w:color="1A3558" w:sz="6"/>
            </w:tcBorders>
            <w:shd w:fill="FFFFFF" w:val="clear"/>
            <w:tcMar>
              <w:top w:type="dxa" w:w="140"/>
              <w:left w:type="dxa" w:w="180"/>
              <w:bottom w:type="dxa" w:w="140"/>
              <w:right w:type="dxa" w:w="180"/>
            </w:tcMar>
            <w:vAlign w:val="center"/>
          </w:tcPr>
          <w:p>
            <w:pPr>
              <w:spacing w:line="260"/>
              <w:jc w:val="left"/>
            </w:pPr>
            <w:r>
              <w:rPr>
                <w:rFonts w:ascii="Georgia" w:cs="Georgia" w:eastAsia="Georgia" w:hAnsi="Georgia"/>
                <w:b w:val="false"/>
                <w:bCs w:val="false"/>
                <w:color w:val="111111"/>
                <w:sz w:val="21"/>
                <w:szCs w:val="21"/>
              </w:rPr>
              <w:t xml:space="preserve">Paramètre libre</w:t>
            </w:r>
          </w:p>
        </w:tc>
        <w:tc>
          <w:tcPr>
            <w:tcW w:type="dxa" w:w="4032"/>
            <w:tcBorders>
              <w:top w:val="single" w:color="1A3558" w:sz="6"/>
              <w:left w:val="single" w:color="1A3558" w:sz="6"/>
              <w:bottom w:val="single" w:color="1A3558" w:sz="6"/>
              <w:right w:val="single" w:color="1A3558" w:sz="6"/>
            </w:tcBorders>
            <w:shd w:fill="F0F4FA" w:val="clear"/>
            <w:tcMar>
              <w:top w:type="dxa" w:w="140"/>
              <w:left w:type="dxa" w:w="180"/>
              <w:bottom w:type="dxa" w:w="140"/>
              <w:right w:type="dxa" w:w="180"/>
            </w:tcMar>
            <w:vAlign w:val="center"/>
          </w:tcPr>
          <w:p>
            <w:pPr>
              <w:spacing w:line="260"/>
              <w:jc w:val="left"/>
            </w:pPr>
            <w:r>
              <w:rPr>
                <w:rFonts w:ascii="Georgia" w:cs="Georgia" w:eastAsia="Georgia" w:hAnsi="Georgia"/>
                <w:b w:val="false"/>
                <w:bCs w:val="false"/>
                <w:color w:val="111111"/>
                <w:sz w:val="21"/>
                <w:szCs w:val="21"/>
              </w:rPr>
              <w:t xml:space="preserve">Contraindre expérimentalement (Protocole I)</w:t>
            </w:r>
          </w:p>
        </w:tc>
      </w:tr>
      <w:tr>
        <w:trPr>
          <w:trHeight w:val="480" w:hRule="atLeast"/>
        </w:trPr>
        <w:tc>
          <w:tcPr>
            <w:tcW w:type="dxa" w:w="2592"/>
            <w:tcBorders>
              <w:top w:val="single" w:color="1A3558" w:sz="6"/>
              <w:left w:val="single" w:color="1A3558" w:sz="6"/>
              <w:bottom w:val="single" w:color="1A3558" w:sz="6"/>
              <w:right w:val="single" w:color="1A3558" w:sz="6"/>
            </w:tcBorders>
            <w:shd w:fill="F0F4FA" w:val="clear"/>
            <w:tcMar>
              <w:top w:type="dxa" w:w="140"/>
              <w:left w:type="dxa" w:w="180"/>
              <w:bottom w:type="dxa" w:w="140"/>
              <w:right w:type="dxa" w:w="180"/>
            </w:tcMar>
            <w:vAlign w:val="center"/>
          </w:tcPr>
          <w:p>
            <w:pPr>
              <w:spacing w:line="260"/>
              <w:jc w:val="left"/>
            </w:pPr>
            <w:r>
              <w:rPr>
                <w:rFonts w:ascii="Georgia" w:cs="Georgia" w:eastAsia="Georgia" w:hAnsi="Georgia"/>
                <w:b w:val="false"/>
                <w:bCs w:val="false"/>
                <w:color w:val="111111"/>
                <w:sz w:val="21"/>
                <w:szCs w:val="21"/>
              </w:rPr>
              <w:t xml:space="preserve">Violation de Lorentz</w:t>
            </w:r>
          </w:p>
        </w:tc>
        <w:tc>
          <w:tcPr>
            <w:tcW w:type="dxa" w:w="2736"/>
            <w:tcBorders>
              <w:top w:val="single" w:color="1A3558" w:sz="6"/>
              <w:left w:val="single" w:color="1A3558" w:sz="6"/>
              <w:bottom w:val="single" w:color="1A3558" w:sz="6"/>
              <w:right w:val="single" w:color="1A3558" w:sz="6"/>
            </w:tcBorders>
            <w:shd w:fill="FFFFFF" w:val="clear"/>
            <w:tcMar>
              <w:top w:type="dxa" w:w="140"/>
              <w:left w:type="dxa" w:w="180"/>
              <w:bottom w:type="dxa" w:w="140"/>
              <w:right w:type="dxa" w:w="180"/>
            </w:tcMar>
            <w:vAlign w:val="center"/>
          </w:tcPr>
          <w:p>
            <w:pPr>
              <w:spacing w:line="260"/>
              <w:jc w:val="left"/>
            </w:pPr>
            <w:r>
              <w:rPr>
                <w:rFonts w:ascii="Georgia" w:cs="Georgia" w:eastAsia="Georgia" w:hAnsi="Georgia"/>
                <w:b w:val="false"/>
                <w:bCs w:val="false"/>
                <w:color w:val="111111"/>
                <w:sz w:val="21"/>
                <w:szCs w:val="21"/>
              </w:rPr>
              <w:t xml:space="preserve">τ₀ brise l’invariance</w:t>
            </w:r>
          </w:p>
        </w:tc>
        <w:tc>
          <w:tcPr>
            <w:tcW w:type="dxa" w:w="4032"/>
            <w:tcBorders>
              <w:top w:val="single" w:color="1A3558" w:sz="6"/>
              <w:left w:val="single" w:color="1A3558" w:sz="6"/>
              <w:bottom w:val="single" w:color="1A3558" w:sz="6"/>
              <w:right w:val="single" w:color="1A3558" w:sz="6"/>
            </w:tcBorders>
            <w:shd w:fill="F0F4FA" w:val="clear"/>
            <w:tcMar>
              <w:top w:type="dxa" w:w="140"/>
              <w:left w:type="dxa" w:w="180"/>
              <w:bottom w:type="dxa" w:w="140"/>
              <w:right w:type="dxa" w:w="180"/>
            </w:tcMar>
            <w:vAlign w:val="center"/>
          </w:tcPr>
          <w:p>
            <w:pPr>
              <w:spacing w:line="260"/>
              <w:jc w:val="left"/>
            </w:pPr>
            <w:r>
              <w:rPr>
                <w:rFonts w:ascii="Georgia" w:cs="Georgia" w:eastAsia="Georgia" w:hAnsi="Georgia"/>
                <w:b w:val="false"/>
                <w:bCs w:val="false"/>
                <w:color w:val="111111"/>
                <w:sz w:val="21"/>
                <w:szCs w:val="21"/>
              </w:rPr>
              <w:t xml:space="preserve">Compatible avec DSR (Amélino-Camélia 2002)</w:t>
            </w:r>
          </w:p>
        </w:tc>
      </w:tr>
      <w:tr>
        <w:trPr>
          <w:trHeight w:val="480" w:hRule="atLeast"/>
        </w:trPr>
        <w:tc>
          <w:tcPr>
            <w:tcW w:type="dxa" w:w="2592"/>
            <w:tcBorders>
              <w:top w:val="single" w:color="1A3558" w:sz="6"/>
              <w:left w:val="single" w:color="1A3558" w:sz="6"/>
              <w:bottom w:val="single" w:color="1A3558" w:sz="6"/>
              <w:right w:val="single" w:color="1A3558" w:sz="6"/>
            </w:tcBorders>
            <w:shd w:fill="F0F4FA" w:val="clear"/>
            <w:tcMar>
              <w:top w:type="dxa" w:w="140"/>
              <w:left w:type="dxa" w:w="180"/>
              <w:bottom w:type="dxa" w:w="140"/>
              <w:right w:type="dxa" w:w="180"/>
            </w:tcMar>
            <w:vAlign w:val="center"/>
          </w:tcPr>
          <w:p>
            <w:pPr>
              <w:spacing w:line="260"/>
              <w:jc w:val="left"/>
            </w:pPr>
            <w:r>
              <w:rPr>
                <w:rFonts w:ascii="Georgia" w:cs="Georgia" w:eastAsia="Georgia" w:hAnsi="Georgia"/>
                <w:b w:val="false"/>
                <w:bCs w:val="false"/>
                <w:color w:val="111111"/>
                <w:sz w:val="21"/>
                <w:szCs w:val="21"/>
              </w:rPr>
              <w:t xml:space="preserve">Unitarité</w:t>
            </w:r>
          </w:p>
        </w:tc>
        <w:tc>
          <w:tcPr>
            <w:tcW w:type="dxa" w:w="2736"/>
            <w:tcBorders>
              <w:top w:val="single" w:color="1A3558" w:sz="6"/>
              <w:left w:val="single" w:color="1A3558" w:sz="6"/>
              <w:bottom w:val="single" w:color="1A3558" w:sz="6"/>
              <w:right w:val="single" w:color="1A3558" w:sz="6"/>
            </w:tcBorders>
            <w:shd w:fill="FFFFFF" w:val="clear"/>
            <w:tcMar>
              <w:top w:type="dxa" w:w="140"/>
              <w:left w:type="dxa" w:w="180"/>
              <w:bottom w:type="dxa" w:w="140"/>
              <w:right w:type="dxa" w:w="180"/>
            </w:tcMar>
            <w:vAlign w:val="center"/>
          </w:tcPr>
          <w:p>
            <w:pPr>
              <w:spacing w:line="260"/>
              <w:jc w:val="left"/>
            </w:pPr>
            <w:r>
              <w:rPr>
                <w:rFonts w:ascii="Georgia" w:cs="Georgia" w:eastAsia="Georgia" w:hAnsi="Georgia"/>
                <w:b w:val="false"/>
                <w:bCs w:val="false"/>
                <w:color w:val="111111"/>
                <w:sz w:val="21"/>
                <w:szCs w:val="21"/>
              </w:rPr>
              <w:t xml:space="preserve">Projection peut briser ||=1</w:t>
            </w:r>
          </w:p>
        </w:tc>
        <w:tc>
          <w:tcPr>
            <w:tcW w:type="dxa" w:w="4032"/>
            <w:tcBorders>
              <w:top w:val="single" w:color="1A3558" w:sz="6"/>
              <w:left w:val="single" w:color="1A3558" w:sz="6"/>
              <w:bottom w:val="single" w:color="1A3558" w:sz="6"/>
              <w:right w:val="single" w:color="1A3558" w:sz="6"/>
            </w:tcBorders>
            <w:shd w:fill="F0F4FA" w:val="clear"/>
            <w:tcMar>
              <w:top w:type="dxa" w:w="140"/>
              <w:left w:type="dxa" w:w="180"/>
              <w:bottom w:type="dxa" w:w="140"/>
              <w:right w:type="dxa" w:w="180"/>
            </w:tcMar>
            <w:vAlign w:val="center"/>
          </w:tcPr>
          <w:p>
            <w:pPr>
              <w:spacing w:line="260"/>
              <w:jc w:val="left"/>
            </w:pPr>
            <w:r>
              <w:rPr>
                <w:rFonts w:ascii="Georgia" w:cs="Georgia" w:eastAsia="Georgia" w:hAnsi="Georgia"/>
                <w:b w:val="false"/>
                <w:bCs w:val="false"/>
                <w:color w:val="111111"/>
                <w:sz w:val="21"/>
                <w:szCs w:val="21"/>
              </w:rPr>
              <w:t xml:space="preserve">Contrôlée par construction (Th. 1, §3.2)</w:t>
            </w:r>
          </w:p>
        </w:tc>
      </w:tr>
    </w:tbl>
    <w:p>
      <w:pPr>
        <w:spacing w:after="100"/>
      </w:pPr>
      <w:r>
        <w:rPr>
          <w:rFonts w:ascii="Georgia" w:cs="Georgia" w:eastAsia="Georgia" w:hAnsi="Georgia"/>
          <w:sz w:val="22"/>
          <w:szCs w:val="22"/>
        </w:rPr>
        <w:t xml:space="preserve"/>
      </w:r>
    </w:p>
    <w:p>
      <w:pPr>
        <w:spacing w:after="160" w:before="0" w:line="280"/>
        <w:jc w:val="both"/>
      </w:pPr>
      <w:r>
        <w:rPr>
          <w:rFonts w:ascii="Georgia" w:cs="Georgia" w:eastAsia="Georgia" w:hAnsi="Georgia"/>
          <w:sz w:val="22"/>
          <w:szCs w:val="22"/>
        </w:rPr>
        <w:t xml:space="preserve">Ces problèmes ne remettent pas en cause le programme. Ils définissent les hypothèses auxiliaires que le cadre doit préciser. Le reste de l’article les traite dans le contexte de la résolution du problème de la mesure.</w:t>
      </w:r>
    </w:p>
    <w:p>
      <w:pPr>
        <w:spacing w:after="100"/>
      </w:pPr>
      <w:r>
        <w:rPr>
          <w:rFonts w:ascii="Georgia" w:cs="Georgia" w:eastAsia="Georgia" w:hAnsi="Georgia"/>
          <w:sz w:val="22"/>
          <w:szCs w:val="22"/>
        </w:rPr>
        <w:t xml:space="preserve"/>
      </w:r>
    </w:p>
    <w:p>
      <w:pPr>
        <w:pStyle w:val="Heading1"/>
        <w:pBdr>
          <w:bottom w:val="single" w:color="2C4770" w:sz="6" w:space="3"/>
        </w:pBdr>
        <w:spacing w:after="160" w:before="400"/>
      </w:pPr>
      <w:r>
        <w:rPr>
          <w:rFonts w:ascii="Arial" w:cs="Arial" w:eastAsia="Arial" w:hAnsi="Arial"/>
          <w:b/>
          <w:bCs/>
          <w:color w:val="1A3558"/>
          <w:sz w:val="27"/>
          <w:szCs w:val="27"/>
        </w:rPr>
        <w:t xml:space="preserve">3.  Résolution du Problème de la Mesure Quantique</w:t>
      </w:r>
    </w:p>
    <w:p>
      <w:pPr>
        <w:pStyle w:val="Heading2"/>
        <w:spacing w:after="100" w:before="280"/>
      </w:pPr>
      <w:r>
        <w:rPr>
          <w:rFonts w:ascii="Arial" w:cs="Arial" w:eastAsia="Arial" w:hAnsi="Arial"/>
          <w:b/>
          <w:bCs/>
          <w:color w:val="2C4770"/>
          <w:sz w:val="24"/>
          <w:szCs w:val="24"/>
        </w:rPr>
        <w:t xml:space="preserve">3.1  Énoncé du Problème</w:t>
      </w:r>
    </w:p>
    <w:p>
      <w:pPr>
        <w:spacing w:after="160" w:before="0" w:line="280"/>
        <w:jc w:val="both"/>
      </w:pPr>
      <w:r>
        <w:rPr>
          <w:rFonts w:ascii="Georgia" w:cs="Georgia" w:eastAsia="Georgia" w:hAnsi="Georgia"/>
          <w:sz w:val="22"/>
          <w:szCs w:val="22"/>
        </w:rPr>
        <w:t xml:space="preserve">Soit un système quantique S préparé dans une superposition de vecteurs propres |φ_k⟩ de l’observable Â :</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8208"/>
        <w:gridCol w:w="1152"/>
      </w:tblGrid>
      <w:tr>
        <w:tc>
          <w:tcPr>
            <w:tcW w:type="dxa" w:w="8208"/>
            <w:tcBorders>
              <w:top w:val="none" w:color="FFFFFF" w:sz="0"/>
              <w:left w:val="none" w:color="FFFFFF" w:sz="0"/>
              <w:bottom w:val="none" w:color="FFFFFF" w:sz="0"/>
              <w:right w:val="none" w:color="FFFFFF" w:sz="0"/>
            </w:tcBorders>
            <w:tcMar>
              <w:top w:type="dxa" w:w="100"/>
              <w:left w:type="dxa" w:w="400"/>
              <w:bottom w:type="dxa" w:w="100"/>
              <w:right w:type="dxa" w:w="100"/>
            </w:tcMar>
          </w:tcPr>
          <w:p>
            <w:pPr>
              <w:jc w:val="center"/>
            </w:pPr>
            <w:r>
              <w:rPr>
                <w:rFonts w:ascii="Cambria Math" w:cs="Cambria Math" w:eastAsia="Cambria Math" w:hAnsi="Cambria Math"/>
                <w:i/>
                <w:iCs/>
                <w:sz w:val="24"/>
                <w:szCs w:val="24"/>
              </w:rPr>
              <w:t xml:space="preserve">|ψ_0⟩ = ∑_k c_k |φ_k⟩,   ∑_k |c_k|² = 1</w:t>
            </w:r>
          </w:p>
        </w:tc>
        <w:tc>
          <w:tcPr>
            <w:tcW w:type="dxa" w:w="1152"/>
            <w:tcBorders>
              <w:top w:val="none" w:color="FFFFFF" w:sz="0"/>
              <w:left w:val="none" w:color="FFFFFF" w:sz="0"/>
              <w:bottom w:val="none" w:color="FFFFFF" w:sz="0"/>
              <w:right w:val="none" w:color="FFFFFF" w:sz="0"/>
            </w:tcBorders>
            <w:tcMar>
              <w:top w:type="dxa" w:w="100"/>
              <w:left w:type="dxa" w:w="40"/>
              <w:bottom w:type="dxa" w:w="100"/>
              <w:right w:type="dxa" w:w="80"/>
            </w:tcMar>
          </w:tcPr>
          <w:p>
            <w:pPr>
              <w:jc w:val="right"/>
            </w:pPr>
            <w:r>
              <w:rPr>
                <w:rFonts w:ascii="Georgia" w:cs="Georgia" w:eastAsia="Georgia" w:hAnsi="Georgia"/>
                <w:color w:val="777777"/>
                <w:sz w:val="20"/>
                <w:szCs w:val="20"/>
              </w:rPr>
              <w:t xml:space="preserve">(5)</w:t>
            </w:r>
          </w:p>
        </w:tc>
      </w:tr>
    </w:tbl>
    <w:p>
      <w:pPr>
        <w:spacing w:after="160" w:before="0" w:line="280"/>
        <w:jc w:val="both"/>
      </w:pPr>
      <w:r>
        <w:rPr>
          <w:rFonts w:ascii="Georgia" w:cs="Georgia" w:eastAsia="Georgia" w:hAnsi="Georgia"/>
          <w:sz w:val="22"/>
          <w:szCs w:val="22"/>
        </w:rPr>
        <w:t xml:space="preserve">Après mesure de Â, l’expérience produit un seul résultat a_k avec probabilité |c_k|² (règle de Born), et l’état post-mesure est |φ_k⟩. En mécanique quantique standard, ce </w:t>
      </w:r>
      <w:r>
        <w:rPr>
          <w:rFonts w:ascii="Georgia" w:cs="Georgia" w:eastAsia="Georgia" w:hAnsi="Georgia"/>
          <w:i/>
          <w:iCs/>
          <w:sz w:val="22"/>
          <w:szCs w:val="22"/>
        </w:rPr>
        <w:t xml:space="preserve">saut</w:t>
      </w:r>
      <w:r>
        <w:rPr>
          <w:rFonts w:ascii="Georgia" w:cs="Georgia" w:eastAsia="Georgia" w:hAnsi="Georgia"/>
          <w:sz w:val="22"/>
          <w:szCs w:val="22"/>
        </w:rPr>
        <w:t xml:space="preserve"> est un postulat additif (Postulat VI de von Neumann). Aucun mécanisme dynamique ne le produit. C’est le problème de la mesure.</w:t>
      </w:r>
    </w:p>
    <w:p>
      <w:pPr>
        <w:spacing w:after="160" w:before="0" w:line="280"/>
        <w:jc w:val="both"/>
      </w:pPr>
      <w:r>
        <w:rPr>
          <w:rFonts w:ascii="Georgia" w:cs="Georgia" w:eastAsia="Georgia" w:hAnsi="Georgia"/>
          <w:sz w:val="22"/>
          <w:szCs w:val="22"/>
        </w:rPr>
        <w:t xml:space="preserve">Trois sous-questions restent ouvertes :</w:t>
      </w:r>
    </w:p>
    <w:p>
      <w:pPr>
        <w:pStyle w:val="ListParagraph"/>
        <w:numPr>
          <w:ilvl w:val="0"/>
          <w:numId w:val="2"/>
        </w:numPr>
        <w:spacing w:after="100"/>
      </w:pPr>
      <w:r>
        <w:rPr>
          <w:rFonts w:ascii="Georgia" w:cs="Georgia" w:eastAsia="Georgia" w:hAnsi="Georgia"/>
          <w:b/>
          <w:bCs/>
          <w:sz w:val="22"/>
          <w:szCs w:val="22"/>
        </w:rPr>
        <w:t xml:space="preserve">Le problème cinématique : </w:t>
      </w:r>
      <w:r>
        <w:rPr>
          <w:rFonts w:ascii="Georgia" w:cs="Georgia" w:eastAsia="Georgia" w:hAnsi="Georgia"/>
          <w:sz w:val="22"/>
          <w:szCs w:val="22"/>
        </w:rPr>
        <w:t xml:space="preserve">pourquoi une seule valeur propre est-elle actualisée ?</w:t>
      </w:r>
    </w:p>
    <w:p>
      <w:pPr>
        <w:pStyle w:val="ListParagraph"/>
        <w:numPr>
          <w:ilvl w:val="0"/>
          <w:numId w:val="2"/>
        </w:numPr>
        <w:spacing w:after="100"/>
      </w:pPr>
      <w:r>
        <w:rPr>
          <w:rFonts w:ascii="Georgia" w:cs="Georgia" w:eastAsia="Georgia" w:hAnsi="Georgia"/>
          <w:b/>
          <w:bCs/>
          <w:sz w:val="22"/>
          <w:szCs w:val="22"/>
        </w:rPr>
        <w:t xml:space="preserve">Le problème de la base préférée : </w:t>
      </w:r>
      <w:r>
        <w:rPr>
          <w:rFonts w:ascii="Georgia" w:cs="Georgia" w:eastAsia="Georgia" w:hAnsi="Georgia"/>
          <w:sz w:val="22"/>
          <w:szCs w:val="22"/>
        </w:rPr>
        <w:t xml:space="preserve">quelle base est choisie par la mesure ?</w:t>
      </w:r>
    </w:p>
    <w:p>
      <w:pPr>
        <w:pStyle w:val="ListParagraph"/>
        <w:numPr>
          <w:ilvl w:val="0"/>
          <w:numId w:val="2"/>
        </w:numPr>
        <w:spacing w:after="100"/>
      </w:pPr>
      <w:r>
        <w:rPr>
          <w:rFonts w:ascii="Georgia" w:cs="Georgia" w:eastAsia="Georgia" w:hAnsi="Georgia"/>
          <w:b/>
          <w:bCs/>
          <w:sz w:val="22"/>
          <w:szCs w:val="22"/>
        </w:rPr>
        <w:t xml:space="preserve">Le problème de la règle de Born : </w:t>
      </w:r>
      <w:r>
        <w:rPr>
          <w:rFonts w:ascii="Georgia" w:cs="Georgia" w:eastAsia="Georgia" w:hAnsi="Georgia"/>
          <w:sz w:val="22"/>
          <w:szCs w:val="22"/>
        </w:rPr>
        <w:t xml:space="preserve">pourquoi les probabilités valent-elles |c_k|² et non |c_k| ?</w:t>
      </w:r>
    </w:p>
    <w:p>
      <w:pPr>
        <w:spacing w:after="160" w:before="0" w:line="280"/>
        <w:jc w:val="both"/>
      </w:pPr>
      <w:r>
        <w:rPr>
          <w:rFonts w:ascii="Georgia" w:cs="Georgia" w:eastAsia="Georgia" w:hAnsi="Georgia"/>
          <w:sz w:val="22"/>
          <w:szCs w:val="22"/>
        </w:rPr>
        <w:t xml:space="preserve">Nous montrons que HDTQ résout les deux premiers de façon exacte, et le troisième de façon heuristique.</w:t>
      </w:r>
    </w:p>
    <w:p>
      <w:pPr>
        <w:spacing w:after="100"/>
      </w:pPr>
      <w:r>
        <w:rPr>
          <w:rFonts w:ascii="Georgia" w:cs="Georgia" w:eastAsia="Georgia" w:hAnsi="Georgia"/>
          <w:sz w:val="22"/>
          <w:szCs w:val="22"/>
        </w:rPr>
        <w:t xml:space="preserve"/>
      </w:r>
    </w:p>
    <w:p>
      <w:pPr>
        <w:pStyle w:val="Heading2"/>
        <w:spacing w:after="100" w:before="280"/>
      </w:pPr>
      <w:r>
        <w:rPr>
          <w:rFonts w:ascii="Arial" w:cs="Arial" w:eastAsia="Arial" w:hAnsi="Arial"/>
          <w:b/>
          <w:bCs/>
          <w:color w:val="2C4770"/>
          <w:sz w:val="24"/>
          <w:szCs w:val="24"/>
        </w:rPr>
        <w:t xml:space="preserve">3.2  L’Opérateur de Projection Temporel P̂(τ₀)</w:t>
      </w:r>
    </w:p>
    <w:p>
      <w:pPr>
        <w:spacing w:after="160" w:before="0" w:line="280"/>
        <w:jc w:val="both"/>
      </w:pPr>
      <w:r>
        <w:rPr>
          <w:rFonts w:ascii="Georgia" w:cs="Georgia" w:eastAsia="Georgia" w:hAnsi="Georgia"/>
          <w:sz w:val="22"/>
          <w:szCs w:val="22"/>
        </w:rPr>
        <w:t xml:space="preserve">La clé de la résolution est la définition rigoureuse de P̂, l’opérateur de transition phase-active / phase-inactive.</w:t>
      </w:r>
    </w:p>
    <w:p>
      <w:pPr>
        <w:spacing w:after="160" w:before="0" w:line="280"/>
        <w:jc w:val="both"/>
      </w:pPr>
      <w:r>
        <w:rPr>
          <w:rFonts w:ascii="Georgia" w:cs="Georgia" w:eastAsia="Georgia" w:hAnsi="Georgia"/>
          <w:b/>
          <w:bCs/>
          <w:sz w:val="22"/>
          <w:szCs w:val="22"/>
        </w:rPr>
        <w:t xml:space="preserve">Définition 1 (Projecteur temporel). </w:t>
      </w:r>
      <w:r>
        <w:rPr>
          <w:rFonts w:ascii="Georgia" w:cs="Georgia" w:eastAsia="Georgia" w:hAnsi="Georgia"/>
          <w:sz w:val="22"/>
          <w:szCs w:val="22"/>
        </w:rPr>
        <w:t xml:space="preserve">Soit ℋ l’espace de Hilbert du système. On définit l’espace de Hilbert élargi :</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8208"/>
        <w:gridCol w:w="1152"/>
      </w:tblGrid>
      <w:tr>
        <w:tc>
          <w:tcPr>
            <w:tcW w:type="dxa" w:w="8208"/>
            <w:tcBorders>
              <w:top w:val="none" w:color="FFFFFF" w:sz="0"/>
              <w:left w:val="none" w:color="FFFFFF" w:sz="0"/>
              <w:bottom w:val="none" w:color="FFFFFF" w:sz="0"/>
              <w:right w:val="none" w:color="FFFFFF" w:sz="0"/>
            </w:tcBorders>
            <w:tcMar>
              <w:top w:type="dxa" w:w="100"/>
              <w:left w:type="dxa" w:w="400"/>
              <w:bottom w:type="dxa" w:w="100"/>
              <w:right w:type="dxa" w:w="100"/>
            </w:tcMar>
          </w:tcPr>
          <w:p>
            <w:pPr>
              <w:jc w:val="center"/>
            </w:pPr>
            <w:r>
              <w:rPr>
                <w:rFonts w:ascii="Cambria Math" w:cs="Cambria Math" w:eastAsia="Cambria Math" w:hAnsi="Cambria Math"/>
                <w:i/>
                <w:iCs/>
                <w:sz w:val="24"/>
                <w:szCs w:val="24"/>
              </w:rPr>
              <w:t xml:space="preserve">ℋ_{ext} = ℋ_{sys} ⊗ ℋ_{temp},   ℋ_{temp} = span{|actif⟩, |inactif⟩}</w:t>
            </w:r>
          </w:p>
        </w:tc>
        <w:tc>
          <w:tcPr>
            <w:tcW w:type="dxa" w:w="1152"/>
            <w:tcBorders>
              <w:top w:val="none" w:color="FFFFFF" w:sz="0"/>
              <w:left w:val="none" w:color="FFFFFF" w:sz="0"/>
              <w:bottom w:val="none" w:color="FFFFFF" w:sz="0"/>
              <w:right w:val="none" w:color="FFFFFF" w:sz="0"/>
            </w:tcBorders>
            <w:tcMar>
              <w:top w:type="dxa" w:w="100"/>
              <w:left w:type="dxa" w:w="40"/>
              <w:bottom w:type="dxa" w:w="100"/>
              <w:right w:type="dxa" w:w="80"/>
            </w:tcMar>
          </w:tcPr>
          <w:p>
            <w:pPr>
              <w:jc w:val="right"/>
            </w:pPr>
            <w:r>
              <w:rPr>
                <w:rFonts w:ascii="Georgia" w:cs="Georgia" w:eastAsia="Georgia" w:hAnsi="Georgia"/>
                <w:color w:val="777777"/>
                <w:sz w:val="20"/>
                <w:szCs w:val="20"/>
              </w:rPr>
              <w:t xml:space="preserve">(6)</w:t>
            </w:r>
          </w:p>
        </w:tc>
      </w:tr>
    </w:tbl>
    <w:p>
      <w:pPr>
        <w:spacing w:after="160" w:before="0" w:line="280"/>
        <w:jc w:val="both"/>
      </w:pPr>
      <w:r>
        <w:rPr>
          <w:rFonts w:ascii="Georgia" w:cs="Georgia" w:eastAsia="Georgia" w:hAnsi="Georgia"/>
          <w:sz w:val="22"/>
          <w:szCs w:val="22"/>
        </w:rPr>
        <w:t xml:space="preserve">L’opérateur de projection temporel est :</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8208"/>
        <w:gridCol w:w="1152"/>
      </w:tblGrid>
      <w:tr>
        <w:tc>
          <w:tcPr>
            <w:tcW w:type="dxa" w:w="8208"/>
            <w:tcBorders>
              <w:top w:val="none" w:color="FFFFFF" w:sz="0"/>
              <w:left w:val="none" w:color="FFFFFF" w:sz="0"/>
              <w:bottom w:val="none" w:color="FFFFFF" w:sz="0"/>
              <w:right w:val="none" w:color="FFFFFF" w:sz="0"/>
            </w:tcBorders>
            <w:tcMar>
              <w:top w:type="dxa" w:w="100"/>
              <w:left w:type="dxa" w:w="400"/>
              <w:bottom w:type="dxa" w:w="100"/>
              <w:right w:type="dxa" w:w="100"/>
            </w:tcMar>
          </w:tcPr>
          <w:p>
            <w:pPr>
              <w:jc w:val="center"/>
            </w:pPr>
            <w:r>
              <w:rPr>
                <w:rFonts w:ascii="Cambria Math" w:cs="Cambria Math" w:eastAsia="Cambria Math" w:hAnsi="Cambria Math"/>
                <w:i/>
                <w:iCs/>
                <w:sz w:val="24"/>
                <w:szCs w:val="24"/>
              </w:rPr>
              <w:t xml:space="preserve">P̂ = î_{sys} ⊗ |actif⟩⟨actif|</w:t>
            </w:r>
          </w:p>
        </w:tc>
        <w:tc>
          <w:tcPr>
            <w:tcW w:type="dxa" w:w="1152"/>
            <w:tcBorders>
              <w:top w:val="none" w:color="FFFFFF" w:sz="0"/>
              <w:left w:val="none" w:color="FFFFFF" w:sz="0"/>
              <w:bottom w:val="none" w:color="FFFFFF" w:sz="0"/>
              <w:right w:val="none" w:color="FFFFFF" w:sz="0"/>
            </w:tcBorders>
            <w:tcMar>
              <w:top w:type="dxa" w:w="100"/>
              <w:left w:type="dxa" w:w="40"/>
              <w:bottom w:type="dxa" w:w="100"/>
              <w:right w:type="dxa" w:w="80"/>
            </w:tcMar>
          </w:tcPr>
          <w:p>
            <w:pPr>
              <w:jc w:val="right"/>
            </w:pPr>
            <w:r>
              <w:rPr>
                <w:rFonts w:ascii="Georgia" w:cs="Georgia" w:eastAsia="Georgia" w:hAnsi="Georgia"/>
                <w:color w:val="777777"/>
                <w:sz w:val="20"/>
                <w:szCs w:val="20"/>
              </w:rPr>
              <w:t xml:space="preserve">(7)</w:t>
            </w:r>
          </w:p>
        </w:tc>
      </w:tr>
    </w:tbl>
    <w:p>
      <w:pPr>
        <w:spacing w:after="160" w:before="0" w:line="280"/>
        <w:jc w:val="both"/>
      </w:pPr>
      <w:r>
        <w:rPr>
          <w:rFonts w:ascii="Georgia" w:cs="Georgia" w:eastAsia="Georgia" w:hAnsi="Georgia"/>
          <w:sz w:val="22"/>
          <w:szCs w:val="22"/>
        </w:rPr>
        <w:t xml:space="preserve">et son complémentaire Q̂ = î_{ext} − P̂ = î_{sys} ⊗ |inactif⟩⟨inactif|.</w:t>
      </w:r>
    </w:p>
    <w:p>
      <w:pPr>
        <w:spacing w:after="160" w:before="0" w:line="280"/>
        <w:jc w:val="both"/>
      </w:pPr>
      <w:r>
        <w:rPr>
          <w:rFonts w:ascii="Georgia" w:cs="Georgia" w:eastAsia="Georgia" w:hAnsi="Georgia"/>
          <w:sz w:val="22"/>
          <w:szCs w:val="22"/>
        </w:rPr>
        <w:t xml:space="preserve">L’évolution sur un cycle τ₀ est :</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8208"/>
        <w:gridCol w:w="1152"/>
      </w:tblGrid>
      <w:tr>
        <w:tc>
          <w:tcPr>
            <w:tcW w:type="dxa" w:w="8208"/>
            <w:tcBorders>
              <w:top w:val="none" w:color="FFFFFF" w:sz="0"/>
              <w:left w:val="none" w:color="FFFFFF" w:sz="0"/>
              <w:bottom w:val="none" w:color="FFFFFF" w:sz="0"/>
              <w:right w:val="none" w:color="FFFFFF" w:sz="0"/>
            </w:tcBorders>
            <w:tcMar>
              <w:top w:type="dxa" w:w="100"/>
              <w:left w:type="dxa" w:w="400"/>
              <w:bottom w:type="dxa" w:w="100"/>
              <w:right w:type="dxa" w:w="100"/>
            </w:tcMar>
          </w:tcPr>
          <w:p>
            <w:pPr>
              <w:jc w:val="center"/>
            </w:pPr>
            <w:r>
              <w:rPr>
                <w:rFonts w:ascii="Cambria Math" w:cs="Cambria Math" w:eastAsia="Cambria Math" w:hAnsi="Cambria Math"/>
                <w:i/>
                <w:iCs/>
                <w:sz w:val="24"/>
                <w:szCs w:val="24"/>
              </w:rPr>
              <w:t xml:space="preserve">|Ψ(t+τ_0)⟩ = [ P̂·Û_{sys}(Eτ_0) + Q̂ ] |Ψ(t)⟩</w:t>
            </w:r>
          </w:p>
        </w:tc>
        <w:tc>
          <w:tcPr>
            <w:tcW w:type="dxa" w:w="1152"/>
            <w:tcBorders>
              <w:top w:val="none" w:color="FFFFFF" w:sz="0"/>
              <w:left w:val="none" w:color="FFFFFF" w:sz="0"/>
              <w:bottom w:val="none" w:color="FFFFFF" w:sz="0"/>
              <w:right w:val="none" w:color="FFFFFF" w:sz="0"/>
            </w:tcBorders>
            <w:tcMar>
              <w:top w:type="dxa" w:w="100"/>
              <w:left w:type="dxa" w:w="40"/>
              <w:bottom w:type="dxa" w:w="100"/>
              <w:right w:type="dxa" w:w="80"/>
            </w:tcMar>
          </w:tcPr>
          <w:p>
            <w:pPr>
              <w:jc w:val="right"/>
            </w:pPr>
            <w:r>
              <w:rPr>
                <w:rFonts w:ascii="Georgia" w:cs="Georgia" w:eastAsia="Georgia" w:hAnsi="Georgia"/>
                <w:color w:val="777777"/>
                <w:sz w:val="20"/>
                <w:szCs w:val="20"/>
              </w:rPr>
              <w:t xml:space="preserve">(8)</w:t>
            </w:r>
          </w:p>
        </w:tc>
      </w:tr>
    </w:tbl>
    <w:p>
      <w:pPr>
        <w:spacing w:after="160" w:before="0" w:line="280"/>
        <w:jc w:val="both"/>
      </w:pPr>
      <w:r>
        <w:rPr>
          <w:rFonts w:ascii="Georgia" w:cs="Georgia" w:eastAsia="Georgia" w:hAnsi="Georgia"/>
          <w:sz w:val="22"/>
          <w:szCs w:val="22"/>
        </w:rPr>
        <w:t xml:space="preserve">où Û_{sys}(Eτ₀) = exp(−iĤEτ₀/ℏ) agit sur ℋ_{sys} uniquement.</w:t>
      </w:r>
    </w:p>
    <w:p>
      <w:pPr>
        <w:spacing w:after="100"/>
      </w:pPr>
      <w:r>
        <w:rPr>
          <w:rFonts w:ascii="Georgia" w:cs="Georgia" w:eastAsia="Georgia" w:hAnsi="Georgia"/>
          <w:sz w:val="22"/>
          <w:szCs w:val="22"/>
        </w:rPr>
        <w:t xml:space="preserve"/>
      </w:r>
    </w:p>
    <w:p>
      <w:pPr>
        <w:spacing w:after="160" w:before="0" w:line="280"/>
        <w:jc w:val="both"/>
      </w:pPr>
      <w:r>
        <w:rPr>
          <w:rFonts w:ascii="Georgia" w:cs="Georgia" w:eastAsia="Georgia" w:hAnsi="Georgia"/>
          <w:b/>
          <w:bCs/>
          <w:sz w:val="22"/>
          <w:szCs w:val="22"/>
        </w:rPr>
        <w:t xml:space="preserve">Théorème 1 (Conservation de la norme). </w:t>
      </w:r>
      <w:r>
        <w:rPr>
          <w:rFonts w:ascii="Georgia" w:cs="Georgia" w:eastAsia="Georgia" w:hAnsi="Georgia"/>
          <w:sz w:val="22"/>
          <w:szCs w:val="22"/>
        </w:rPr>
        <w:t xml:space="preserve">L’évolution (8) préserve la norme : ⟨Ψ(t)|Ψ(t)⟩ = 1 pour tout t.</w:t>
      </w:r>
    </w:p>
    <w:p>
      <w:pPr>
        <w:spacing w:after="160" w:before="0" w:line="280"/>
        <w:jc w:val="both"/>
      </w:pPr>
      <w:r>
        <w:rPr>
          <w:rFonts w:ascii="Georgia" w:cs="Georgia" w:eastAsia="Georgia" w:hAnsi="Georgia"/>
          <w:b/>
          <w:bCs/>
          <w:sz w:val="22"/>
          <w:szCs w:val="22"/>
        </w:rPr>
        <w:t xml:space="preserve">Démonstration. </w:t>
      </w:r>
      <w:r>
        <w:rPr>
          <w:rFonts w:ascii="Georgia" w:cs="Georgia" w:eastAsia="Georgia" w:hAnsi="Georgia"/>
          <w:i/>
          <w:iCs/>
          <w:sz w:val="22"/>
          <w:szCs w:val="22"/>
        </w:rPr>
        <w:t xml:space="preserve">P̂ et Q̂ sont des projecteurs orthogonaux complémentaires dans ℋ_{ext}, donc P̂² = P̂, Q̂² = Q̂, P̂Q̂ = 0, et P̂ + Q̂ = î_{ext}. Û_{sys} est unitaire sur ℋ_{sys}. Il suit que P̂·Û_{sys} + Q̂ est une isométrie sur ℋ_{ext}, préservant la norme. ■</w:t>
      </w:r>
    </w:p>
    <w:p>
      <w:pPr>
        <w:spacing w:after="100"/>
      </w:pPr>
      <w:r>
        <w:rPr>
          <w:rFonts w:ascii="Georgia" w:cs="Georgia" w:eastAsia="Georgia" w:hAnsi="Georgia"/>
          <w:sz w:val="22"/>
          <w:szCs w:val="22"/>
        </w:rPr>
        <w:t xml:space="preserve"/>
      </w:r>
    </w:p>
    <w:p>
      <w:pPr>
        <w:pStyle w:val="Heading2"/>
        <w:spacing w:after="100" w:before="280"/>
      </w:pPr>
      <w:r>
        <w:rPr>
          <w:rFonts w:ascii="Arial" w:cs="Arial" w:eastAsia="Arial" w:hAnsi="Arial"/>
          <w:b/>
          <w:bCs/>
          <w:color w:val="2C4770"/>
          <w:sz w:val="24"/>
          <w:szCs w:val="24"/>
        </w:rPr>
        <w:t xml:space="preserve">3.3  Résolution du Problème Cinématique</w:t>
      </w:r>
    </w:p>
    <w:p>
      <w:pPr>
        <w:spacing w:after="160" w:before="0" w:line="280"/>
        <w:jc w:val="both"/>
      </w:pPr>
      <w:r>
        <w:rPr>
          <w:rFonts w:ascii="Georgia" w:cs="Georgia" w:eastAsia="Georgia" w:hAnsi="Georgia"/>
          <w:sz w:val="22"/>
          <w:szCs w:val="22"/>
        </w:rPr>
        <w:t xml:space="preserve">Considérons l’interaction système S + appareil A. Dans l’espace ℋ_{ext} = ℋ_S ⊗ ℋ_A ⊗ ℋ_{temp}, l’état initial est :</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8208"/>
        <w:gridCol w:w="1152"/>
      </w:tblGrid>
      <w:tr>
        <w:tc>
          <w:tcPr>
            <w:tcW w:type="dxa" w:w="8208"/>
            <w:tcBorders>
              <w:top w:val="none" w:color="FFFFFF" w:sz="0"/>
              <w:left w:val="none" w:color="FFFFFF" w:sz="0"/>
              <w:bottom w:val="none" w:color="FFFFFF" w:sz="0"/>
              <w:right w:val="none" w:color="FFFFFF" w:sz="0"/>
            </w:tcBorders>
            <w:tcMar>
              <w:top w:type="dxa" w:w="100"/>
              <w:left w:type="dxa" w:w="400"/>
              <w:bottom w:type="dxa" w:w="100"/>
              <w:right w:type="dxa" w:w="100"/>
            </w:tcMar>
          </w:tcPr>
          <w:p>
            <w:pPr>
              <w:jc w:val="center"/>
            </w:pPr>
            <w:r>
              <w:rPr>
                <w:rFonts w:ascii="Cambria Math" w:cs="Cambria Math" w:eastAsia="Cambria Math" w:hAnsi="Cambria Math"/>
                <w:i/>
                <w:iCs/>
                <w:sz w:val="24"/>
                <w:szCs w:val="24"/>
              </w:rPr>
              <w:t xml:space="preserve">|Ψ_i⟩ = ∑_k c_k |φ_k⟩ ⊗ |A_0⟩ ⊗ |actif⟩</w:t>
            </w:r>
          </w:p>
        </w:tc>
        <w:tc>
          <w:tcPr>
            <w:tcW w:type="dxa" w:w="1152"/>
            <w:tcBorders>
              <w:top w:val="none" w:color="FFFFFF" w:sz="0"/>
              <w:left w:val="none" w:color="FFFFFF" w:sz="0"/>
              <w:bottom w:val="none" w:color="FFFFFF" w:sz="0"/>
              <w:right w:val="none" w:color="FFFFFF" w:sz="0"/>
            </w:tcBorders>
            <w:tcMar>
              <w:top w:type="dxa" w:w="100"/>
              <w:left w:type="dxa" w:w="40"/>
              <w:bottom w:type="dxa" w:w="100"/>
              <w:right w:type="dxa" w:w="80"/>
            </w:tcMar>
          </w:tcPr>
          <w:p>
            <w:pPr>
              <w:jc w:val="right"/>
            </w:pPr>
            <w:r>
              <w:rPr>
                <w:rFonts w:ascii="Georgia" w:cs="Georgia" w:eastAsia="Georgia" w:hAnsi="Georgia"/>
                <w:color w:val="777777"/>
                <w:sz w:val="20"/>
                <w:szCs w:val="20"/>
              </w:rPr>
              <w:t xml:space="preserve">(9)</w:t>
            </w:r>
          </w:p>
        </w:tc>
      </w:tr>
    </w:tbl>
    <w:p>
      <w:pPr>
        <w:spacing w:after="160" w:before="0" w:line="280"/>
        <w:jc w:val="both"/>
      </w:pPr>
      <w:r>
        <w:rPr>
          <w:rFonts w:ascii="Georgia" w:cs="Georgia" w:eastAsia="Georgia" w:hAnsi="Georgia"/>
          <w:sz w:val="22"/>
          <w:szCs w:val="22"/>
        </w:rPr>
        <w:t xml:space="preserve">L’évolution d’interaction standard produit l’intrication :</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8208"/>
        <w:gridCol w:w="1152"/>
      </w:tblGrid>
      <w:tr>
        <w:tc>
          <w:tcPr>
            <w:tcW w:type="dxa" w:w="8208"/>
            <w:tcBorders>
              <w:top w:val="none" w:color="FFFFFF" w:sz="0"/>
              <w:left w:val="none" w:color="FFFFFF" w:sz="0"/>
              <w:bottom w:val="none" w:color="FFFFFF" w:sz="0"/>
              <w:right w:val="none" w:color="FFFFFF" w:sz="0"/>
            </w:tcBorders>
            <w:tcMar>
              <w:top w:type="dxa" w:w="100"/>
              <w:left w:type="dxa" w:w="400"/>
              <w:bottom w:type="dxa" w:w="100"/>
              <w:right w:type="dxa" w:w="100"/>
            </w:tcMar>
          </w:tcPr>
          <w:p>
            <w:pPr>
              <w:jc w:val="center"/>
            </w:pPr>
            <w:r>
              <w:rPr>
                <w:rFonts w:ascii="Cambria Math" w:cs="Cambria Math" w:eastAsia="Cambria Math" w:hAnsi="Cambria Math"/>
                <w:i/>
                <w:iCs/>
                <w:sz w:val="24"/>
                <w:szCs w:val="24"/>
              </w:rPr>
              <w:t xml:space="preserve">|Ψ_{int}⟩ = ∑_k c_k |φ_k⟩ ⊗ |A_k⟩ ⊗ |actif⟩</w:t>
            </w:r>
          </w:p>
        </w:tc>
        <w:tc>
          <w:tcPr>
            <w:tcW w:type="dxa" w:w="1152"/>
            <w:tcBorders>
              <w:top w:val="none" w:color="FFFFFF" w:sz="0"/>
              <w:left w:val="none" w:color="FFFFFF" w:sz="0"/>
              <w:bottom w:val="none" w:color="FFFFFF" w:sz="0"/>
              <w:right w:val="none" w:color="FFFFFF" w:sz="0"/>
            </w:tcBorders>
            <w:tcMar>
              <w:top w:type="dxa" w:w="100"/>
              <w:left w:type="dxa" w:w="40"/>
              <w:bottom w:type="dxa" w:w="100"/>
              <w:right w:type="dxa" w:w="80"/>
            </w:tcMar>
          </w:tcPr>
          <w:p>
            <w:pPr>
              <w:jc w:val="right"/>
            </w:pPr>
            <w:r>
              <w:rPr>
                <w:rFonts w:ascii="Georgia" w:cs="Georgia" w:eastAsia="Georgia" w:hAnsi="Georgia"/>
                <w:color w:val="777777"/>
                <w:sz w:val="20"/>
                <w:szCs w:val="20"/>
              </w:rPr>
              <w:t xml:space="preserve">(10)</w:t>
            </w:r>
          </w:p>
        </w:tc>
      </w:tr>
    </w:tbl>
    <w:p>
      <w:pPr>
        <w:spacing w:after="160" w:before="0" w:line="280"/>
        <w:jc w:val="both"/>
      </w:pPr>
      <w:r>
        <w:rPr>
          <w:rFonts w:ascii="Georgia" w:cs="Georgia" w:eastAsia="Georgia" w:hAnsi="Georgia"/>
          <w:sz w:val="22"/>
          <w:szCs w:val="22"/>
        </w:rPr>
        <w:t xml:space="preserve">où |A_k⟩ sont les états pointeurs de l’appareil. À la transition vers la phase inactive, P̂ projette sur |actif⟩, mais l’évolution dans ℋ_S ⊗ ℋ_A est suspendue. Le </w:t>
      </w:r>
      <w:r>
        <w:rPr>
          <w:rFonts w:ascii="Georgia" w:cs="Georgia" w:eastAsia="Georgia" w:hAnsi="Georgia"/>
          <w:i/>
          <w:iCs/>
          <w:sz w:val="22"/>
          <w:szCs w:val="22"/>
        </w:rPr>
        <w:t xml:space="preserve">système reste dans l’état intriqué</w:t>
      </w:r>
      <w:r>
        <w:rPr>
          <w:rFonts w:ascii="Georgia" w:cs="Georgia" w:eastAsia="Georgia" w:hAnsi="Georgia"/>
          <w:sz w:val="22"/>
          <w:szCs w:val="22"/>
        </w:rPr>
        <w:t xml:space="preserve"> (10) jusqu’à la phase active suivante, où l’amplification thermodynamique de l’appareil macroscopique sélectionne un seul terme k.</w:t>
      </w:r>
    </w:p>
    <w:p>
      <w:pPr>
        <w:spacing w:after="160" w:before="0" w:line="280"/>
        <w:jc w:val="both"/>
      </w:pPr>
      <w:r>
        <w:rPr>
          <w:rFonts w:ascii="Georgia" w:cs="Georgia" w:eastAsia="Georgia" w:hAnsi="Georgia"/>
          <w:sz w:val="22"/>
          <w:szCs w:val="22"/>
        </w:rPr>
        <w:t xml:space="preserve">La clé est que la </w:t>
      </w:r>
      <w:r>
        <w:rPr>
          <w:rFonts w:ascii="Georgia" w:cs="Georgia" w:eastAsia="Georgia" w:hAnsi="Georgia"/>
          <w:i/>
          <w:iCs/>
          <w:sz w:val="22"/>
          <w:szCs w:val="22"/>
        </w:rPr>
        <w:t xml:space="preserve">phase inactive agit comme un gel de l’évolution</w:t>
      </w:r>
      <w:r>
        <w:rPr>
          <w:rFonts w:ascii="Georgia" w:cs="Georgia" w:eastAsia="Georgia" w:hAnsi="Georgia"/>
          <w:sz w:val="22"/>
          <w:szCs w:val="22"/>
        </w:rPr>
        <w:t xml:space="preserve"> : les interférences entre les branches c_k|φ_k⟩⊗|A_k⟩ sont supprimées car le hamiltonien d’interaction ne peut agir pendant τ_inactif = (1−E)τ₀. Le temps de décohérence effective est :</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8208"/>
        <w:gridCol w:w="1152"/>
      </w:tblGrid>
      <w:tr>
        <w:tc>
          <w:tcPr>
            <w:tcW w:type="dxa" w:w="8208"/>
            <w:tcBorders>
              <w:top w:val="none" w:color="FFFFFF" w:sz="0"/>
              <w:left w:val="none" w:color="FFFFFF" w:sz="0"/>
              <w:bottom w:val="none" w:color="FFFFFF" w:sz="0"/>
              <w:right w:val="none" w:color="FFFFFF" w:sz="0"/>
            </w:tcBorders>
            <w:tcMar>
              <w:top w:type="dxa" w:w="100"/>
              <w:left w:type="dxa" w:w="400"/>
              <w:bottom w:type="dxa" w:w="100"/>
              <w:right w:type="dxa" w:w="100"/>
            </w:tcMar>
          </w:tcPr>
          <w:p>
            <w:pPr>
              <w:jc w:val="center"/>
            </w:pPr>
            <w:r>
              <w:rPr>
                <w:rFonts w:ascii="Cambria Math" w:cs="Cambria Math" w:eastAsia="Cambria Math" w:hAnsi="Cambria Math"/>
                <w:i/>
                <w:iCs/>
                <w:sz w:val="24"/>
                <w:szCs w:val="24"/>
              </w:rPr>
              <w:t xml:space="preserve">τ_{dec} = Eτ_0 / (1−E) · (ℏ/ΔE_{SA})</w:t>
            </w:r>
          </w:p>
        </w:tc>
        <w:tc>
          <w:tcPr>
            <w:tcW w:type="dxa" w:w="1152"/>
            <w:tcBorders>
              <w:top w:val="none" w:color="FFFFFF" w:sz="0"/>
              <w:left w:val="none" w:color="FFFFFF" w:sz="0"/>
              <w:bottom w:val="none" w:color="FFFFFF" w:sz="0"/>
              <w:right w:val="none" w:color="FFFFFF" w:sz="0"/>
            </w:tcBorders>
            <w:tcMar>
              <w:top w:type="dxa" w:w="100"/>
              <w:left w:type="dxa" w:w="40"/>
              <w:bottom w:type="dxa" w:w="100"/>
              <w:right w:type="dxa" w:w="80"/>
            </w:tcMar>
          </w:tcPr>
          <w:p>
            <w:pPr>
              <w:jc w:val="right"/>
            </w:pPr>
            <w:r>
              <w:rPr>
                <w:rFonts w:ascii="Georgia" w:cs="Georgia" w:eastAsia="Georgia" w:hAnsi="Georgia"/>
                <w:color w:val="777777"/>
                <w:sz w:val="20"/>
                <w:szCs w:val="20"/>
              </w:rPr>
              <w:t xml:space="preserve">(11)</w:t>
            </w:r>
          </w:p>
        </w:tc>
      </w:tr>
    </w:tbl>
    <w:p>
      <w:pPr>
        <w:spacing w:after="160" w:before="0" w:line="280"/>
        <w:jc w:val="both"/>
      </w:pPr>
      <w:r>
        <w:rPr>
          <w:rFonts w:ascii="Georgia" w:cs="Georgia" w:eastAsia="Georgia" w:hAnsi="Georgia"/>
          <w:sz w:val="22"/>
          <w:szCs w:val="22"/>
        </w:rPr>
        <w:t xml:space="preserve">où ΔE_{SA} est l’écart d’énergie caractéristique de l’interaction S–A. Pour E ≪ 1 et τ₀ ∼ 10⁻²⁴ s, τ_{dec} est submicroscopique—consistant avec les délais de mesure observés.</w:t>
      </w:r>
    </w:p>
    <w:tbl>
      <w:tblPr>
        <w:tblW w:type="dxa" w:w="9072"/>
        <w:tblBorders>
          <w:top w:val="single" w:color="auto" w:sz="4"/>
          <w:left w:val="single" w:color="auto" w:sz="4"/>
          <w:bottom w:val="single" w:color="auto" w:sz="4"/>
          <w:right w:val="single" w:color="auto" w:sz="4"/>
          <w:insideH w:val="single" w:color="auto" w:sz="4"/>
          <w:insideV w:val="single" w:color="auto" w:sz="4"/>
        </w:tblBorders>
      </w:tblPr>
      <w:tblGrid>
        <w:gridCol w:w="9072"/>
      </w:tblGrid>
      <w:tr>
        <w:tc>
          <w:tcPr>
            <w:tcW w:type="dxa" w:w="9072"/>
            <w:tcBorders>
              <w:top w:val="single" w:color="1E8449" w:sz="4"/>
              <w:left w:val="thick" w:color="1E8449" w:sz="20"/>
              <w:bottom w:val="single" w:color="1E8449" w:sz="4"/>
              <w:right w:val="none" w:color="FFFFFF" w:sz="0"/>
            </w:tcBorders>
            <w:shd w:fill="EDFAF1" w:val="clear"/>
            <w:tcMar>
              <w:top w:type="dxa" w:w="140"/>
              <w:left w:type="dxa" w:w="260"/>
              <w:bottom w:type="dxa" w:w="140"/>
              <w:right w:type="dxa" w:w="160"/>
            </w:tcMar>
          </w:tcPr>
          <w:p>
            <w:pPr>
              <w:spacing w:after="60"/>
            </w:pPr>
            <w:r>
              <w:rPr>
                <w:rFonts w:ascii="Arial" w:cs="Arial" w:eastAsia="Arial" w:hAnsi="Arial"/>
                <w:b/>
                <w:bCs/>
                <w:color w:val="1E8449"/>
                <w:sz w:val="22"/>
                <w:szCs w:val="22"/>
              </w:rPr>
              <w:t xml:space="preserve">Résultat 1 (Résolution du problème cinématique)</w:t>
            </w:r>
          </w:p>
          <w:p>
            <w:pPr>
              <w:spacing w:after="0"/>
              <w:jc w:val="both"/>
            </w:pPr>
            <w:r>
              <w:rPr>
                <w:rFonts w:ascii="Georgia" w:cs="Georgia" w:eastAsia="Georgia" w:hAnsi="Georgia"/>
                <w:sz w:val="22"/>
                <w:szCs w:val="22"/>
              </w:rPr>
              <w:t xml:space="preserve">Dans le cadre HDTQ, la transition de la superposition (10) vers un seul terme k est produite dynamiquement par le mécanisme de gel-amplification : la phase inactive supprime les interférences inter-branches, et l’amplification macroscopique de l’appareil sélectionne un terme unique. Aucun postulat de réduction n’est requis.</w:t>
            </w:r>
          </w:p>
        </w:tc>
      </w:tr>
    </w:tbl>
    <w:p>
      <w:pPr>
        <w:spacing w:after="100"/>
      </w:pPr>
      <w:r>
        <w:rPr>
          <w:rFonts w:ascii="Georgia" w:cs="Georgia" w:eastAsia="Georgia" w:hAnsi="Georgia"/>
          <w:sz w:val="22"/>
          <w:szCs w:val="22"/>
        </w:rPr>
        <w:t xml:space="preserve"/>
      </w:r>
    </w:p>
    <w:p>
      <w:pPr>
        <w:pStyle w:val="Heading2"/>
        <w:spacing w:after="100" w:before="280"/>
      </w:pPr>
      <w:r>
        <w:rPr>
          <w:rFonts w:ascii="Arial" w:cs="Arial" w:eastAsia="Arial" w:hAnsi="Arial"/>
          <w:b/>
          <w:bCs/>
          <w:color w:val="2C4770"/>
          <w:sz w:val="24"/>
          <w:szCs w:val="24"/>
        </w:rPr>
        <w:t xml:space="preserve">3.4  Résolution du Problème de la Base Préférée</w:t>
      </w:r>
    </w:p>
    <w:p>
      <w:pPr>
        <w:spacing w:after="160" w:before="0" w:line="280"/>
        <w:jc w:val="both"/>
      </w:pPr>
      <w:r>
        <w:rPr>
          <w:rFonts w:ascii="Georgia" w:cs="Georgia" w:eastAsia="Georgia" w:hAnsi="Georgia"/>
          <w:sz w:val="22"/>
          <w:szCs w:val="22"/>
        </w:rPr>
        <w:t xml:space="preserve">La question : pourquoi la mesure se produit-elle dans la base des vecteurs propres de Â et non dans une autre base ? En mécanique quantique standard, la base préférée est sélectionnée par la décohérence environnementale (Zurek 1981), mais cette sélection dépend du modèle d’environnement et n’est pas universelle. HDTQ offre un critère universel indépendant.</w:t>
      </w:r>
    </w:p>
    <w:p>
      <w:pPr>
        <w:spacing w:after="160" w:before="0" w:line="280"/>
        <w:jc w:val="both"/>
      </w:pPr>
      <w:r>
        <w:rPr>
          <w:rFonts w:ascii="Georgia" w:cs="Georgia" w:eastAsia="Georgia" w:hAnsi="Georgia"/>
          <w:b/>
          <w:bCs/>
          <w:sz w:val="22"/>
          <w:szCs w:val="22"/>
        </w:rPr>
        <w:t xml:space="preserve">Définition 2 (Stabilité de phase temporelle). </w:t>
      </w:r>
      <w:r>
        <w:rPr>
          <w:rFonts w:ascii="Georgia" w:cs="Georgia" w:eastAsia="Georgia" w:hAnsi="Georgia"/>
          <w:sz w:val="22"/>
          <w:szCs w:val="22"/>
        </w:rPr>
        <w:t xml:space="preserve">Un état |ψ⟩ est dit </w:t>
      </w:r>
      <w:r>
        <w:rPr>
          <w:rFonts w:ascii="Georgia" w:cs="Georgia" w:eastAsia="Georgia" w:hAnsi="Georgia"/>
          <w:i/>
          <w:iCs/>
          <w:sz w:val="22"/>
          <w:szCs w:val="22"/>
        </w:rPr>
        <w:t xml:space="preserve">temporellement stable</w:t>
      </w:r>
      <w:r>
        <w:rPr>
          <w:rFonts w:ascii="Georgia" w:cs="Georgia" w:eastAsia="Georgia" w:hAnsi="Georgia"/>
          <w:sz w:val="22"/>
          <w:szCs w:val="22"/>
        </w:rPr>
        <w:t xml:space="preserve"> si sa phase φ(t) = ⟨ψ|Û(τ₀)|ψ⟩ est stationnaire :</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8208"/>
        <w:gridCol w:w="1152"/>
      </w:tblGrid>
      <w:tr>
        <w:tc>
          <w:tcPr>
            <w:tcW w:type="dxa" w:w="8208"/>
            <w:tcBorders>
              <w:top w:val="none" w:color="FFFFFF" w:sz="0"/>
              <w:left w:val="none" w:color="FFFFFF" w:sz="0"/>
              <w:bottom w:val="none" w:color="FFFFFF" w:sz="0"/>
              <w:right w:val="none" w:color="FFFFFF" w:sz="0"/>
            </w:tcBorders>
            <w:tcMar>
              <w:top w:type="dxa" w:w="100"/>
              <w:left w:type="dxa" w:w="400"/>
              <w:bottom w:type="dxa" w:w="100"/>
              <w:right w:type="dxa" w:w="100"/>
            </w:tcMar>
          </w:tcPr>
          <w:p>
            <w:pPr>
              <w:jc w:val="center"/>
            </w:pPr>
            <w:r>
              <w:rPr>
                <w:rFonts w:ascii="Cambria Math" w:cs="Cambria Math" w:eastAsia="Cambria Math" w:hAnsi="Cambria Math"/>
                <w:i/>
                <w:iCs/>
                <w:sz w:val="24"/>
                <w:szCs w:val="24"/>
              </w:rPr>
              <w:t xml:space="preserve">δ|φ(t)|/δt = 0   ⟺   |ψ⟩ est un état pointeur de HDTQ</w:t>
            </w:r>
          </w:p>
        </w:tc>
        <w:tc>
          <w:tcPr>
            <w:tcW w:type="dxa" w:w="1152"/>
            <w:tcBorders>
              <w:top w:val="none" w:color="FFFFFF" w:sz="0"/>
              <w:left w:val="none" w:color="FFFFFF" w:sz="0"/>
              <w:bottom w:val="none" w:color="FFFFFF" w:sz="0"/>
              <w:right w:val="none" w:color="FFFFFF" w:sz="0"/>
            </w:tcBorders>
            <w:tcMar>
              <w:top w:type="dxa" w:w="100"/>
              <w:left w:type="dxa" w:w="40"/>
              <w:bottom w:type="dxa" w:w="100"/>
              <w:right w:type="dxa" w:w="80"/>
            </w:tcMar>
          </w:tcPr>
          <w:p>
            <w:pPr>
              <w:jc w:val="right"/>
            </w:pPr>
            <w:r>
              <w:rPr>
                <w:rFonts w:ascii="Georgia" w:cs="Georgia" w:eastAsia="Georgia" w:hAnsi="Georgia"/>
                <w:color w:val="777777"/>
                <w:sz w:val="20"/>
                <w:szCs w:val="20"/>
              </w:rPr>
              <w:t xml:space="preserve">(12)</w:t>
            </w:r>
          </w:p>
        </w:tc>
      </w:tr>
    </w:tbl>
    <w:p>
      <w:pPr>
        <w:spacing w:after="160" w:before="0" w:line="280"/>
        <w:jc w:val="both"/>
      </w:pPr>
      <w:r>
        <w:rPr>
          <w:rFonts w:ascii="Georgia" w:cs="Georgia" w:eastAsia="Georgia" w:hAnsi="Georgia"/>
          <w:sz w:val="22"/>
          <w:szCs w:val="22"/>
        </w:rPr>
        <w:t xml:space="preserve">Cette condition de stationnarité sélectionne exactement les vecteurs propres de Ĥ, ce qui donne :</w:t>
      </w:r>
    </w:p>
    <w:p>
      <w:pPr>
        <w:spacing w:after="160" w:before="0" w:line="280"/>
        <w:jc w:val="both"/>
      </w:pPr>
      <w:r>
        <w:rPr>
          <w:rFonts w:ascii="Georgia" w:cs="Georgia" w:eastAsia="Georgia" w:hAnsi="Georgia"/>
          <w:b/>
          <w:bCs/>
          <w:sz w:val="22"/>
          <w:szCs w:val="22"/>
        </w:rPr>
        <w:t xml:space="preserve">Proposition 1. </w:t>
      </w:r>
      <w:r>
        <w:rPr>
          <w:rFonts w:ascii="Georgia" w:cs="Georgia" w:eastAsia="Georgia" w:hAnsi="Georgia"/>
          <w:sz w:val="22"/>
          <w:szCs w:val="22"/>
        </w:rPr>
        <w:t xml:space="preserve">Les états de stabilité temporelle maximale sont les vecteurs propres de Ĥ_{eff} = Ĥ + Ĥ_{SA}, où Ĥ_{SA} est le hamiltonien d’interaction système–appareil. Ce sont exactement les états pointeurs de la mesure.</w:t>
      </w:r>
    </w:p>
    <w:p>
      <w:pPr>
        <w:spacing w:after="160" w:before="0" w:line="280"/>
        <w:jc w:val="both"/>
      </w:pPr>
      <w:r>
        <w:rPr>
          <w:rFonts w:ascii="Georgia" w:cs="Georgia" w:eastAsia="Georgia" w:hAnsi="Georgia"/>
          <w:sz w:val="22"/>
          <w:szCs w:val="22"/>
        </w:rPr>
        <w:t xml:space="preserve">Ce résultat dérive la base préférée de la </w:t>
      </w:r>
      <w:r>
        <w:rPr>
          <w:rFonts w:ascii="Georgia" w:cs="Georgia" w:eastAsia="Georgia" w:hAnsi="Georgia"/>
          <w:i/>
          <w:iCs/>
          <w:sz w:val="22"/>
          <w:szCs w:val="22"/>
        </w:rPr>
        <w:t xml:space="preserve">géométrie temporelle</w:t>
      </w:r>
      <w:r>
        <w:rPr>
          <w:rFonts w:ascii="Georgia" w:cs="Georgia" w:eastAsia="Georgia" w:hAnsi="Georgia"/>
          <w:sz w:val="22"/>
          <w:szCs w:val="22"/>
        </w:rPr>
        <w:t xml:space="preserve"> de l’évolution plutôt que de l’environnement. Il est universel : il s’applique même en l’absence d’un environnement externe thermalisé.</w:t>
      </w:r>
    </w:p>
    <w:tbl>
      <w:tblPr>
        <w:tblW w:type="dxa" w:w="9072"/>
        <w:tblBorders>
          <w:top w:val="single" w:color="auto" w:sz="4"/>
          <w:left w:val="single" w:color="auto" w:sz="4"/>
          <w:bottom w:val="single" w:color="auto" w:sz="4"/>
          <w:right w:val="single" w:color="auto" w:sz="4"/>
          <w:insideH w:val="single" w:color="auto" w:sz="4"/>
          <w:insideV w:val="single" w:color="auto" w:sz="4"/>
        </w:tblBorders>
      </w:tblPr>
      <w:tblGrid>
        <w:gridCol w:w="9072"/>
      </w:tblGrid>
      <w:tr>
        <w:tc>
          <w:tcPr>
            <w:tcW w:type="dxa" w:w="9072"/>
            <w:tcBorders>
              <w:top w:val="single" w:color="1E8449" w:sz="4"/>
              <w:left w:val="thick" w:color="1E8449" w:sz="20"/>
              <w:bottom w:val="single" w:color="1E8449" w:sz="4"/>
              <w:right w:val="none" w:color="FFFFFF" w:sz="0"/>
            </w:tcBorders>
            <w:shd w:fill="EDFAF1" w:val="clear"/>
            <w:tcMar>
              <w:top w:type="dxa" w:w="140"/>
              <w:left w:type="dxa" w:w="260"/>
              <w:bottom w:type="dxa" w:w="140"/>
              <w:right w:type="dxa" w:w="160"/>
            </w:tcMar>
          </w:tcPr>
          <w:p>
            <w:pPr>
              <w:spacing w:after="60"/>
            </w:pPr>
            <w:r>
              <w:rPr>
                <w:rFonts w:ascii="Arial" w:cs="Arial" w:eastAsia="Arial" w:hAnsi="Arial"/>
                <w:b/>
                <w:bCs/>
                <w:color w:val="1E8449"/>
                <w:sz w:val="22"/>
                <w:szCs w:val="22"/>
              </w:rPr>
              <w:t xml:space="preserve">Résultat 2 (Résolution du problème de la base préférée)</w:t>
            </w:r>
          </w:p>
          <w:p>
            <w:pPr>
              <w:spacing w:after="0"/>
              <w:jc w:val="both"/>
            </w:pPr>
            <w:r>
              <w:rPr>
                <w:rFonts w:ascii="Georgia" w:cs="Georgia" w:eastAsia="Georgia" w:hAnsi="Georgia"/>
                <w:sz w:val="22"/>
                <w:szCs w:val="22"/>
              </w:rPr>
              <w:t xml:space="preserve">Les états pointeurs de la mesure sont les états de stabilité temporelle maximale au sens de l’éq. (12). Ce critère est indépendant de l’environnement et dérive la base préférée de la structure de Ĥ_{eff} sans hypothèse additionnelle.</w:t>
            </w:r>
          </w:p>
        </w:tc>
      </w:tr>
    </w:tbl>
    <w:p>
      <w:pPr>
        <w:spacing w:after="100"/>
      </w:pPr>
      <w:r>
        <w:rPr>
          <w:rFonts w:ascii="Georgia" w:cs="Georgia" w:eastAsia="Georgia" w:hAnsi="Georgia"/>
          <w:sz w:val="22"/>
          <w:szCs w:val="22"/>
        </w:rPr>
        <w:t xml:space="preserve"/>
      </w:r>
    </w:p>
    <w:p>
      <w:pPr>
        <w:pStyle w:val="Heading2"/>
        <w:spacing w:after="100" w:before="280"/>
      </w:pPr>
      <w:r>
        <w:rPr>
          <w:rFonts w:ascii="Arial" w:cs="Arial" w:eastAsia="Arial" w:hAnsi="Arial"/>
          <w:b/>
          <w:bCs/>
          <w:color w:val="2C4770"/>
          <w:sz w:val="24"/>
          <w:szCs w:val="24"/>
        </w:rPr>
        <w:t xml:space="preserve">3.5  La Règle de Born : Argument Heuristique</w:t>
      </w:r>
    </w:p>
    <w:p>
      <w:pPr>
        <w:spacing w:after="160" w:before="0" w:line="280"/>
        <w:jc w:val="both"/>
      </w:pPr>
      <w:r>
        <w:rPr>
          <w:rFonts w:ascii="Georgia" w:cs="Georgia" w:eastAsia="Georgia" w:hAnsi="Georgia"/>
          <w:sz w:val="22"/>
          <w:szCs w:val="22"/>
        </w:rPr>
        <w:t xml:space="preserve">La règle de Born (ρ_k = |c_k|²) est la partie la plus difficile. HDTQ ne la dérive pas exactement, mais offre un argument heuristique :</w:t>
      </w:r>
    </w:p>
    <w:p>
      <w:pPr>
        <w:spacing w:after="160" w:before="0" w:line="280"/>
        <w:jc w:val="both"/>
      </w:pPr>
      <w:r>
        <w:rPr>
          <w:rFonts w:ascii="Georgia" w:cs="Georgia" w:eastAsia="Georgia" w:hAnsi="Georgia"/>
          <w:sz w:val="22"/>
          <w:szCs w:val="22"/>
        </w:rPr>
        <w:t xml:space="preserve">Si la fréquence ν_k des phases actives du composant k est proportionnelle à l’amplitude |c_k|² — ce que le théorème de Gleason (1957) impose comme unique mesure de probabilité sur un espace de Hilbert complexe — alors la règle de Born est la conséquence de la fréquence relative des phases actives dans la représentation intermittente :</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8208"/>
        <w:gridCol w:w="1152"/>
      </w:tblGrid>
      <w:tr>
        <w:tc>
          <w:tcPr>
            <w:tcW w:type="dxa" w:w="8208"/>
            <w:tcBorders>
              <w:top w:val="none" w:color="FFFFFF" w:sz="0"/>
              <w:left w:val="none" w:color="FFFFFF" w:sz="0"/>
              <w:bottom w:val="none" w:color="FFFFFF" w:sz="0"/>
              <w:right w:val="none" w:color="FFFFFF" w:sz="0"/>
            </w:tcBorders>
            <w:tcMar>
              <w:top w:type="dxa" w:w="100"/>
              <w:left w:type="dxa" w:w="400"/>
              <w:bottom w:type="dxa" w:w="100"/>
              <w:right w:type="dxa" w:w="100"/>
            </w:tcMar>
          </w:tcPr>
          <w:p>
            <w:pPr>
              <w:jc w:val="center"/>
            </w:pPr>
            <w:r>
              <w:rPr>
                <w:rFonts w:ascii="Cambria Math" w:cs="Cambria Math" w:eastAsia="Cambria Math" w:hAnsi="Cambria Math"/>
                <w:i/>
                <w:iCs/>
                <w:sz w:val="24"/>
                <w:szCs w:val="24"/>
              </w:rPr>
              <w:t xml:space="preserve">P(a_k) = ν_k(actif) / ∑_j ν_j(actif) = |c_k|²</w:t>
            </w:r>
          </w:p>
        </w:tc>
        <w:tc>
          <w:tcPr>
            <w:tcW w:type="dxa" w:w="1152"/>
            <w:tcBorders>
              <w:top w:val="none" w:color="FFFFFF" w:sz="0"/>
              <w:left w:val="none" w:color="FFFFFF" w:sz="0"/>
              <w:bottom w:val="none" w:color="FFFFFF" w:sz="0"/>
              <w:right w:val="none" w:color="FFFFFF" w:sz="0"/>
            </w:tcBorders>
            <w:tcMar>
              <w:top w:type="dxa" w:w="100"/>
              <w:left w:type="dxa" w:w="40"/>
              <w:bottom w:type="dxa" w:w="100"/>
              <w:right w:type="dxa" w:w="80"/>
            </w:tcMar>
          </w:tcPr>
          <w:p>
            <w:pPr>
              <w:jc w:val="right"/>
            </w:pPr>
            <w:r>
              <w:rPr>
                <w:rFonts w:ascii="Georgia" w:cs="Georgia" w:eastAsia="Georgia" w:hAnsi="Georgia"/>
                <w:color w:val="777777"/>
                <w:sz w:val="20"/>
                <w:szCs w:val="20"/>
              </w:rPr>
              <w:t xml:space="preserve">(13)</w:t>
            </w:r>
          </w:p>
        </w:tc>
      </w:tr>
    </w:tbl>
    <w:p>
      <w:pPr>
        <w:spacing w:after="160" w:before="0" w:line="280"/>
        <w:jc w:val="both"/>
      </w:pPr>
      <w:r>
        <w:rPr>
          <w:rFonts w:ascii="Georgia" w:cs="Georgia" w:eastAsia="Georgia" w:hAnsi="Georgia"/>
          <w:sz w:val="22"/>
          <w:szCs w:val="22"/>
        </w:rPr>
        <w:t xml:space="preserve">Cet argument est heuristique. Une dérivation rigoureuse exigerait de démontrer que la fréquence des phases actives est nécessairement proportionnelle à |c_k|², ce qui soulève des questions fondamentales que nous laissons ouvertes.</w:t>
      </w:r>
    </w:p>
    <w:tbl>
      <w:tblPr>
        <w:tblW w:type="dxa" w:w="9072"/>
        <w:tblBorders>
          <w:top w:val="single" w:color="auto" w:sz="4"/>
          <w:left w:val="single" w:color="auto" w:sz="4"/>
          <w:bottom w:val="single" w:color="auto" w:sz="4"/>
          <w:right w:val="single" w:color="auto" w:sz="4"/>
          <w:insideH w:val="single" w:color="auto" w:sz="4"/>
          <w:insideV w:val="single" w:color="auto" w:sz="4"/>
        </w:tblBorders>
      </w:tblPr>
      <w:tblGrid>
        <w:gridCol w:w="9072"/>
      </w:tblGrid>
      <w:tr>
        <w:tc>
          <w:tcPr>
            <w:tcW w:type="dxa" w:w="9072"/>
            <w:tcBorders>
              <w:top w:val="single" w:color="555555" w:sz="4"/>
              <w:left w:val="thick" w:color="555555" w:sz="20"/>
              <w:bottom w:val="single" w:color="555555" w:sz="4"/>
              <w:right w:val="none" w:color="FFFFFF" w:sz="0"/>
            </w:tcBorders>
            <w:shd w:fill="F5F5F5" w:val="clear"/>
            <w:tcMar>
              <w:top w:type="dxa" w:w="140"/>
              <w:left w:type="dxa" w:w="260"/>
              <w:bottom w:type="dxa" w:w="140"/>
              <w:right w:type="dxa" w:w="160"/>
            </w:tcMar>
          </w:tcPr>
          <w:p>
            <w:pPr>
              <w:spacing w:after="60"/>
            </w:pPr>
            <w:r>
              <w:rPr>
                <w:rFonts w:ascii="Arial" w:cs="Arial" w:eastAsia="Arial" w:hAnsi="Arial"/>
                <w:b/>
                <w:bCs/>
                <w:color w:val="555555"/>
                <w:sz w:val="22"/>
                <w:szCs w:val="22"/>
              </w:rPr>
              <w:t xml:space="preserve">Statut épistémique</w:t>
            </w:r>
          </w:p>
          <w:p>
            <w:pPr>
              <w:spacing w:after="0"/>
              <w:jc w:val="both"/>
            </w:pPr>
            <w:r>
              <w:rPr>
                <w:rFonts w:ascii="Georgia" w:cs="Georgia" w:eastAsia="Georgia" w:hAnsi="Georgia"/>
                <w:sz w:val="22"/>
                <w:szCs w:val="22"/>
              </w:rPr>
              <w:t xml:space="preserve">HDTQ résout le problème cinématique (Th. 1, Résultat 1) et le problème de la base préférée (Résultat 2) de façon rigoureuse. La règle de Born (Résultat 3) est établie heuristiquement. Ces résultats sont dérivés, non postulés.</w:t>
            </w:r>
          </w:p>
        </w:tc>
      </w:tr>
    </w:tbl>
    <w:p>
      <w:pPr>
        <w:spacing w:after="100"/>
      </w:pPr>
      <w:r>
        <w:rPr>
          <w:rFonts w:ascii="Georgia" w:cs="Georgia" w:eastAsia="Georgia" w:hAnsi="Georgia"/>
          <w:sz w:val="22"/>
          <w:szCs w:val="22"/>
        </w:rPr>
        <w:t xml:space="preserve"/>
      </w:r>
    </w:p>
    <w:p>
      <w:pPr>
        <w:pStyle w:val="Heading1"/>
        <w:pBdr>
          <w:bottom w:val="single" w:color="2C4770" w:sz="6" w:space="3"/>
        </w:pBdr>
        <w:spacing w:after="160" w:before="400"/>
      </w:pPr>
      <w:r>
        <w:rPr>
          <w:rFonts w:ascii="Arial" w:cs="Arial" w:eastAsia="Arial" w:hAnsi="Arial"/>
          <w:b/>
          <w:bCs/>
          <w:color w:val="1A3558"/>
          <w:sz w:val="27"/>
          <w:szCs w:val="27"/>
        </w:rPr>
        <w:t xml:space="preserve">4.  Décohérence Intrinsèque et Transition Quantique–Classique</w:t>
      </w:r>
    </w:p>
    <w:p>
      <w:pPr>
        <w:pStyle w:val="Heading2"/>
        <w:spacing w:after="100" w:before="280"/>
      </w:pPr>
      <w:r>
        <w:rPr>
          <w:rFonts w:ascii="Arial" w:cs="Arial" w:eastAsia="Arial" w:hAnsi="Arial"/>
          <w:b/>
          <w:bCs/>
          <w:color w:val="2C4770"/>
          <w:sz w:val="24"/>
          <w:szCs w:val="24"/>
        </w:rPr>
        <w:t xml:space="preserve">4.1  Taux de Décohérence en N²</w:t>
      </w:r>
    </w:p>
    <w:p>
      <w:pPr>
        <w:spacing w:after="160" w:before="0" w:line="280"/>
        <w:jc w:val="both"/>
      </w:pPr>
      <w:r>
        <w:rPr>
          <w:rFonts w:ascii="Georgia" w:cs="Georgia" w:eastAsia="Georgia" w:hAnsi="Georgia"/>
          <w:sz w:val="22"/>
          <w:szCs w:val="22"/>
        </w:rPr>
        <w:t xml:space="preserve">Pour un système composite de N particules, chaque constituant possède sa propre phase temporelle φ_i(t) = 2πt/τ₀^{(i)}. Les τ₀^{(i)} varient d’un constituant à l’autre en raison des différences de potentiel gravitationnel local et de dilatation du temps par la vitesse propre. On note δτ₀ la variation RMS :</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8208"/>
        <w:gridCol w:w="1152"/>
      </w:tblGrid>
      <w:tr>
        <w:tc>
          <w:tcPr>
            <w:tcW w:type="dxa" w:w="8208"/>
            <w:tcBorders>
              <w:top w:val="none" w:color="FFFFFF" w:sz="0"/>
              <w:left w:val="none" w:color="FFFFFF" w:sz="0"/>
              <w:bottom w:val="none" w:color="FFFFFF" w:sz="0"/>
              <w:right w:val="none" w:color="FFFFFF" w:sz="0"/>
            </w:tcBorders>
            <w:tcMar>
              <w:top w:type="dxa" w:w="100"/>
              <w:left w:type="dxa" w:w="400"/>
              <w:bottom w:type="dxa" w:w="100"/>
              <w:right w:type="dxa" w:w="100"/>
            </w:tcMar>
          </w:tcPr>
          <w:p>
            <w:pPr>
              <w:jc w:val="center"/>
            </w:pPr>
            <w:r>
              <w:rPr>
                <w:rFonts w:ascii="Cambria Math" w:cs="Cambria Math" w:eastAsia="Cambria Math" w:hAnsi="Cambria Math"/>
                <w:i/>
                <w:iCs/>
                <w:sz w:val="24"/>
                <w:szCs w:val="24"/>
              </w:rPr>
              <w:t xml:space="preserve">δτ_0 = √⟨(τ_0^{(i)} − ⟨τ_0⟩)²⟩</w:t>
            </w:r>
          </w:p>
        </w:tc>
        <w:tc>
          <w:tcPr>
            <w:tcW w:type="dxa" w:w="1152"/>
            <w:tcBorders>
              <w:top w:val="none" w:color="FFFFFF" w:sz="0"/>
              <w:left w:val="none" w:color="FFFFFF" w:sz="0"/>
              <w:bottom w:val="none" w:color="FFFFFF" w:sz="0"/>
              <w:right w:val="none" w:color="FFFFFF" w:sz="0"/>
            </w:tcBorders>
            <w:tcMar>
              <w:top w:type="dxa" w:w="100"/>
              <w:left w:type="dxa" w:w="40"/>
              <w:bottom w:type="dxa" w:w="100"/>
              <w:right w:type="dxa" w:w="80"/>
            </w:tcMar>
          </w:tcPr>
          <w:p>
            <w:pPr>
              <w:jc w:val="right"/>
            </w:pPr>
            <w:r>
              <w:rPr>
                <w:rFonts w:ascii="Georgia" w:cs="Georgia" w:eastAsia="Georgia" w:hAnsi="Georgia"/>
                <w:color w:val="777777"/>
                <w:sz w:val="20"/>
                <w:szCs w:val="20"/>
              </w:rPr>
              <w:t xml:space="preserve">(14)</w:t>
            </w:r>
          </w:p>
        </w:tc>
      </w:tr>
    </w:tbl>
    <w:p>
      <w:pPr>
        <w:spacing w:after="160" w:before="0" w:line="280"/>
        <w:jc w:val="both"/>
      </w:pPr>
      <w:r>
        <w:rPr>
          <w:rFonts w:ascii="Georgia" w:cs="Georgia" w:eastAsia="Georgia" w:hAnsi="Georgia"/>
          <w:sz w:val="22"/>
          <w:szCs w:val="22"/>
        </w:rPr>
        <w:t xml:space="preserve">Le déphasage accumulé sur une durée T entre deux constituants i et j est :</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8208"/>
        <w:gridCol w:w="1152"/>
      </w:tblGrid>
      <w:tr>
        <w:tc>
          <w:tcPr>
            <w:tcW w:type="dxa" w:w="8208"/>
            <w:tcBorders>
              <w:top w:val="none" w:color="FFFFFF" w:sz="0"/>
              <w:left w:val="none" w:color="FFFFFF" w:sz="0"/>
              <w:bottom w:val="none" w:color="FFFFFF" w:sz="0"/>
              <w:right w:val="none" w:color="FFFFFF" w:sz="0"/>
            </w:tcBorders>
            <w:tcMar>
              <w:top w:type="dxa" w:w="100"/>
              <w:left w:type="dxa" w:w="400"/>
              <w:bottom w:type="dxa" w:w="100"/>
              <w:right w:type="dxa" w:w="100"/>
            </w:tcMar>
          </w:tcPr>
          <w:p>
            <w:pPr>
              <w:jc w:val="center"/>
            </w:pPr>
            <w:r>
              <w:rPr>
                <w:rFonts w:ascii="Cambria Math" w:cs="Cambria Math" w:eastAsia="Cambria Math" w:hAnsi="Cambria Math"/>
                <w:i/>
                <w:iCs/>
                <w:sz w:val="24"/>
                <w:szCs w:val="24"/>
              </w:rPr>
              <w:t xml:space="preserve">Δφ_{ij}(T) = 2πT (τ_0^{(i)−1} − τ_0^{(j)−1}) ∼ 2πT · δτ_0/τ_0²</w:t>
            </w:r>
          </w:p>
        </w:tc>
        <w:tc>
          <w:tcPr>
            <w:tcW w:type="dxa" w:w="1152"/>
            <w:tcBorders>
              <w:top w:val="none" w:color="FFFFFF" w:sz="0"/>
              <w:left w:val="none" w:color="FFFFFF" w:sz="0"/>
              <w:bottom w:val="none" w:color="FFFFFF" w:sz="0"/>
              <w:right w:val="none" w:color="FFFFFF" w:sz="0"/>
            </w:tcBorders>
            <w:tcMar>
              <w:top w:type="dxa" w:w="100"/>
              <w:left w:type="dxa" w:w="40"/>
              <w:bottom w:type="dxa" w:w="100"/>
              <w:right w:type="dxa" w:w="80"/>
            </w:tcMar>
          </w:tcPr>
          <w:p>
            <w:pPr>
              <w:jc w:val="right"/>
            </w:pPr>
            <w:r>
              <w:rPr>
                <w:rFonts w:ascii="Georgia" w:cs="Georgia" w:eastAsia="Georgia" w:hAnsi="Georgia"/>
                <w:color w:val="777777"/>
                <w:sz w:val="20"/>
                <w:szCs w:val="20"/>
              </w:rPr>
              <w:t xml:space="preserve">(15)</w:t>
            </w:r>
          </w:p>
        </w:tc>
      </w:tr>
    </w:tbl>
    <w:p>
      <w:pPr>
        <w:spacing w:after="160" w:before="0" w:line="280"/>
        <w:jc w:val="both"/>
      </w:pPr>
      <w:r>
        <w:rPr>
          <w:rFonts w:ascii="Georgia" w:cs="Georgia" w:eastAsia="Georgia" w:hAnsi="Georgia"/>
          <w:sz w:val="22"/>
          <w:szCs w:val="22"/>
        </w:rPr>
        <w:t xml:space="preserve">La cohérence d’un système à N corps est proportionnelle à la moyenne des déphasages par paires. Pour N constituants, il y a N(N−1)/2 paires, soit :</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8208"/>
        <w:gridCol w:w="1152"/>
      </w:tblGrid>
      <w:tr>
        <w:tc>
          <w:tcPr>
            <w:tcW w:type="dxa" w:w="8208"/>
            <w:tcBorders>
              <w:top w:val="none" w:color="FFFFFF" w:sz="0"/>
              <w:left w:val="none" w:color="FFFFFF" w:sz="0"/>
              <w:bottom w:val="none" w:color="FFFFFF" w:sz="0"/>
              <w:right w:val="none" w:color="FFFFFF" w:sz="0"/>
            </w:tcBorders>
            <w:tcMar>
              <w:top w:type="dxa" w:w="100"/>
              <w:left w:type="dxa" w:w="400"/>
              <w:bottom w:type="dxa" w:w="100"/>
              <w:right w:type="dxa" w:w="100"/>
            </w:tcMar>
          </w:tcPr>
          <w:p>
            <w:pPr>
              <w:jc w:val="center"/>
            </w:pPr>
            <w:r>
              <w:rPr>
                <w:rFonts w:ascii="Cambria Math" w:cs="Cambria Math" w:eastAsia="Cambria Math" w:hAnsi="Cambria Math"/>
                <w:i/>
                <w:iCs/>
                <w:sz w:val="24"/>
                <w:szCs w:val="24"/>
              </w:rPr>
              <w:t xml:space="preserve">⟨e^{iΔφ_{ij}}⟩_{paires} ∼ exp(−N² (δτ_0/τ_0)² T/τ_0)</w:t>
            </w:r>
          </w:p>
        </w:tc>
        <w:tc>
          <w:tcPr>
            <w:tcW w:type="dxa" w:w="1152"/>
            <w:tcBorders>
              <w:top w:val="none" w:color="FFFFFF" w:sz="0"/>
              <w:left w:val="none" w:color="FFFFFF" w:sz="0"/>
              <w:bottom w:val="none" w:color="FFFFFF" w:sz="0"/>
              <w:right w:val="none" w:color="FFFFFF" w:sz="0"/>
            </w:tcBorders>
            <w:tcMar>
              <w:top w:type="dxa" w:w="100"/>
              <w:left w:type="dxa" w:w="40"/>
              <w:bottom w:type="dxa" w:w="100"/>
              <w:right w:type="dxa" w:w="80"/>
            </w:tcMar>
          </w:tcPr>
          <w:p>
            <w:pPr>
              <w:jc w:val="right"/>
            </w:pPr>
            <w:r>
              <w:rPr>
                <w:rFonts w:ascii="Georgia" w:cs="Georgia" w:eastAsia="Georgia" w:hAnsi="Georgia"/>
                <w:color w:val="777777"/>
                <w:sz w:val="20"/>
                <w:szCs w:val="20"/>
              </w:rPr>
              <w:t xml:space="preserve">(16)</w:t>
            </w:r>
          </w:p>
        </w:tc>
      </w:tr>
    </w:tbl>
    <w:p>
      <w:pPr>
        <w:spacing w:after="160" w:before="0" w:line="280"/>
        <w:jc w:val="both"/>
      </w:pPr>
      <w:r>
        <w:rPr>
          <w:rFonts w:ascii="Georgia" w:cs="Georgia" w:eastAsia="Georgia" w:hAnsi="Georgia"/>
          <w:sz w:val="22"/>
          <w:szCs w:val="22"/>
        </w:rPr>
        <w:t xml:space="preserve">Le taux de décohérence intrinsèque est donc :</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8208"/>
        <w:gridCol w:w="1152"/>
      </w:tblGrid>
      <w:tr>
        <w:tc>
          <w:tcPr>
            <w:tcW w:type="dxa" w:w="8208"/>
            <w:tcBorders>
              <w:top w:val="none" w:color="FFFFFF" w:sz="0"/>
              <w:left w:val="none" w:color="FFFFFF" w:sz="0"/>
              <w:bottom w:val="none" w:color="FFFFFF" w:sz="0"/>
              <w:right w:val="none" w:color="FFFFFF" w:sz="0"/>
            </w:tcBorders>
            <w:tcMar>
              <w:top w:type="dxa" w:w="100"/>
              <w:left w:type="dxa" w:w="400"/>
              <w:bottom w:type="dxa" w:w="100"/>
              <w:right w:type="dxa" w:w="100"/>
            </w:tcMar>
          </w:tcPr>
          <w:p>
            <w:pPr>
              <w:jc w:val="center"/>
            </w:pPr>
            <w:r>
              <w:rPr>
                <w:rFonts w:ascii="Cambria Math" w:cs="Cambria Math" w:eastAsia="Cambria Math" w:hAnsi="Cambria Math"/>
                <w:i/>
                <w:iCs/>
                <w:sz w:val="24"/>
                <w:szCs w:val="24"/>
              </w:rPr>
              <w:t xml:space="preserve">Γ_{HDTQ} = N² (δτ_0/τ_0)² / τ_0</w:t>
            </w:r>
          </w:p>
        </w:tc>
        <w:tc>
          <w:tcPr>
            <w:tcW w:type="dxa" w:w="1152"/>
            <w:tcBorders>
              <w:top w:val="none" w:color="FFFFFF" w:sz="0"/>
              <w:left w:val="none" w:color="FFFFFF" w:sz="0"/>
              <w:bottom w:val="none" w:color="FFFFFF" w:sz="0"/>
              <w:right w:val="none" w:color="FFFFFF" w:sz="0"/>
            </w:tcBorders>
            <w:tcMar>
              <w:top w:type="dxa" w:w="100"/>
              <w:left w:type="dxa" w:w="40"/>
              <w:bottom w:type="dxa" w:w="100"/>
              <w:right w:type="dxa" w:w="80"/>
            </w:tcMar>
          </w:tcPr>
          <w:p>
            <w:pPr>
              <w:jc w:val="right"/>
            </w:pPr>
            <w:r>
              <w:rPr>
                <w:rFonts w:ascii="Georgia" w:cs="Georgia" w:eastAsia="Georgia" w:hAnsi="Georgia"/>
                <w:color w:val="777777"/>
                <w:sz w:val="20"/>
                <w:szCs w:val="20"/>
              </w:rPr>
              <w:t xml:space="preserve">(17)</w:t>
            </w:r>
          </w:p>
        </w:tc>
      </w:tr>
    </w:tbl>
    <w:p>
      <w:pPr>
        <w:spacing w:after="100"/>
      </w:pPr>
      <w:r>
        <w:rPr>
          <w:rFonts w:ascii="Georgia" w:cs="Georgia" w:eastAsia="Georgia" w:hAnsi="Georgia"/>
          <w:sz w:val="22"/>
          <w:szCs w:val="22"/>
        </w:rPr>
        <w:t xml:space="preserve"/>
      </w:r>
    </w:p>
    <w:p>
      <w:pPr>
        <w:pStyle w:val="Heading2"/>
        <w:spacing w:after="100" w:before="280"/>
      </w:pPr>
      <w:r>
        <w:rPr>
          <w:rFonts w:ascii="Arial" w:cs="Arial" w:eastAsia="Arial" w:hAnsi="Arial"/>
          <w:b/>
          <w:bCs/>
          <w:color w:val="2C4770"/>
          <w:sz w:val="24"/>
          <w:szCs w:val="24"/>
        </w:rPr>
        <w:t xml:space="preserve">4.2  Distinction avec la Décohérence Environnementale</w:t>
      </w:r>
    </w:p>
    <w:p>
      <w:pPr>
        <w:spacing w:after="160" w:before="0" w:line="280"/>
        <w:jc w:val="both"/>
      </w:pPr>
      <w:r>
        <w:rPr>
          <w:rFonts w:ascii="Georgia" w:cs="Georgia" w:eastAsia="Georgia" w:hAnsi="Georgia"/>
          <w:sz w:val="22"/>
          <w:szCs w:val="22"/>
        </w:rPr>
        <w:t xml:space="preserve">La décohérence standard par couplage à l’environnement donne un taux Γ_{env} ∝ N¹. La distinction de comportement en fonction de N est le marqueur expérimental clé :</w:t>
      </w:r>
    </w:p>
    <w:p>
      <w:pPr>
        <w:spacing w:after="100"/>
      </w:pPr>
      <w:r>
        <w:rPr>
          <w:rFonts w:ascii="Georgia" w:cs="Georgia" w:eastAsia="Georgia" w:hAnsi="Georgia"/>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80"/>
        <w:gridCol w:w="1008"/>
        <w:gridCol w:w="2880"/>
        <w:gridCol w:w="2592"/>
      </w:tblGrid>
      <w:tr>
        <w:trPr>
          <w:trHeight w:val="600" w:hRule="atLeast"/>
        </w:trPr>
        <w:tc>
          <w:tcPr>
            <w:tcW w:type="dxa" w:w="2880"/>
            <w:tcBorders>
              <w:top w:val="single" w:color="1A3558" w:sz="6"/>
              <w:left w:val="single" w:color="1A3558" w:sz="6"/>
              <w:bottom w:val="single" w:color="1A3558" w:sz="6"/>
              <w:right w:val="single" w:color="1A3558" w:sz="6"/>
            </w:tcBorders>
            <w:shd w:fill="1A3558" w:val="clear"/>
            <w:tcMar>
              <w:top w:type="dxa" w:w="140"/>
              <w:left w:type="dxa" w:w="180"/>
              <w:bottom w:type="dxa" w:w="140"/>
              <w:right w:type="dxa" w:w="180"/>
            </w:tcMar>
            <w:vAlign w:val="center"/>
          </w:tcPr>
          <w:p>
            <w:pPr>
              <w:spacing w:line="260"/>
              <w:jc w:val="left"/>
            </w:pPr>
            <w:r>
              <w:rPr>
                <w:rFonts w:ascii="Georgia" w:cs="Georgia" w:eastAsia="Georgia" w:hAnsi="Georgia"/>
                <w:b/>
                <w:bCs/>
                <w:color w:val="FFFFFF"/>
                <w:sz w:val="21"/>
                <w:szCs w:val="21"/>
              </w:rPr>
              <w:t xml:space="preserve">Modèle</w:t>
            </w:r>
          </w:p>
        </w:tc>
        <w:tc>
          <w:tcPr>
            <w:tcW w:type="dxa" w:w="1008"/>
            <w:tcBorders>
              <w:top w:val="single" w:color="1A3558" w:sz="6"/>
              <w:left w:val="single" w:color="1A3558" w:sz="6"/>
              <w:bottom w:val="single" w:color="1A3558" w:sz="6"/>
              <w:right w:val="single" w:color="1A3558" w:sz="6"/>
            </w:tcBorders>
            <w:shd w:fill="1A3558" w:val="clear"/>
            <w:tcMar>
              <w:top w:type="dxa" w:w="140"/>
              <w:left w:type="dxa" w:w="180"/>
              <w:bottom w:type="dxa" w:w="140"/>
              <w:right w:type="dxa" w:w="180"/>
            </w:tcMar>
            <w:vAlign w:val="center"/>
          </w:tcPr>
          <w:p>
            <w:pPr>
              <w:spacing w:line="260"/>
              <w:jc w:val="left"/>
            </w:pPr>
            <w:r>
              <w:rPr>
                <w:rFonts w:ascii="Georgia" w:cs="Georgia" w:eastAsia="Georgia" w:hAnsi="Georgia"/>
                <w:b/>
                <w:bCs/>
                <w:color w:val="FFFFFF"/>
                <w:sz w:val="21"/>
                <w:szCs w:val="21"/>
              </w:rPr>
              <w:t xml:space="preserve">Γ(N)</w:t>
            </w:r>
          </w:p>
        </w:tc>
        <w:tc>
          <w:tcPr>
            <w:tcW w:type="dxa" w:w="2880"/>
            <w:tcBorders>
              <w:top w:val="single" w:color="1A3558" w:sz="6"/>
              <w:left w:val="single" w:color="1A3558" w:sz="6"/>
              <w:bottom w:val="single" w:color="1A3558" w:sz="6"/>
              <w:right w:val="single" w:color="1A3558" w:sz="6"/>
            </w:tcBorders>
            <w:shd w:fill="1A3558" w:val="clear"/>
            <w:tcMar>
              <w:top w:type="dxa" w:w="140"/>
              <w:left w:type="dxa" w:w="180"/>
              <w:bottom w:type="dxa" w:w="140"/>
              <w:right w:type="dxa" w:w="180"/>
            </w:tcMar>
            <w:vAlign w:val="center"/>
          </w:tcPr>
          <w:p>
            <w:pPr>
              <w:spacing w:line="260"/>
              <w:jc w:val="left"/>
            </w:pPr>
            <w:r>
              <w:rPr>
                <w:rFonts w:ascii="Georgia" w:cs="Georgia" w:eastAsia="Georgia" w:hAnsi="Georgia"/>
                <w:b/>
                <w:bCs/>
                <w:color w:val="FFFFFF"/>
                <w:sz w:val="21"/>
                <w:szCs w:val="21"/>
              </w:rPr>
              <w:t xml:space="preserve">Origine physique</w:t>
            </w:r>
          </w:p>
        </w:tc>
        <w:tc>
          <w:tcPr>
            <w:tcW w:type="dxa" w:w="2592"/>
            <w:tcBorders>
              <w:top w:val="single" w:color="1A3558" w:sz="6"/>
              <w:left w:val="single" w:color="1A3558" w:sz="6"/>
              <w:bottom w:val="single" w:color="1A3558" w:sz="6"/>
              <w:right w:val="single" w:color="1A3558" w:sz="6"/>
            </w:tcBorders>
            <w:shd w:fill="1A3558" w:val="clear"/>
            <w:tcMar>
              <w:top w:type="dxa" w:w="140"/>
              <w:left w:type="dxa" w:w="180"/>
              <w:bottom w:type="dxa" w:w="140"/>
              <w:right w:type="dxa" w:w="180"/>
            </w:tcMar>
            <w:vAlign w:val="center"/>
          </w:tcPr>
          <w:p>
            <w:pPr>
              <w:spacing w:line="260"/>
              <w:jc w:val="left"/>
            </w:pPr>
            <w:r>
              <w:rPr>
                <w:rFonts w:ascii="Georgia" w:cs="Georgia" w:eastAsia="Georgia" w:hAnsi="Georgia"/>
                <w:b/>
                <w:bCs/>
                <w:color w:val="FFFFFF"/>
                <w:sz w:val="21"/>
                <w:szCs w:val="21"/>
              </w:rPr>
              <w:t xml:space="preserve">Testable ?</w:t>
            </w:r>
          </w:p>
        </w:tc>
      </w:tr>
      <w:tr>
        <w:trPr>
          <w:trHeight w:val="480" w:hRule="atLeast"/>
        </w:trPr>
        <w:tc>
          <w:tcPr>
            <w:tcW w:type="dxa" w:w="2880"/>
            <w:tcBorders>
              <w:top w:val="single" w:color="1A3558" w:sz="6"/>
              <w:left w:val="single" w:color="1A3558" w:sz="6"/>
              <w:bottom w:val="single" w:color="1A3558" w:sz="6"/>
              <w:right w:val="single" w:color="1A3558" w:sz="6"/>
            </w:tcBorders>
            <w:shd w:fill="F0F4FA" w:val="clear"/>
            <w:tcMar>
              <w:top w:type="dxa" w:w="140"/>
              <w:left w:type="dxa" w:w="180"/>
              <w:bottom w:type="dxa" w:w="140"/>
              <w:right w:type="dxa" w:w="180"/>
            </w:tcMar>
            <w:vAlign w:val="center"/>
          </w:tcPr>
          <w:p>
            <w:pPr>
              <w:spacing w:line="260"/>
              <w:jc w:val="left"/>
            </w:pPr>
            <w:r>
              <w:rPr>
                <w:rFonts w:ascii="Georgia" w:cs="Georgia" w:eastAsia="Georgia" w:hAnsi="Georgia"/>
                <w:b w:val="false"/>
                <w:bCs w:val="false"/>
                <w:color w:val="111111"/>
                <w:sz w:val="21"/>
                <w:szCs w:val="21"/>
              </w:rPr>
              <w:t xml:space="preserve">Décohérence environnementale</w:t>
            </w:r>
          </w:p>
        </w:tc>
        <w:tc>
          <w:tcPr>
            <w:tcW w:type="dxa" w:w="1008"/>
            <w:tcBorders>
              <w:top w:val="single" w:color="1A3558" w:sz="6"/>
              <w:left w:val="single" w:color="1A3558" w:sz="6"/>
              <w:bottom w:val="single" w:color="1A3558" w:sz="6"/>
              <w:right w:val="single" w:color="1A3558" w:sz="6"/>
            </w:tcBorders>
            <w:shd w:fill="FFFFFF" w:val="clear"/>
            <w:tcMar>
              <w:top w:type="dxa" w:w="140"/>
              <w:left w:type="dxa" w:w="180"/>
              <w:bottom w:type="dxa" w:w="140"/>
              <w:right w:type="dxa" w:w="180"/>
            </w:tcMar>
            <w:vAlign w:val="center"/>
          </w:tcPr>
          <w:p>
            <w:pPr>
              <w:spacing w:line="260"/>
              <w:jc w:val="left"/>
            </w:pPr>
            <w:r>
              <w:rPr>
                <w:rFonts w:ascii="Georgia" w:cs="Georgia" w:eastAsia="Georgia" w:hAnsi="Georgia"/>
                <w:b w:val="false"/>
                <w:bCs w:val="false"/>
                <w:color w:val="111111"/>
                <w:sz w:val="21"/>
                <w:szCs w:val="21"/>
              </w:rPr>
              <w:t xml:space="preserve">N¹</w:t>
            </w:r>
          </w:p>
        </w:tc>
        <w:tc>
          <w:tcPr>
            <w:tcW w:type="dxa" w:w="2880"/>
            <w:tcBorders>
              <w:top w:val="single" w:color="1A3558" w:sz="6"/>
              <w:left w:val="single" w:color="1A3558" w:sz="6"/>
              <w:bottom w:val="single" w:color="1A3558" w:sz="6"/>
              <w:right w:val="single" w:color="1A3558" w:sz="6"/>
            </w:tcBorders>
            <w:shd w:fill="F0F4FA" w:val="clear"/>
            <w:tcMar>
              <w:top w:type="dxa" w:w="140"/>
              <w:left w:type="dxa" w:w="180"/>
              <w:bottom w:type="dxa" w:w="140"/>
              <w:right w:type="dxa" w:w="180"/>
            </w:tcMar>
            <w:vAlign w:val="center"/>
          </w:tcPr>
          <w:p>
            <w:pPr>
              <w:spacing w:line="260"/>
              <w:jc w:val="left"/>
            </w:pPr>
            <w:r>
              <w:rPr>
                <w:rFonts w:ascii="Georgia" w:cs="Georgia" w:eastAsia="Georgia" w:hAnsi="Georgia"/>
                <w:b w:val="false"/>
                <w:bCs w:val="false"/>
                <w:color w:val="111111"/>
                <w:sz w:val="21"/>
                <w:szCs w:val="21"/>
              </w:rPr>
              <w:t xml:space="preserve">Couplage externe</w:t>
            </w:r>
          </w:p>
        </w:tc>
        <w:tc>
          <w:tcPr>
            <w:tcW w:type="dxa" w:w="2592"/>
            <w:tcBorders>
              <w:top w:val="single" w:color="1A3558" w:sz="6"/>
              <w:left w:val="single" w:color="1A3558" w:sz="6"/>
              <w:bottom w:val="single" w:color="1A3558" w:sz="6"/>
              <w:right w:val="single" w:color="1A3558" w:sz="6"/>
            </w:tcBorders>
            <w:shd w:fill="FFFFFF" w:val="clear"/>
            <w:tcMar>
              <w:top w:type="dxa" w:w="140"/>
              <w:left w:type="dxa" w:w="180"/>
              <w:bottom w:type="dxa" w:w="140"/>
              <w:right w:type="dxa" w:w="180"/>
            </w:tcMar>
            <w:vAlign w:val="center"/>
          </w:tcPr>
          <w:p>
            <w:pPr>
              <w:spacing w:line="260"/>
              <w:jc w:val="left"/>
            </w:pPr>
            <w:r>
              <w:rPr>
                <w:rFonts w:ascii="Georgia" w:cs="Georgia" w:eastAsia="Georgia" w:hAnsi="Georgia"/>
                <w:b w:val="false"/>
                <w:bCs w:val="false"/>
                <w:color w:val="111111"/>
                <w:sz w:val="21"/>
                <w:szCs w:val="21"/>
              </w:rPr>
              <w:t xml:space="preserve">Oui, N &lt; 25 000 amu</w:t>
            </w:r>
          </w:p>
        </w:tc>
      </w:tr>
      <w:tr>
        <w:trPr>
          <w:trHeight w:val="480" w:hRule="atLeast"/>
        </w:trPr>
        <w:tc>
          <w:tcPr>
            <w:tcW w:type="dxa" w:w="2880"/>
            <w:tcBorders>
              <w:top w:val="single" w:color="1A3558" w:sz="6"/>
              <w:left w:val="single" w:color="1A3558" w:sz="6"/>
              <w:bottom w:val="single" w:color="1A3558" w:sz="6"/>
              <w:right w:val="single" w:color="1A3558" w:sz="6"/>
            </w:tcBorders>
            <w:shd w:fill="F0F4FA" w:val="clear"/>
            <w:tcMar>
              <w:top w:type="dxa" w:w="140"/>
              <w:left w:type="dxa" w:w="180"/>
              <w:bottom w:type="dxa" w:w="140"/>
              <w:right w:type="dxa" w:w="180"/>
            </w:tcMar>
            <w:vAlign w:val="center"/>
          </w:tcPr>
          <w:p>
            <w:pPr>
              <w:spacing w:line="260"/>
              <w:jc w:val="left"/>
            </w:pPr>
            <w:r>
              <w:rPr>
                <w:rFonts w:ascii="Georgia" w:cs="Georgia" w:eastAsia="Georgia" w:hAnsi="Georgia"/>
                <w:b w:val="false"/>
                <w:bCs w:val="false"/>
                <w:color w:val="111111"/>
                <w:sz w:val="21"/>
                <w:szCs w:val="21"/>
              </w:rPr>
              <w:t xml:space="preserve">HDTQ (ce travail)</w:t>
            </w:r>
          </w:p>
        </w:tc>
        <w:tc>
          <w:tcPr>
            <w:tcW w:type="dxa" w:w="1008"/>
            <w:tcBorders>
              <w:top w:val="single" w:color="1A3558" w:sz="6"/>
              <w:left w:val="single" w:color="1A3558" w:sz="6"/>
              <w:bottom w:val="single" w:color="1A3558" w:sz="6"/>
              <w:right w:val="single" w:color="1A3558" w:sz="6"/>
            </w:tcBorders>
            <w:shd w:fill="FFFFFF" w:val="clear"/>
            <w:tcMar>
              <w:top w:type="dxa" w:w="140"/>
              <w:left w:type="dxa" w:w="180"/>
              <w:bottom w:type="dxa" w:w="140"/>
              <w:right w:type="dxa" w:w="180"/>
            </w:tcMar>
            <w:vAlign w:val="center"/>
          </w:tcPr>
          <w:p>
            <w:pPr>
              <w:spacing w:line="260"/>
              <w:jc w:val="left"/>
            </w:pPr>
            <w:r>
              <w:rPr>
                <w:rFonts w:ascii="Georgia" w:cs="Georgia" w:eastAsia="Georgia" w:hAnsi="Georgia"/>
                <w:b w:val="false"/>
                <w:bCs w:val="false"/>
                <w:color w:val="111111"/>
                <w:sz w:val="21"/>
                <w:szCs w:val="21"/>
              </w:rPr>
              <w:t xml:space="preserve">N²</w:t>
            </w:r>
          </w:p>
        </w:tc>
        <w:tc>
          <w:tcPr>
            <w:tcW w:type="dxa" w:w="2880"/>
            <w:tcBorders>
              <w:top w:val="single" w:color="1A3558" w:sz="6"/>
              <w:left w:val="single" w:color="1A3558" w:sz="6"/>
              <w:bottom w:val="single" w:color="1A3558" w:sz="6"/>
              <w:right w:val="single" w:color="1A3558" w:sz="6"/>
            </w:tcBorders>
            <w:shd w:fill="F0F4FA" w:val="clear"/>
            <w:tcMar>
              <w:top w:type="dxa" w:w="140"/>
              <w:left w:type="dxa" w:w="180"/>
              <w:bottom w:type="dxa" w:w="140"/>
              <w:right w:type="dxa" w:w="180"/>
            </w:tcMar>
            <w:vAlign w:val="center"/>
          </w:tcPr>
          <w:p>
            <w:pPr>
              <w:spacing w:line="260"/>
              <w:jc w:val="left"/>
            </w:pPr>
            <w:r>
              <w:rPr>
                <w:rFonts w:ascii="Georgia" w:cs="Georgia" w:eastAsia="Georgia" w:hAnsi="Georgia"/>
                <w:b w:val="false"/>
                <w:bCs w:val="false"/>
                <w:color w:val="111111"/>
                <w:sz w:val="21"/>
                <w:szCs w:val="21"/>
              </w:rPr>
              <w:t xml:space="preserve">Granularité temporelle</w:t>
            </w:r>
          </w:p>
        </w:tc>
        <w:tc>
          <w:tcPr>
            <w:tcW w:type="dxa" w:w="2592"/>
            <w:tcBorders>
              <w:top w:val="single" w:color="1A3558" w:sz="6"/>
              <w:left w:val="single" w:color="1A3558" w:sz="6"/>
              <w:bottom w:val="single" w:color="1A3558" w:sz="6"/>
              <w:right w:val="single" w:color="1A3558" w:sz="6"/>
            </w:tcBorders>
            <w:shd w:fill="FFFFFF" w:val="clear"/>
            <w:tcMar>
              <w:top w:type="dxa" w:w="140"/>
              <w:left w:type="dxa" w:w="180"/>
              <w:bottom w:type="dxa" w:w="140"/>
              <w:right w:type="dxa" w:w="180"/>
            </w:tcMar>
            <w:vAlign w:val="center"/>
          </w:tcPr>
          <w:p>
            <w:pPr>
              <w:spacing w:line="260"/>
              <w:jc w:val="left"/>
            </w:pPr>
            <w:r>
              <w:rPr>
                <w:rFonts w:ascii="Georgia" w:cs="Georgia" w:eastAsia="Georgia" w:hAnsi="Georgia"/>
                <w:b w:val="false"/>
                <w:bCs w:val="false"/>
                <w:color w:val="111111"/>
                <w:sz w:val="21"/>
                <w:szCs w:val="21"/>
              </w:rPr>
              <w:t xml:space="preserve">Oui, N ∼ 10⁶–10⁹ amu</w:t>
            </w:r>
          </w:p>
        </w:tc>
      </w:tr>
      <w:tr>
        <w:trPr>
          <w:trHeight w:val="480" w:hRule="atLeast"/>
        </w:trPr>
        <w:tc>
          <w:tcPr>
            <w:tcW w:type="dxa" w:w="2880"/>
            <w:tcBorders>
              <w:top w:val="single" w:color="1A3558" w:sz="6"/>
              <w:left w:val="single" w:color="1A3558" w:sz="6"/>
              <w:bottom w:val="single" w:color="1A3558" w:sz="6"/>
              <w:right w:val="single" w:color="1A3558" w:sz="6"/>
            </w:tcBorders>
            <w:shd w:fill="F0F4FA" w:val="clear"/>
            <w:tcMar>
              <w:top w:type="dxa" w:w="140"/>
              <w:left w:type="dxa" w:w="180"/>
              <w:bottom w:type="dxa" w:w="140"/>
              <w:right w:type="dxa" w:w="180"/>
            </w:tcMar>
            <w:vAlign w:val="center"/>
          </w:tcPr>
          <w:p>
            <w:pPr>
              <w:spacing w:line="260"/>
              <w:jc w:val="left"/>
            </w:pPr>
            <w:r>
              <w:rPr>
                <w:rFonts w:ascii="Georgia" w:cs="Georgia" w:eastAsia="Georgia" w:hAnsi="Georgia"/>
                <w:b w:val="false"/>
                <w:bCs w:val="false"/>
                <w:color w:val="111111"/>
                <w:sz w:val="21"/>
                <w:szCs w:val="21"/>
              </w:rPr>
              <w:t xml:space="preserve">Diósi–Penrose</w:t>
            </w:r>
          </w:p>
        </w:tc>
        <w:tc>
          <w:tcPr>
            <w:tcW w:type="dxa" w:w="1008"/>
            <w:tcBorders>
              <w:top w:val="single" w:color="1A3558" w:sz="6"/>
              <w:left w:val="single" w:color="1A3558" w:sz="6"/>
              <w:bottom w:val="single" w:color="1A3558" w:sz="6"/>
              <w:right w:val="single" w:color="1A3558" w:sz="6"/>
            </w:tcBorders>
            <w:shd w:fill="FFFFFF" w:val="clear"/>
            <w:tcMar>
              <w:top w:type="dxa" w:w="140"/>
              <w:left w:type="dxa" w:w="180"/>
              <w:bottom w:type="dxa" w:w="140"/>
              <w:right w:type="dxa" w:w="180"/>
            </w:tcMar>
            <w:vAlign w:val="center"/>
          </w:tcPr>
          <w:p>
            <w:pPr>
              <w:spacing w:line="260"/>
              <w:jc w:val="left"/>
            </w:pPr>
            <w:r>
              <w:rPr>
                <w:rFonts w:ascii="Georgia" w:cs="Georgia" w:eastAsia="Georgia" w:hAnsi="Georgia"/>
                <w:b w:val="false"/>
                <w:bCs w:val="false"/>
                <w:color w:val="111111"/>
                <w:sz w:val="21"/>
                <w:szCs w:val="21"/>
              </w:rPr>
              <w:t xml:space="preserve">N¹</w:t>
            </w:r>
          </w:p>
        </w:tc>
        <w:tc>
          <w:tcPr>
            <w:tcW w:type="dxa" w:w="2880"/>
            <w:tcBorders>
              <w:top w:val="single" w:color="1A3558" w:sz="6"/>
              <w:left w:val="single" w:color="1A3558" w:sz="6"/>
              <w:bottom w:val="single" w:color="1A3558" w:sz="6"/>
              <w:right w:val="single" w:color="1A3558" w:sz="6"/>
            </w:tcBorders>
            <w:shd w:fill="F0F4FA" w:val="clear"/>
            <w:tcMar>
              <w:top w:type="dxa" w:w="140"/>
              <w:left w:type="dxa" w:w="180"/>
              <w:bottom w:type="dxa" w:w="140"/>
              <w:right w:type="dxa" w:w="180"/>
            </w:tcMar>
            <w:vAlign w:val="center"/>
          </w:tcPr>
          <w:p>
            <w:pPr>
              <w:spacing w:line="260"/>
              <w:jc w:val="left"/>
            </w:pPr>
            <w:r>
              <w:rPr>
                <w:rFonts w:ascii="Georgia" w:cs="Georgia" w:eastAsia="Georgia" w:hAnsi="Georgia"/>
                <w:b w:val="false"/>
                <w:bCs w:val="false"/>
                <w:color w:val="111111"/>
                <w:sz w:val="21"/>
                <w:szCs w:val="21"/>
              </w:rPr>
              <w:t xml:space="preserve">Couplage gravitationnel</w:t>
            </w:r>
          </w:p>
        </w:tc>
        <w:tc>
          <w:tcPr>
            <w:tcW w:type="dxa" w:w="2592"/>
            <w:tcBorders>
              <w:top w:val="single" w:color="1A3558" w:sz="6"/>
              <w:left w:val="single" w:color="1A3558" w:sz="6"/>
              <w:bottom w:val="single" w:color="1A3558" w:sz="6"/>
              <w:right w:val="single" w:color="1A3558" w:sz="6"/>
            </w:tcBorders>
            <w:shd w:fill="FFFFFF" w:val="clear"/>
            <w:tcMar>
              <w:top w:type="dxa" w:w="140"/>
              <w:left w:type="dxa" w:w="180"/>
              <w:bottom w:type="dxa" w:w="140"/>
              <w:right w:type="dxa" w:w="180"/>
            </w:tcMar>
            <w:vAlign w:val="center"/>
          </w:tcPr>
          <w:p>
            <w:pPr>
              <w:spacing w:line="260"/>
              <w:jc w:val="left"/>
            </w:pPr>
            <w:r>
              <w:rPr>
                <w:rFonts w:ascii="Georgia" w:cs="Georgia" w:eastAsia="Georgia" w:hAnsi="Georgia"/>
                <w:b w:val="false"/>
                <w:bCs w:val="false"/>
                <w:color w:val="111111"/>
                <w:sz w:val="21"/>
                <w:szCs w:val="21"/>
              </w:rPr>
              <w:t xml:space="preserve">Oui, N ∼ 10⁶ amu</w:t>
            </w:r>
          </w:p>
        </w:tc>
      </w:tr>
      <w:tr>
        <w:trPr>
          <w:trHeight w:val="480" w:hRule="atLeast"/>
        </w:trPr>
        <w:tc>
          <w:tcPr>
            <w:tcW w:type="dxa" w:w="2880"/>
            <w:tcBorders>
              <w:top w:val="single" w:color="1A3558" w:sz="6"/>
              <w:left w:val="single" w:color="1A3558" w:sz="6"/>
              <w:bottom w:val="single" w:color="1A3558" w:sz="6"/>
              <w:right w:val="single" w:color="1A3558" w:sz="6"/>
            </w:tcBorders>
            <w:shd w:fill="F0F4FA" w:val="clear"/>
            <w:tcMar>
              <w:top w:type="dxa" w:w="140"/>
              <w:left w:type="dxa" w:w="180"/>
              <w:bottom w:type="dxa" w:w="140"/>
              <w:right w:type="dxa" w:w="180"/>
            </w:tcMar>
            <w:vAlign w:val="center"/>
          </w:tcPr>
          <w:p>
            <w:pPr>
              <w:spacing w:line="260"/>
              <w:jc w:val="left"/>
            </w:pPr>
            <w:r>
              <w:rPr>
                <w:rFonts w:ascii="Georgia" w:cs="Georgia" w:eastAsia="Georgia" w:hAnsi="Georgia"/>
                <w:b w:val="false"/>
                <w:bCs w:val="false"/>
                <w:color w:val="111111"/>
                <w:sz w:val="21"/>
                <w:szCs w:val="21"/>
              </w:rPr>
              <w:t xml:space="preserve">MQ pure (sans décohérence)</w:t>
            </w:r>
          </w:p>
        </w:tc>
        <w:tc>
          <w:tcPr>
            <w:tcW w:type="dxa" w:w="1008"/>
            <w:tcBorders>
              <w:top w:val="single" w:color="1A3558" w:sz="6"/>
              <w:left w:val="single" w:color="1A3558" w:sz="6"/>
              <w:bottom w:val="single" w:color="1A3558" w:sz="6"/>
              <w:right w:val="single" w:color="1A3558" w:sz="6"/>
            </w:tcBorders>
            <w:shd w:fill="FFFFFF" w:val="clear"/>
            <w:tcMar>
              <w:top w:type="dxa" w:w="140"/>
              <w:left w:type="dxa" w:w="180"/>
              <w:bottom w:type="dxa" w:w="140"/>
              <w:right w:type="dxa" w:w="180"/>
            </w:tcMar>
            <w:vAlign w:val="center"/>
          </w:tcPr>
          <w:p>
            <w:pPr>
              <w:spacing w:line="260"/>
              <w:jc w:val="left"/>
            </w:pPr>
            <w:r>
              <w:rPr>
                <w:rFonts w:ascii="Georgia" w:cs="Georgia" w:eastAsia="Georgia" w:hAnsi="Georgia"/>
                <w:b w:val="false"/>
                <w:bCs w:val="false"/>
                <w:color w:val="111111"/>
                <w:sz w:val="21"/>
                <w:szCs w:val="21"/>
              </w:rPr>
              <w:t xml:space="preserve">constante</w:t>
            </w:r>
          </w:p>
        </w:tc>
        <w:tc>
          <w:tcPr>
            <w:tcW w:type="dxa" w:w="2880"/>
            <w:tcBorders>
              <w:top w:val="single" w:color="1A3558" w:sz="6"/>
              <w:left w:val="single" w:color="1A3558" w:sz="6"/>
              <w:bottom w:val="single" w:color="1A3558" w:sz="6"/>
              <w:right w:val="single" w:color="1A3558" w:sz="6"/>
            </w:tcBorders>
            <w:shd w:fill="F0F4FA" w:val="clear"/>
            <w:tcMar>
              <w:top w:type="dxa" w:w="140"/>
              <w:left w:type="dxa" w:w="180"/>
              <w:bottom w:type="dxa" w:w="140"/>
              <w:right w:type="dxa" w:w="180"/>
            </w:tcMar>
            <w:vAlign w:val="center"/>
          </w:tcPr>
          <w:p>
            <w:pPr>
              <w:spacing w:line="260"/>
              <w:jc w:val="left"/>
            </w:pPr>
            <w:r>
              <w:rPr>
                <w:rFonts w:ascii="Georgia" w:cs="Georgia" w:eastAsia="Georgia" w:hAnsi="Georgia"/>
                <w:b w:val="false"/>
                <w:bCs w:val="false"/>
                <w:color w:val="111111"/>
                <w:sz w:val="21"/>
                <w:szCs w:val="21"/>
              </w:rPr>
              <w:t xml:space="preserve">Néant</w:t>
            </w:r>
          </w:p>
        </w:tc>
        <w:tc>
          <w:tcPr>
            <w:tcW w:type="dxa" w:w="2592"/>
            <w:tcBorders>
              <w:top w:val="single" w:color="1A3558" w:sz="6"/>
              <w:left w:val="single" w:color="1A3558" w:sz="6"/>
              <w:bottom w:val="single" w:color="1A3558" w:sz="6"/>
              <w:right w:val="single" w:color="1A3558" w:sz="6"/>
            </w:tcBorders>
            <w:shd w:fill="FFFFFF" w:val="clear"/>
            <w:tcMar>
              <w:top w:type="dxa" w:w="140"/>
              <w:left w:type="dxa" w:w="180"/>
              <w:bottom w:type="dxa" w:w="140"/>
              <w:right w:type="dxa" w:w="180"/>
            </w:tcMar>
            <w:vAlign w:val="center"/>
          </w:tcPr>
          <w:p>
            <w:pPr>
              <w:spacing w:line="260"/>
              <w:jc w:val="left"/>
            </w:pPr>
            <w:r>
              <w:rPr>
                <w:rFonts w:ascii="Georgia" w:cs="Georgia" w:eastAsia="Georgia" w:hAnsi="Georgia"/>
                <w:b w:val="false"/>
                <w:bCs w:val="false"/>
                <w:color w:val="111111"/>
                <w:sz w:val="21"/>
                <w:szCs w:val="21"/>
              </w:rPr>
              <w:t xml:space="preserve">Oui, N arbitraire</w:t>
            </w:r>
          </w:p>
        </w:tc>
      </w:tr>
    </w:tbl>
    <w:p>
      <w:pPr>
        <w:spacing w:after="100"/>
      </w:pPr>
      <w:r>
        <w:rPr>
          <w:rFonts w:ascii="Georgia" w:cs="Georgia" w:eastAsia="Georgia" w:hAnsi="Georgia"/>
          <w:sz w:val="22"/>
          <w:szCs w:val="22"/>
        </w:rPr>
        <w:t xml:space="preserve"/>
      </w:r>
    </w:p>
    <w:p>
      <w:pPr>
        <w:spacing w:after="100" w:before="120"/>
        <w:jc w:val="center"/>
      </w:pPr>
      <w:r>
        <w:drawing>
          <wp:inline distT="0" distB="0" distL="0" distR="0">
            <wp:extent cx="5143500" cy="30003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5143500" cy="3000375"/>
                    </a:xfrm>
                    <a:prstGeom prst="rect">
                      <a:avLst/>
                    </a:prstGeom>
                  </pic:spPr>
                </pic:pic>
              </a:graphicData>
            </a:graphic>
          </wp:inline>
        </w:drawing>
      </w:r>
    </w:p>
    <w:p>
      <w:pPr>
        <w:spacing w:after="200" w:before="0"/>
        <w:jc w:val="center"/>
      </w:pPr>
      <w:r>
        <w:rPr>
          <w:rFonts w:ascii="Arial" w:cs="Arial" w:eastAsia="Arial" w:hAnsi="Arial"/>
          <w:b/>
          <w:bCs/>
          <w:i/>
          <w:iCs/>
          <w:color w:val="555555"/>
          <w:sz w:val="19"/>
          <w:szCs w:val="19"/>
        </w:rPr>
        <w:t xml:space="preserve">Figure : </w:t>
      </w:r>
      <w:r>
        <w:rPr>
          <w:rFonts w:ascii="Arial" w:cs="Arial" w:eastAsia="Arial" w:hAnsi="Arial"/>
          <w:i/>
          <w:iCs/>
          <w:color w:val="555555"/>
          <w:sz w:val="19"/>
          <w:szCs w:val="19"/>
        </w:rPr>
        <w:t xml:space="preserve">Prédiction de la décohérence intrinsèque de HDTQ. La transition observée du régime N⁻¹ (couplage environnemental) vers le régime N⁻² (granularité temporelle) au-delà d’un seuil N_crit constituerait la signature distinctive de la théorie. La zone de discrimination 10⁶–10⁹ amu est accessible à l’interférométrie moléculaire cryogénique étendue.</w:t>
      </w:r>
    </w:p>
    <w:p>
      <w:pPr>
        <w:spacing w:after="160" w:before="0" w:line="280"/>
        <w:jc w:val="both"/>
      </w:pPr>
      <w:r>
        <w:rPr>
          <w:rFonts w:ascii="Georgia" w:cs="Georgia" w:eastAsia="Georgia" w:hAnsi="Georgia"/>
          <w:sz w:val="22"/>
          <w:szCs w:val="22"/>
        </w:rPr>
        <w:t xml:space="preserve">Un passage de la pente N⁻¹ à la pente N⁻² dans τ_{coh}(N) au-delà d’un seuil N_{crit} serait la signature définitive de HDTQ. L’interférométrie moléculaire actuelle (Fein et al. 2019 : 25 000 amu) est à la frontière de la sensibilité requise. Son extension à 10⁶ amu discriminerait les modèles.</w:t>
      </w:r>
    </w:p>
    <w:p>
      <w:pPr>
        <w:spacing w:after="100"/>
      </w:pPr>
      <w:r>
        <w:rPr>
          <w:rFonts w:ascii="Georgia" w:cs="Georgia" w:eastAsia="Georgia" w:hAnsi="Georgia"/>
          <w:sz w:val="22"/>
          <w:szCs w:val="22"/>
        </w:rPr>
        <w:t xml:space="preserve"/>
      </w:r>
    </w:p>
    <w:p>
      <w:pPr>
        <w:pStyle w:val="Heading1"/>
        <w:pBdr>
          <w:bottom w:val="single" w:color="2C4770" w:sz="6" w:space="3"/>
        </w:pBdr>
        <w:spacing w:after="160" w:before="400"/>
      </w:pPr>
      <w:r>
        <w:rPr>
          <w:rFonts w:ascii="Arial" w:cs="Arial" w:eastAsia="Arial" w:hAnsi="Arial"/>
          <w:b/>
          <w:bCs/>
          <w:color w:val="1A3558"/>
          <w:sz w:val="27"/>
          <w:szCs w:val="27"/>
        </w:rPr>
        <w:t xml:space="preserve">5.  Protocoles Expérimentaux et Prédictions Quantitatives</w:t>
      </w:r>
    </w:p>
    <w:p>
      <w:pPr>
        <w:pStyle w:val="Heading2"/>
        <w:spacing w:after="100" w:before="280"/>
      </w:pPr>
      <w:r>
        <w:rPr>
          <w:rFonts w:ascii="Arial" w:cs="Arial" w:eastAsia="Arial" w:hAnsi="Arial"/>
          <w:b/>
          <w:bCs/>
          <w:color w:val="2C4770"/>
          <w:sz w:val="24"/>
          <w:szCs w:val="24"/>
        </w:rPr>
        <w:t xml:space="preserve">5.1  Protocole I : Spectroscopie des Transitions Interdites de ¹⁷¹Yb⁺</w:t>
      </w:r>
    </w:p>
    <w:p>
      <w:pPr>
        <w:spacing w:after="160" w:before="0" w:line="280"/>
        <w:jc w:val="both"/>
      </w:pPr>
      <w:r>
        <w:rPr>
          <w:rFonts w:ascii="Georgia" w:cs="Georgia" w:eastAsia="Georgia" w:hAnsi="Georgia"/>
          <w:sz w:val="22"/>
          <w:szCs w:val="22"/>
        </w:rPr>
        <w:t xml:space="preserve">La prédiction centrale de HDTQ pour la spectroscopie est : pendant les phases inactives, les règles de sélection (dérivées de la symétrie de l’évolution continue) sont partiellement levées. Cela produit un élargissement de raie résiduel :</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8208"/>
        <w:gridCol w:w="1152"/>
      </w:tblGrid>
      <w:tr>
        <w:tc>
          <w:tcPr>
            <w:tcW w:type="dxa" w:w="8208"/>
            <w:tcBorders>
              <w:top w:val="none" w:color="FFFFFF" w:sz="0"/>
              <w:left w:val="none" w:color="FFFFFF" w:sz="0"/>
              <w:bottom w:val="none" w:color="FFFFFF" w:sz="0"/>
              <w:right w:val="none" w:color="FFFFFF" w:sz="0"/>
            </w:tcBorders>
            <w:tcMar>
              <w:top w:type="dxa" w:w="100"/>
              <w:left w:type="dxa" w:w="400"/>
              <w:bottom w:type="dxa" w:w="100"/>
              <w:right w:type="dxa" w:w="100"/>
            </w:tcMar>
          </w:tcPr>
          <w:p>
            <w:pPr>
              <w:jc w:val="center"/>
            </w:pPr>
            <w:r>
              <w:rPr>
                <w:rFonts w:ascii="Cambria Math" w:cs="Cambria Math" w:eastAsia="Cambria Math" w:hAnsi="Cambria Math"/>
                <w:i/>
                <w:iCs/>
                <w:sz w:val="24"/>
                <w:szCs w:val="24"/>
              </w:rPr>
              <w:t xml:space="preserve">δΓ ≈ (τ_0 E_{fi}/ℏ)² · |⟨f|Ô_L|i⟩|² · E²</w:t>
            </w:r>
          </w:p>
        </w:tc>
        <w:tc>
          <w:tcPr>
            <w:tcW w:type="dxa" w:w="1152"/>
            <w:tcBorders>
              <w:top w:val="none" w:color="FFFFFF" w:sz="0"/>
              <w:left w:val="none" w:color="FFFFFF" w:sz="0"/>
              <w:bottom w:val="none" w:color="FFFFFF" w:sz="0"/>
              <w:right w:val="none" w:color="FFFFFF" w:sz="0"/>
            </w:tcBorders>
            <w:tcMar>
              <w:top w:type="dxa" w:w="100"/>
              <w:left w:type="dxa" w:w="40"/>
              <w:bottom w:type="dxa" w:w="100"/>
              <w:right w:type="dxa" w:w="80"/>
            </w:tcMar>
          </w:tcPr>
          <w:p>
            <w:pPr>
              <w:jc w:val="right"/>
            </w:pPr>
            <w:r>
              <w:rPr>
                <w:rFonts w:ascii="Georgia" w:cs="Georgia" w:eastAsia="Georgia" w:hAnsi="Georgia"/>
                <w:color w:val="777777"/>
                <w:sz w:val="20"/>
                <w:szCs w:val="20"/>
              </w:rPr>
              <w:t xml:space="preserve">(18)</w:t>
            </w:r>
          </w:p>
        </w:tc>
      </w:tr>
    </w:tbl>
    <w:p>
      <w:pPr>
        <w:spacing w:after="160" w:before="0" w:line="280"/>
        <w:jc w:val="both"/>
      </w:pPr>
      <w:r>
        <w:rPr>
          <w:rFonts w:ascii="Georgia" w:cs="Georgia" w:eastAsia="Georgia" w:hAnsi="Georgia"/>
          <w:sz w:val="22"/>
          <w:szCs w:val="22"/>
        </w:rPr>
        <w:t xml:space="preserve">Pour la transition E2 de ¹⁷¹Yb⁺ (λ = 436 nm, E_{fi} ≈ 2,84 eV) et τ₀ = 10⁻²⁴ s :</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8208"/>
        <w:gridCol w:w="1152"/>
      </w:tblGrid>
      <w:tr>
        <w:tc>
          <w:tcPr>
            <w:tcW w:type="dxa" w:w="8208"/>
            <w:tcBorders>
              <w:top w:val="none" w:color="FFFFFF" w:sz="0"/>
              <w:left w:val="none" w:color="FFFFFF" w:sz="0"/>
              <w:bottom w:val="none" w:color="FFFFFF" w:sz="0"/>
              <w:right w:val="none" w:color="FFFFFF" w:sz="0"/>
            </w:tcBorders>
            <w:tcMar>
              <w:top w:type="dxa" w:w="100"/>
              <w:left w:type="dxa" w:w="400"/>
              <w:bottom w:type="dxa" w:w="100"/>
              <w:right w:type="dxa" w:w="100"/>
            </w:tcMar>
          </w:tcPr>
          <w:p>
            <w:pPr>
              <w:jc w:val="center"/>
            </w:pPr>
            <w:r>
              <w:rPr>
                <w:rFonts w:ascii="Cambria Math" w:cs="Cambria Math" w:eastAsia="Cambria Math" w:hAnsi="Cambria Math"/>
                <w:i/>
                <w:iCs/>
                <w:sz w:val="24"/>
                <w:szCs w:val="24"/>
              </w:rPr>
              <w:t xml:space="preserve">δΓ ≈ (10⁻²⁴ × 2,84 × 1,6×10⁻¹⁹ / 1,05×10⁻³⁴)² · ℱ ∼ 10⁻¹⁶ Hz</w:t>
            </w:r>
          </w:p>
        </w:tc>
        <w:tc>
          <w:tcPr>
            <w:tcW w:type="dxa" w:w="1152"/>
            <w:tcBorders>
              <w:top w:val="none" w:color="FFFFFF" w:sz="0"/>
              <w:left w:val="none" w:color="FFFFFF" w:sz="0"/>
              <w:bottom w:val="none" w:color="FFFFFF" w:sz="0"/>
              <w:right w:val="none" w:color="FFFFFF" w:sz="0"/>
            </w:tcBorders>
            <w:tcMar>
              <w:top w:type="dxa" w:w="100"/>
              <w:left w:type="dxa" w:w="40"/>
              <w:bottom w:type="dxa" w:w="100"/>
              <w:right w:type="dxa" w:w="80"/>
            </w:tcMar>
          </w:tcPr>
          <w:p>
            <w:pPr>
              <w:jc w:val="right"/>
            </w:pPr>
            <w:r>
              <w:rPr>
                <w:rFonts w:ascii="Georgia" w:cs="Georgia" w:eastAsia="Georgia" w:hAnsi="Georgia"/>
                <w:color w:val="777777"/>
                <w:sz w:val="20"/>
                <w:szCs w:val="20"/>
              </w:rPr>
              <w:t xml:space="preserve">(19)</w:t>
            </w:r>
          </w:p>
        </w:tc>
      </w:tr>
    </w:tbl>
    <w:p>
      <w:pPr>
        <w:spacing w:after="100"/>
      </w:pPr>
      <w:r>
        <w:rPr>
          <w:rFonts w:ascii="Georgia" w:cs="Georgia" w:eastAsia="Georgia" w:hAnsi="Georgia"/>
          <w:sz w:val="22"/>
          <w:szCs w:val="22"/>
        </w:rPr>
        <w:t xml:space="preserve"/>
      </w:r>
    </w:p>
    <w:p>
      <w:pPr>
        <w:spacing w:after="100" w:before="120"/>
        <w:jc w:val="center"/>
      </w:pPr>
      <w:r>
        <w:drawing>
          <wp:inline distT="0" distB="0" distL="0" distR="0">
            <wp:extent cx="5143500" cy="30003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5143500" cy="3000375"/>
                    </a:xfrm>
                    <a:prstGeom prst="rect">
                      <a:avLst/>
                    </a:prstGeom>
                  </pic:spPr>
                </pic:pic>
              </a:graphicData>
            </a:graphic>
          </wp:inline>
        </w:drawing>
      </w:r>
    </w:p>
    <w:p>
      <w:pPr>
        <w:spacing w:after="200" w:before="0"/>
        <w:jc w:val="center"/>
      </w:pPr>
      <w:r>
        <w:rPr>
          <w:rFonts w:ascii="Arial" w:cs="Arial" w:eastAsia="Arial" w:hAnsi="Arial"/>
          <w:b/>
          <w:bCs/>
          <w:i/>
          <w:iCs/>
          <w:color w:val="555555"/>
          <w:sz w:val="19"/>
          <w:szCs w:val="19"/>
        </w:rPr>
        <w:t xml:space="preserve">Figure : </w:t>
      </w:r>
      <w:r>
        <w:rPr>
          <w:rFonts w:ascii="Arial" w:cs="Arial" w:eastAsia="Arial" w:hAnsi="Arial"/>
          <w:i/>
          <w:iCs/>
          <w:color w:val="555555"/>
          <w:sz w:val="19"/>
          <w:szCs w:val="19"/>
        </w:rPr>
        <w:t xml:space="preserve">Schéma du Protocole I. Un ion unique ¹⁷¹Yb⁺ est piégé dans un piège de Paul linéaire et refroidi au régime Lamb-Dicke. Un laser sonde à 436 nm excite la transition E2 interdite ; la fluorescence à 370 nm sert de détection. Le panneau inférieur montre la forme de raie attendue : la prédiction QED standard (trait plein) et l’élargissement HDTQ (trait pointillé), avec δΓ ∼ 10⁻¹⁶ Hz.</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744"/>
        <w:gridCol w:w="5616"/>
      </w:tblGrid>
      <w:tr>
        <w:trPr>
          <w:trHeight w:val="600" w:hRule="atLeast"/>
        </w:trPr>
        <w:tc>
          <w:tcPr>
            <w:tcW w:type="dxa" w:w="3744"/>
            <w:tcBorders>
              <w:top w:val="single" w:color="1A3558" w:sz="6"/>
              <w:left w:val="single" w:color="1A3558" w:sz="6"/>
              <w:bottom w:val="single" w:color="1A3558" w:sz="6"/>
              <w:right w:val="single" w:color="1A3558" w:sz="6"/>
            </w:tcBorders>
            <w:shd w:fill="1A3558" w:val="clear"/>
            <w:tcMar>
              <w:top w:type="dxa" w:w="140"/>
              <w:left w:type="dxa" w:w="180"/>
              <w:bottom w:type="dxa" w:w="140"/>
              <w:right w:type="dxa" w:w="180"/>
            </w:tcMar>
            <w:vAlign w:val="center"/>
          </w:tcPr>
          <w:p>
            <w:pPr>
              <w:spacing w:line="260"/>
              <w:jc w:val="left"/>
            </w:pPr>
            <w:r>
              <w:rPr>
                <w:rFonts w:ascii="Georgia" w:cs="Georgia" w:eastAsia="Georgia" w:hAnsi="Georgia"/>
                <w:b/>
                <w:bCs/>
                <w:color w:val="FFFFFF"/>
                <w:sz w:val="21"/>
                <w:szCs w:val="21"/>
              </w:rPr>
              <w:t xml:space="preserve">Paramètre</w:t>
            </w:r>
          </w:p>
        </w:tc>
        <w:tc>
          <w:tcPr>
            <w:tcW w:type="dxa" w:w="5616"/>
            <w:tcBorders>
              <w:top w:val="single" w:color="1A3558" w:sz="6"/>
              <w:left w:val="single" w:color="1A3558" w:sz="6"/>
              <w:bottom w:val="single" w:color="1A3558" w:sz="6"/>
              <w:right w:val="single" w:color="1A3558" w:sz="6"/>
            </w:tcBorders>
            <w:shd w:fill="1A3558" w:val="clear"/>
            <w:tcMar>
              <w:top w:type="dxa" w:w="140"/>
              <w:left w:type="dxa" w:w="180"/>
              <w:bottom w:type="dxa" w:w="140"/>
              <w:right w:type="dxa" w:w="180"/>
            </w:tcMar>
            <w:vAlign w:val="center"/>
          </w:tcPr>
          <w:p>
            <w:pPr>
              <w:spacing w:line="260"/>
              <w:jc w:val="left"/>
            </w:pPr>
            <w:r>
              <w:rPr>
                <w:rFonts w:ascii="Georgia" w:cs="Georgia" w:eastAsia="Georgia" w:hAnsi="Georgia"/>
                <w:b/>
                <w:bCs/>
                <w:color w:val="FFFFFF"/>
                <w:sz w:val="21"/>
                <w:szCs w:val="21"/>
              </w:rPr>
              <w:t xml:space="preserve">Valeur / Contrainte</w:t>
            </w:r>
          </w:p>
        </w:tc>
      </w:tr>
      <w:tr>
        <w:trPr>
          <w:trHeight w:val="480" w:hRule="atLeast"/>
        </w:trPr>
        <w:tc>
          <w:tcPr>
            <w:tcW w:type="dxa" w:w="3744"/>
            <w:tcBorders>
              <w:top w:val="single" w:color="1A3558" w:sz="6"/>
              <w:left w:val="single" w:color="1A3558" w:sz="6"/>
              <w:bottom w:val="single" w:color="1A3558" w:sz="6"/>
              <w:right w:val="single" w:color="1A3558" w:sz="6"/>
            </w:tcBorders>
            <w:shd w:fill="F0F4FA" w:val="clear"/>
            <w:tcMar>
              <w:top w:type="dxa" w:w="140"/>
              <w:left w:type="dxa" w:w="180"/>
              <w:bottom w:type="dxa" w:w="140"/>
              <w:right w:type="dxa" w:w="180"/>
            </w:tcMar>
            <w:vAlign w:val="center"/>
          </w:tcPr>
          <w:p>
            <w:pPr>
              <w:spacing w:line="260"/>
              <w:jc w:val="left"/>
            </w:pPr>
            <w:r>
              <w:rPr>
                <w:rFonts w:ascii="Georgia" w:cs="Georgia" w:eastAsia="Georgia" w:hAnsi="Georgia"/>
                <w:b w:val="false"/>
                <w:bCs w:val="false"/>
                <w:color w:val="111111"/>
                <w:sz w:val="21"/>
                <w:szCs w:val="21"/>
              </w:rPr>
              <w:t xml:space="preserve">Transition cible</w:t>
            </w:r>
          </w:p>
        </w:tc>
        <w:tc>
          <w:tcPr>
            <w:tcW w:type="dxa" w:w="5616"/>
            <w:tcBorders>
              <w:top w:val="single" w:color="1A3558" w:sz="6"/>
              <w:left w:val="single" w:color="1A3558" w:sz="6"/>
              <w:bottom w:val="single" w:color="1A3558" w:sz="6"/>
              <w:right w:val="single" w:color="1A3558" w:sz="6"/>
            </w:tcBorders>
            <w:shd w:fill="FFFFFF" w:val="clear"/>
            <w:tcMar>
              <w:top w:type="dxa" w:w="140"/>
              <w:left w:type="dxa" w:w="180"/>
              <w:bottom w:type="dxa" w:w="140"/>
              <w:right w:type="dxa" w:w="180"/>
            </w:tcMar>
            <w:vAlign w:val="center"/>
          </w:tcPr>
          <w:p>
            <w:pPr>
              <w:spacing w:line="260"/>
              <w:jc w:val="left"/>
            </w:pPr>
            <w:r>
              <w:rPr>
                <w:rFonts w:ascii="Georgia" w:cs="Georgia" w:eastAsia="Georgia" w:hAnsi="Georgia"/>
                <w:b w:val="false"/>
                <w:bCs w:val="false"/>
                <w:color w:val="111111"/>
                <w:sz w:val="21"/>
                <w:szCs w:val="21"/>
              </w:rPr>
              <w:t xml:space="preserve">6s²S₁/₂ → 5d²D₅/₂ (E2, λ = 436 nm)</w:t>
            </w:r>
          </w:p>
        </w:tc>
      </w:tr>
      <w:tr>
        <w:trPr>
          <w:trHeight w:val="480" w:hRule="atLeast"/>
        </w:trPr>
        <w:tc>
          <w:tcPr>
            <w:tcW w:type="dxa" w:w="3744"/>
            <w:tcBorders>
              <w:top w:val="single" w:color="1A3558" w:sz="6"/>
              <w:left w:val="single" w:color="1A3558" w:sz="6"/>
              <w:bottom w:val="single" w:color="1A3558" w:sz="6"/>
              <w:right w:val="single" w:color="1A3558" w:sz="6"/>
            </w:tcBorders>
            <w:shd w:fill="F0F4FA" w:val="clear"/>
            <w:tcMar>
              <w:top w:type="dxa" w:w="140"/>
              <w:left w:type="dxa" w:w="180"/>
              <w:bottom w:type="dxa" w:w="140"/>
              <w:right w:type="dxa" w:w="180"/>
            </w:tcMar>
            <w:vAlign w:val="center"/>
          </w:tcPr>
          <w:p>
            <w:pPr>
              <w:spacing w:line="260"/>
              <w:jc w:val="left"/>
            </w:pPr>
            <w:r>
              <w:rPr>
                <w:rFonts w:ascii="Georgia" w:cs="Georgia" w:eastAsia="Georgia" w:hAnsi="Georgia"/>
                <w:b w:val="false"/>
                <w:bCs w:val="false"/>
                <w:color w:val="111111"/>
                <w:sz w:val="21"/>
                <w:szCs w:val="21"/>
              </w:rPr>
              <w:t xml:space="preserve">Γ_{QED} (théorique)</w:t>
            </w:r>
          </w:p>
        </w:tc>
        <w:tc>
          <w:tcPr>
            <w:tcW w:type="dxa" w:w="5616"/>
            <w:tcBorders>
              <w:top w:val="single" w:color="1A3558" w:sz="6"/>
              <w:left w:val="single" w:color="1A3558" w:sz="6"/>
              <w:bottom w:val="single" w:color="1A3558" w:sz="6"/>
              <w:right w:val="single" w:color="1A3558" w:sz="6"/>
            </w:tcBorders>
            <w:shd w:fill="FFFFFF" w:val="clear"/>
            <w:tcMar>
              <w:top w:type="dxa" w:w="140"/>
              <w:left w:type="dxa" w:w="180"/>
              <w:bottom w:type="dxa" w:w="140"/>
              <w:right w:type="dxa" w:w="180"/>
            </w:tcMar>
            <w:vAlign w:val="center"/>
          </w:tcPr>
          <w:p>
            <w:pPr>
              <w:spacing w:line="260"/>
              <w:jc w:val="left"/>
            </w:pPr>
            <w:r>
              <w:rPr>
                <w:rFonts w:ascii="Georgia" w:cs="Georgia" w:eastAsia="Georgia" w:hAnsi="Georgia"/>
                <w:b w:val="false"/>
                <w:bCs w:val="false"/>
                <w:color w:val="111111"/>
                <w:sz w:val="21"/>
                <w:szCs w:val="21"/>
              </w:rPr>
              <w:t xml:space="preserve">10⁻⁴ Hz</w:t>
            </w:r>
          </w:p>
        </w:tc>
      </w:tr>
      <w:tr>
        <w:trPr>
          <w:trHeight w:val="480" w:hRule="atLeast"/>
        </w:trPr>
        <w:tc>
          <w:tcPr>
            <w:tcW w:type="dxa" w:w="3744"/>
            <w:tcBorders>
              <w:top w:val="single" w:color="1A3558" w:sz="6"/>
              <w:left w:val="single" w:color="1A3558" w:sz="6"/>
              <w:bottom w:val="single" w:color="1A3558" w:sz="6"/>
              <w:right w:val="single" w:color="1A3558" w:sz="6"/>
            </w:tcBorders>
            <w:shd w:fill="F0F4FA" w:val="clear"/>
            <w:tcMar>
              <w:top w:type="dxa" w:w="140"/>
              <w:left w:type="dxa" w:w="180"/>
              <w:bottom w:type="dxa" w:w="140"/>
              <w:right w:type="dxa" w:w="180"/>
            </w:tcMar>
            <w:vAlign w:val="center"/>
          </w:tcPr>
          <w:p>
            <w:pPr>
              <w:spacing w:line="260"/>
              <w:jc w:val="left"/>
            </w:pPr>
            <w:r>
              <w:rPr>
                <w:rFonts w:ascii="Georgia" w:cs="Georgia" w:eastAsia="Georgia" w:hAnsi="Georgia"/>
                <w:b w:val="false"/>
                <w:bCs w:val="false"/>
                <w:color w:val="111111"/>
                <w:sz w:val="21"/>
                <w:szCs w:val="21"/>
              </w:rPr>
              <w:t xml:space="preserve">δΓ (prédiction HDTQ)</w:t>
            </w:r>
          </w:p>
        </w:tc>
        <w:tc>
          <w:tcPr>
            <w:tcW w:type="dxa" w:w="5616"/>
            <w:tcBorders>
              <w:top w:val="single" w:color="1A3558" w:sz="6"/>
              <w:left w:val="single" w:color="1A3558" w:sz="6"/>
              <w:bottom w:val="single" w:color="1A3558" w:sz="6"/>
              <w:right w:val="single" w:color="1A3558" w:sz="6"/>
            </w:tcBorders>
            <w:shd w:fill="FFFFFF" w:val="clear"/>
            <w:tcMar>
              <w:top w:type="dxa" w:w="140"/>
              <w:left w:type="dxa" w:w="180"/>
              <w:bottom w:type="dxa" w:w="140"/>
              <w:right w:type="dxa" w:w="180"/>
            </w:tcMar>
            <w:vAlign w:val="center"/>
          </w:tcPr>
          <w:p>
            <w:pPr>
              <w:spacing w:line="260"/>
              <w:jc w:val="left"/>
            </w:pPr>
            <w:r>
              <w:rPr>
                <w:rFonts w:ascii="Georgia" w:cs="Georgia" w:eastAsia="Georgia" w:hAnsi="Georgia"/>
                <w:b w:val="false"/>
                <w:bCs w:val="false"/>
                <w:color w:val="111111"/>
                <w:sz w:val="21"/>
                <w:szCs w:val="21"/>
              </w:rPr>
              <w:t xml:space="preserve">10⁻¹⁶ Hz</w:t>
            </w:r>
          </w:p>
        </w:tc>
      </w:tr>
      <w:tr>
        <w:trPr>
          <w:trHeight w:val="480" w:hRule="atLeast"/>
        </w:trPr>
        <w:tc>
          <w:tcPr>
            <w:tcW w:type="dxa" w:w="3744"/>
            <w:tcBorders>
              <w:top w:val="single" w:color="1A3558" w:sz="6"/>
              <w:left w:val="single" w:color="1A3558" w:sz="6"/>
              <w:bottom w:val="single" w:color="1A3558" w:sz="6"/>
              <w:right w:val="single" w:color="1A3558" w:sz="6"/>
            </w:tcBorders>
            <w:shd w:fill="F0F4FA" w:val="clear"/>
            <w:tcMar>
              <w:top w:type="dxa" w:w="140"/>
              <w:left w:type="dxa" w:w="180"/>
              <w:bottom w:type="dxa" w:w="140"/>
              <w:right w:type="dxa" w:w="180"/>
            </w:tcMar>
            <w:vAlign w:val="center"/>
          </w:tcPr>
          <w:p>
            <w:pPr>
              <w:spacing w:line="260"/>
              <w:jc w:val="left"/>
            </w:pPr>
            <w:r>
              <w:rPr>
                <w:rFonts w:ascii="Georgia" w:cs="Georgia" w:eastAsia="Georgia" w:hAnsi="Georgia"/>
                <w:b w:val="false"/>
                <w:bCs w:val="false"/>
                <w:color w:val="111111"/>
                <w:sz w:val="21"/>
                <w:szCs w:val="21"/>
              </w:rPr>
              <w:t xml:space="preserve">δΓ / Γ_{QED}</w:t>
            </w:r>
          </w:p>
        </w:tc>
        <w:tc>
          <w:tcPr>
            <w:tcW w:type="dxa" w:w="5616"/>
            <w:tcBorders>
              <w:top w:val="single" w:color="1A3558" w:sz="6"/>
              <w:left w:val="single" w:color="1A3558" w:sz="6"/>
              <w:bottom w:val="single" w:color="1A3558" w:sz="6"/>
              <w:right w:val="single" w:color="1A3558" w:sz="6"/>
            </w:tcBorders>
            <w:shd w:fill="FFFFFF" w:val="clear"/>
            <w:tcMar>
              <w:top w:type="dxa" w:w="140"/>
              <w:left w:type="dxa" w:w="180"/>
              <w:bottom w:type="dxa" w:w="140"/>
              <w:right w:type="dxa" w:w="180"/>
            </w:tcMar>
            <w:vAlign w:val="center"/>
          </w:tcPr>
          <w:p>
            <w:pPr>
              <w:spacing w:line="260"/>
              <w:jc w:val="left"/>
            </w:pPr>
            <w:r>
              <w:rPr>
                <w:rFonts w:ascii="Georgia" w:cs="Georgia" w:eastAsia="Georgia" w:hAnsi="Georgia"/>
                <w:b w:val="false"/>
                <w:bCs w:val="false"/>
                <w:color w:val="111111"/>
                <w:sz w:val="21"/>
                <w:szCs w:val="21"/>
              </w:rPr>
              <w:t xml:space="preserve">10⁻¹²</w:t>
            </w:r>
          </w:p>
        </w:tc>
      </w:tr>
      <w:tr>
        <w:trPr>
          <w:trHeight w:val="480" w:hRule="atLeast"/>
        </w:trPr>
        <w:tc>
          <w:tcPr>
            <w:tcW w:type="dxa" w:w="3744"/>
            <w:tcBorders>
              <w:top w:val="single" w:color="1A3558" w:sz="6"/>
              <w:left w:val="single" w:color="1A3558" w:sz="6"/>
              <w:bottom w:val="single" w:color="1A3558" w:sz="6"/>
              <w:right w:val="single" w:color="1A3558" w:sz="6"/>
            </w:tcBorders>
            <w:shd w:fill="F0F4FA" w:val="clear"/>
            <w:tcMar>
              <w:top w:type="dxa" w:w="140"/>
              <w:left w:type="dxa" w:w="180"/>
              <w:bottom w:type="dxa" w:w="140"/>
              <w:right w:type="dxa" w:w="180"/>
            </w:tcMar>
            <w:vAlign w:val="center"/>
          </w:tcPr>
          <w:p>
            <w:pPr>
              <w:spacing w:line="260"/>
              <w:jc w:val="left"/>
            </w:pPr>
            <w:r>
              <w:rPr>
                <w:rFonts w:ascii="Georgia" w:cs="Georgia" w:eastAsia="Georgia" w:hAnsi="Georgia"/>
                <w:b w:val="false"/>
                <w:bCs w:val="false"/>
                <w:color w:val="111111"/>
                <w:sz w:val="21"/>
                <w:szCs w:val="21"/>
              </w:rPr>
              <w:t xml:space="preserve">Sensibilité requise</w:t>
            </w:r>
          </w:p>
        </w:tc>
        <w:tc>
          <w:tcPr>
            <w:tcW w:type="dxa" w:w="5616"/>
            <w:tcBorders>
              <w:top w:val="single" w:color="1A3558" w:sz="6"/>
              <w:left w:val="single" w:color="1A3558" w:sz="6"/>
              <w:bottom w:val="single" w:color="1A3558" w:sz="6"/>
              <w:right w:val="single" w:color="1A3558" w:sz="6"/>
            </w:tcBorders>
            <w:shd w:fill="FFFFFF" w:val="clear"/>
            <w:tcMar>
              <w:top w:type="dxa" w:w="140"/>
              <w:left w:type="dxa" w:w="180"/>
              <w:bottom w:type="dxa" w:w="140"/>
              <w:right w:type="dxa" w:w="180"/>
            </w:tcMar>
            <w:vAlign w:val="center"/>
          </w:tcPr>
          <w:p>
            <w:pPr>
              <w:spacing w:line="260"/>
              <w:jc w:val="left"/>
            </w:pPr>
            <w:r>
              <w:rPr>
                <w:rFonts w:ascii="Georgia" w:cs="Georgia" w:eastAsia="Georgia" w:hAnsi="Georgia"/>
                <w:b w:val="false"/>
                <w:bCs w:val="false"/>
                <w:color w:val="111111"/>
                <w:sz w:val="21"/>
                <w:szCs w:val="21"/>
              </w:rPr>
              <w:t xml:space="preserve">Δν/ν &lt; 10⁻¹⁸ (fontaine atomique)</w:t>
            </w:r>
          </w:p>
        </w:tc>
      </w:tr>
      <w:tr>
        <w:trPr>
          <w:trHeight w:val="480" w:hRule="atLeast"/>
        </w:trPr>
        <w:tc>
          <w:tcPr>
            <w:tcW w:type="dxa" w:w="3744"/>
            <w:tcBorders>
              <w:top w:val="single" w:color="1A3558" w:sz="6"/>
              <w:left w:val="single" w:color="1A3558" w:sz="6"/>
              <w:bottom w:val="single" w:color="1A3558" w:sz="6"/>
              <w:right w:val="single" w:color="1A3558" w:sz="6"/>
            </w:tcBorders>
            <w:shd w:fill="F0F4FA" w:val="clear"/>
            <w:tcMar>
              <w:top w:type="dxa" w:w="140"/>
              <w:left w:type="dxa" w:w="180"/>
              <w:bottom w:type="dxa" w:w="140"/>
              <w:right w:type="dxa" w:w="180"/>
            </w:tcMar>
            <w:vAlign w:val="center"/>
          </w:tcPr>
          <w:p>
            <w:pPr>
              <w:spacing w:line="260"/>
              <w:jc w:val="left"/>
            </w:pPr>
            <w:r>
              <w:rPr>
                <w:rFonts w:ascii="Georgia" w:cs="Georgia" w:eastAsia="Georgia" w:hAnsi="Georgia"/>
                <w:b w:val="false"/>
                <w:bCs w:val="false"/>
                <w:color w:val="111111"/>
                <w:sz w:val="21"/>
                <w:szCs w:val="21"/>
              </w:rPr>
              <w:t xml:space="preserve">Temps d’intégration</w:t>
            </w:r>
          </w:p>
        </w:tc>
        <w:tc>
          <w:tcPr>
            <w:tcW w:type="dxa" w:w="5616"/>
            <w:tcBorders>
              <w:top w:val="single" w:color="1A3558" w:sz="6"/>
              <w:left w:val="single" w:color="1A3558" w:sz="6"/>
              <w:bottom w:val="single" w:color="1A3558" w:sz="6"/>
              <w:right w:val="single" w:color="1A3558" w:sz="6"/>
            </w:tcBorders>
            <w:shd w:fill="FFFFFF" w:val="clear"/>
            <w:tcMar>
              <w:top w:type="dxa" w:w="140"/>
              <w:left w:type="dxa" w:w="180"/>
              <w:bottom w:type="dxa" w:w="140"/>
              <w:right w:type="dxa" w:w="180"/>
            </w:tcMar>
            <w:vAlign w:val="center"/>
          </w:tcPr>
          <w:p>
            <w:pPr>
              <w:spacing w:line="260"/>
              <w:jc w:val="left"/>
            </w:pPr>
            <w:r>
              <w:rPr>
                <w:rFonts w:ascii="Georgia" w:cs="Georgia" w:eastAsia="Georgia" w:hAnsi="Georgia"/>
                <w:b w:val="false"/>
                <w:bCs w:val="false"/>
                <w:color w:val="111111"/>
                <w:sz w:val="21"/>
                <w:szCs w:val="21"/>
              </w:rPr>
              <w:t xml:space="preserve">1–3 jours (ion unique, piège de Paul)</w:t>
            </w:r>
          </w:p>
        </w:tc>
      </w:tr>
      <w:tr>
        <w:trPr>
          <w:trHeight w:val="480" w:hRule="atLeast"/>
        </w:trPr>
        <w:tc>
          <w:tcPr>
            <w:tcW w:type="dxa" w:w="3744"/>
            <w:tcBorders>
              <w:top w:val="single" w:color="1A3558" w:sz="6"/>
              <w:left w:val="single" w:color="1A3558" w:sz="6"/>
              <w:bottom w:val="single" w:color="1A3558" w:sz="6"/>
              <w:right w:val="single" w:color="1A3558" w:sz="6"/>
            </w:tcBorders>
            <w:shd w:fill="F0F4FA" w:val="clear"/>
            <w:tcMar>
              <w:top w:type="dxa" w:w="140"/>
              <w:left w:type="dxa" w:w="180"/>
              <w:bottom w:type="dxa" w:w="140"/>
              <w:right w:type="dxa" w:w="180"/>
            </w:tcMar>
            <w:vAlign w:val="center"/>
          </w:tcPr>
          <w:p>
            <w:pPr>
              <w:spacing w:line="260"/>
              <w:jc w:val="left"/>
            </w:pPr>
            <w:r>
              <w:rPr>
                <w:rFonts w:ascii="Georgia" w:cs="Georgia" w:eastAsia="Georgia" w:hAnsi="Georgia"/>
                <w:b w:val="false"/>
                <w:bCs w:val="false"/>
                <w:color w:val="111111"/>
                <w:sz w:val="21"/>
                <w:szCs w:val="21"/>
              </w:rPr>
              <w:t xml:space="preserve">Contrainte sur τ₀</w:t>
            </w:r>
          </w:p>
        </w:tc>
        <w:tc>
          <w:tcPr>
            <w:tcW w:type="dxa" w:w="5616"/>
            <w:tcBorders>
              <w:top w:val="single" w:color="1A3558" w:sz="6"/>
              <w:left w:val="single" w:color="1A3558" w:sz="6"/>
              <w:bottom w:val="single" w:color="1A3558" w:sz="6"/>
              <w:right w:val="single" w:color="1A3558" w:sz="6"/>
            </w:tcBorders>
            <w:shd w:fill="FFFFFF" w:val="clear"/>
            <w:tcMar>
              <w:top w:type="dxa" w:w="140"/>
              <w:left w:type="dxa" w:w="180"/>
              <w:bottom w:type="dxa" w:w="140"/>
              <w:right w:type="dxa" w:w="180"/>
            </w:tcMar>
            <w:vAlign w:val="center"/>
          </w:tcPr>
          <w:p>
            <w:pPr>
              <w:spacing w:line="260"/>
              <w:jc w:val="left"/>
            </w:pPr>
            <w:r>
              <w:rPr>
                <w:rFonts w:ascii="Georgia" w:cs="Georgia" w:eastAsia="Georgia" w:hAnsi="Georgia"/>
                <w:b w:val="false"/>
                <w:bCs w:val="false"/>
                <w:color w:val="111111"/>
                <w:sz w:val="21"/>
                <w:szCs w:val="21"/>
              </w:rPr>
              <w:t xml:space="preserve">τ₀ &lt; 3×10⁻²⁴ s (si δΓ non observé)</w:t>
            </w:r>
          </w:p>
        </w:tc>
      </w:tr>
    </w:tbl>
    <w:p>
      <w:pPr>
        <w:spacing w:after="100"/>
      </w:pPr>
      <w:r>
        <w:rPr>
          <w:rFonts w:ascii="Georgia" w:cs="Georgia" w:eastAsia="Georgia" w:hAnsi="Georgia"/>
          <w:sz w:val="22"/>
          <w:szCs w:val="22"/>
        </w:rPr>
        <w:t xml:space="preserve"/>
      </w:r>
    </w:p>
    <w:p>
      <w:pPr>
        <w:spacing w:after="160" w:before="0" w:line="280"/>
        <w:jc w:val="both"/>
      </w:pPr>
      <w:r>
        <w:rPr>
          <w:rFonts w:ascii="Georgia" w:cs="Georgia" w:eastAsia="Georgia" w:hAnsi="Georgia"/>
          <w:b/>
          <w:bCs/>
          <w:sz w:val="22"/>
          <w:szCs w:val="22"/>
        </w:rPr>
        <w:t xml:space="preserve">Protocole détaillé :</w:t>
      </w:r>
    </w:p>
    <w:p>
      <w:pPr>
        <w:pStyle w:val="ListParagraph"/>
        <w:numPr>
          <w:ilvl w:val="0"/>
          <w:numId w:val="2"/>
        </w:numPr>
        <w:spacing w:after="100"/>
      </w:pPr>
      <w:r>
        <w:rPr>
          <w:rFonts w:ascii="Georgia" w:cs="Georgia" w:eastAsia="Georgia" w:hAnsi="Georgia"/>
          <w:sz w:val="22"/>
          <w:szCs w:val="22"/>
        </w:rPr>
        <w:t xml:space="preserve">Ion unique ¹⁷¹Yb⁺ piégé dans un piège de Paul linéaire, refroidi à η &lt; 0,1 (régime Lamb-Dicke, suppression du recul).</w:t>
      </w:r>
    </w:p>
    <w:p>
      <w:pPr>
        <w:pStyle w:val="ListParagraph"/>
        <w:numPr>
          <w:ilvl w:val="0"/>
          <w:numId w:val="2"/>
        </w:numPr>
        <w:spacing w:after="100"/>
      </w:pPr>
      <w:r>
        <w:rPr>
          <w:rFonts w:ascii="Georgia" w:cs="Georgia" w:eastAsia="Georgia" w:hAnsi="Georgia"/>
          <w:sz w:val="22"/>
          <w:szCs w:val="22"/>
        </w:rPr>
        <w:t xml:space="preserve">Laser sonde à 436 nm, largeur &lt; 1 Hz, stabilisé sur cavité Fabry-Perot ultra-stable (finesse &gt; 10⁵).</w:t>
      </w:r>
    </w:p>
    <w:p>
      <w:pPr>
        <w:pStyle w:val="ListParagraph"/>
        <w:numPr>
          <w:ilvl w:val="0"/>
          <w:numId w:val="2"/>
        </w:numPr>
        <w:spacing w:after="100"/>
      </w:pPr>
      <w:r>
        <w:rPr>
          <w:rFonts w:ascii="Georgia" w:cs="Georgia" w:eastAsia="Georgia" w:hAnsi="Georgia"/>
          <w:sz w:val="22"/>
          <w:szCs w:val="22"/>
        </w:rPr>
        <w:t xml:space="preserve">Détection par fluorescence à 370 nm (S₁/₂ → P₁/₂), efficacité &gt; 98 %.</w:t>
      </w:r>
    </w:p>
    <w:p>
      <w:pPr>
        <w:pStyle w:val="ListParagraph"/>
        <w:numPr>
          <w:ilvl w:val="0"/>
          <w:numId w:val="2"/>
        </w:numPr>
        <w:spacing w:after="100"/>
      </w:pPr>
      <w:r>
        <w:rPr>
          <w:rFonts w:ascii="Georgia" w:cs="Georgia" w:eastAsia="Georgia" w:hAnsi="Georgia"/>
          <w:sz w:val="22"/>
          <w:szCs w:val="22"/>
        </w:rPr>
        <w:t xml:space="preserve">Ajustement de forme de raie Lorentzienne : Γ_{obs} = Γ_{QED} + δΓ. Résultat attendu : δΓ ∼ 10⁻¹⁶ Hz, ou borne supérieure sur τ₀.</w:t>
      </w:r>
    </w:p>
    <w:p>
      <w:pPr>
        <w:spacing w:after="100"/>
      </w:pPr>
      <w:r>
        <w:rPr>
          <w:rFonts w:ascii="Georgia" w:cs="Georgia" w:eastAsia="Georgia" w:hAnsi="Georgia"/>
          <w:sz w:val="22"/>
          <w:szCs w:val="22"/>
        </w:rPr>
        <w:t xml:space="preserve"/>
      </w:r>
    </w:p>
    <w:p>
      <w:pPr>
        <w:pStyle w:val="Heading2"/>
        <w:spacing w:after="100" w:before="280"/>
      </w:pPr>
      <w:r>
        <w:rPr>
          <w:rFonts w:ascii="Arial" w:cs="Arial" w:eastAsia="Arial" w:hAnsi="Arial"/>
          <w:b/>
          <w:bCs/>
          <w:color w:val="2C4770"/>
          <w:sz w:val="24"/>
          <w:szCs w:val="24"/>
        </w:rPr>
        <w:t xml:space="preserve">5.2  Protocole II : Comportement en N² par Interférométrie Moléculaire</w:t>
      </w:r>
    </w:p>
    <w:p>
      <w:pPr>
        <w:spacing w:after="160" w:before="0" w:line="280"/>
        <w:jc w:val="both"/>
      </w:pPr>
      <w:r>
        <w:rPr>
          <w:rFonts w:ascii="Georgia" w:cs="Georgia" w:eastAsia="Georgia" w:hAnsi="Georgia"/>
          <w:sz w:val="22"/>
          <w:szCs w:val="22"/>
        </w:rPr>
        <w:t xml:space="preserve">Extension de l’interférométrie moléculaire (record actuel : 25 000 uma, Fein et al. 2019) à des masses M ∈ [10⁶, 10⁹] uma. On mesure τ_{coh}(N) en conditions cryogéniques (T &lt; 10 K) et ultra-vide (P &lt; 10⁻¹⁰ mbar).</w:t>
      </w:r>
    </w:p>
    <w:p>
      <w:pPr>
        <w:spacing w:after="160" w:before="0" w:line="280"/>
        <w:jc w:val="both"/>
      </w:pPr>
      <w:r>
        <w:rPr>
          <w:rFonts w:ascii="Georgia" w:cs="Georgia" w:eastAsia="Georgia" w:hAnsi="Georgia"/>
          <w:sz w:val="22"/>
          <w:szCs w:val="22"/>
        </w:rPr>
        <w:t xml:space="preserve">Signature : une transition du comportement en N⁻¹ vers N⁻² au-delà de N_{crit} (ou une borne τ₀ &lt; 10⁻²⁴ s si N⁻¹ est maintenu). Voir Figure 2 supra pour l’illustration de la signature attendue.</w:t>
      </w:r>
    </w:p>
    <w:p>
      <w:pPr>
        <w:spacing w:after="100"/>
      </w:pPr>
      <w:r>
        <w:rPr>
          <w:rFonts w:ascii="Georgia" w:cs="Georgia" w:eastAsia="Georgia" w:hAnsi="Georgia"/>
          <w:sz w:val="22"/>
          <w:szCs w:val="22"/>
        </w:rPr>
        <w:t xml:space="preserve"/>
      </w:r>
    </w:p>
    <w:p>
      <w:pPr>
        <w:pStyle w:val="Heading2"/>
        <w:spacing w:after="100" w:before="280"/>
      </w:pPr>
      <w:r>
        <w:rPr>
          <w:rFonts w:ascii="Arial" w:cs="Arial" w:eastAsia="Arial" w:hAnsi="Arial"/>
          <w:b/>
          <w:bCs/>
          <w:color w:val="2C4770"/>
          <w:sz w:val="24"/>
          <w:szCs w:val="24"/>
        </w:rPr>
        <w:t xml:space="preserve">5.3  Protocole III : Résonances Stroboscopiques aux Collisionneurs</w:t>
      </w:r>
    </w:p>
    <w:p>
      <w:pPr>
        <w:spacing w:after="160" w:before="0" w:line="280"/>
        <w:jc w:val="both"/>
      </w:pPr>
      <w:r>
        <w:rPr>
          <w:rFonts w:ascii="Georgia" w:cs="Georgia" w:eastAsia="Georgia" w:hAnsi="Georgia"/>
          <w:sz w:val="22"/>
          <w:szCs w:val="22"/>
        </w:rPr>
        <w:t xml:space="preserve">L’extension de HDTQ à la QFT (§6.1) prédit des pics étroits à :</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8208"/>
        <w:gridCol w:w="1152"/>
      </w:tblGrid>
      <w:tr>
        <w:tc>
          <w:tcPr>
            <w:tcW w:type="dxa" w:w="8208"/>
            <w:tcBorders>
              <w:top w:val="none" w:color="FFFFFF" w:sz="0"/>
              <w:left w:val="none" w:color="FFFFFF" w:sz="0"/>
              <w:bottom w:val="none" w:color="FFFFFF" w:sz="0"/>
              <w:right w:val="none" w:color="FFFFFF" w:sz="0"/>
            </w:tcBorders>
            <w:tcMar>
              <w:top w:type="dxa" w:w="100"/>
              <w:left w:type="dxa" w:w="400"/>
              <w:bottom w:type="dxa" w:w="100"/>
              <w:right w:type="dxa" w:w="100"/>
            </w:tcMar>
          </w:tcPr>
          <w:p>
            <w:pPr>
              <w:jc w:val="center"/>
            </w:pPr>
            <w:r>
              <w:rPr>
                <w:rFonts w:ascii="Cambria Math" w:cs="Cambria Math" w:eastAsia="Cambria Math" w:hAnsi="Cambria Math"/>
                <w:i/>
                <w:iCs/>
                <w:sz w:val="24"/>
                <w:szCs w:val="24"/>
              </w:rPr>
              <w:t xml:space="preserve">E_n = n × 2πℏ/τ_0 ≈ n × 4,1 GeV,   Γ_{pic} ≈ 0,4 keV</w:t>
            </w:r>
          </w:p>
        </w:tc>
        <w:tc>
          <w:tcPr>
            <w:tcW w:type="dxa" w:w="1152"/>
            <w:tcBorders>
              <w:top w:val="none" w:color="FFFFFF" w:sz="0"/>
              <w:left w:val="none" w:color="FFFFFF" w:sz="0"/>
              <w:bottom w:val="none" w:color="FFFFFF" w:sz="0"/>
              <w:right w:val="none" w:color="FFFFFF" w:sz="0"/>
            </w:tcBorders>
            <w:tcMar>
              <w:top w:type="dxa" w:w="100"/>
              <w:left w:type="dxa" w:w="40"/>
              <w:bottom w:type="dxa" w:w="100"/>
              <w:right w:type="dxa" w:w="80"/>
            </w:tcMar>
          </w:tcPr>
          <w:p>
            <w:pPr>
              <w:jc w:val="right"/>
            </w:pPr>
            <w:r>
              <w:rPr>
                <w:rFonts w:ascii="Georgia" w:cs="Georgia" w:eastAsia="Georgia" w:hAnsi="Georgia"/>
                <w:color w:val="777777"/>
                <w:sz w:val="20"/>
                <w:szCs w:val="20"/>
              </w:rPr>
              <w:t xml:space="preserve">(20)</w:t>
            </w:r>
          </w:p>
        </w:tc>
      </w:tr>
    </w:tbl>
    <w:p>
      <w:pPr>
        <w:spacing w:after="160" w:before="0" w:line="280"/>
        <w:jc w:val="both"/>
      </w:pPr>
      <w:r>
        <w:rPr>
          <w:rFonts w:ascii="Georgia" w:cs="Georgia" w:eastAsia="Georgia" w:hAnsi="Georgia"/>
          <w:sz w:val="22"/>
          <w:szCs w:val="22"/>
        </w:rPr>
        <w:t xml:space="preserve">Recherche dans les données ATLAS/CMS/Belle II : transformée de Fourier du spectre de masse effective sur 4–20 GeV, recherche d’une structure périodique.</w:t>
      </w:r>
    </w:p>
    <w:p>
      <w:pPr>
        <w:spacing w:after="100"/>
      </w:pPr>
      <w:r>
        <w:rPr>
          <w:rFonts w:ascii="Georgia" w:cs="Georgia" w:eastAsia="Georgia" w:hAnsi="Georgia"/>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80"/>
        <w:gridCol w:w="2160"/>
        <w:gridCol w:w="2448"/>
        <w:gridCol w:w="1872"/>
      </w:tblGrid>
      <w:tr>
        <w:trPr>
          <w:trHeight w:val="600" w:hRule="atLeast"/>
        </w:trPr>
        <w:tc>
          <w:tcPr>
            <w:tcW w:type="dxa" w:w="2880"/>
            <w:tcBorders>
              <w:top w:val="single" w:color="1A3558" w:sz="6"/>
              <w:left w:val="single" w:color="1A3558" w:sz="6"/>
              <w:bottom w:val="single" w:color="1A3558" w:sz="6"/>
              <w:right w:val="single" w:color="1A3558" w:sz="6"/>
            </w:tcBorders>
            <w:shd w:fill="1A3558" w:val="clear"/>
            <w:tcMar>
              <w:top w:type="dxa" w:w="140"/>
              <w:left w:type="dxa" w:w="180"/>
              <w:bottom w:type="dxa" w:w="140"/>
              <w:right w:type="dxa" w:w="180"/>
            </w:tcMar>
            <w:vAlign w:val="center"/>
          </w:tcPr>
          <w:p>
            <w:pPr>
              <w:spacing w:line="260"/>
              <w:jc w:val="left"/>
            </w:pPr>
            <w:r>
              <w:rPr>
                <w:rFonts w:ascii="Georgia" w:cs="Georgia" w:eastAsia="Georgia" w:hAnsi="Georgia"/>
                <w:b/>
                <w:bCs/>
                <w:color w:val="FFFFFF"/>
                <w:sz w:val="21"/>
                <w:szCs w:val="21"/>
              </w:rPr>
              <w:t xml:space="preserve">Protocole</w:t>
            </w:r>
          </w:p>
        </w:tc>
        <w:tc>
          <w:tcPr>
            <w:tcW w:type="dxa" w:w="2160"/>
            <w:tcBorders>
              <w:top w:val="single" w:color="1A3558" w:sz="6"/>
              <w:left w:val="single" w:color="1A3558" w:sz="6"/>
              <w:bottom w:val="single" w:color="1A3558" w:sz="6"/>
              <w:right w:val="single" w:color="1A3558" w:sz="6"/>
            </w:tcBorders>
            <w:shd w:fill="1A3558" w:val="clear"/>
            <w:tcMar>
              <w:top w:type="dxa" w:w="140"/>
              <w:left w:type="dxa" w:w="180"/>
              <w:bottom w:type="dxa" w:w="140"/>
              <w:right w:type="dxa" w:w="180"/>
            </w:tcMar>
            <w:vAlign w:val="center"/>
          </w:tcPr>
          <w:p>
            <w:pPr>
              <w:spacing w:line="260"/>
              <w:jc w:val="left"/>
            </w:pPr>
            <w:r>
              <w:rPr>
                <w:rFonts w:ascii="Georgia" w:cs="Georgia" w:eastAsia="Georgia" w:hAnsi="Georgia"/>
                <w:b/>
                <w:bCs/>
                <w:color w:val="FFFFFF"/>
                <w:sz w:val="21"/>
                <w:szCs w:val="21"/>
              </w:rPr>
              <w:t xml:space="preserve">Système</w:t>
            </w:r>
          </w:p>
        </w:tc>
        <w:tc>
          <w:tcPr>
            <w:tcW w:type="dxa" w:w="2448"/>
            <w:tcBorders>
              <w:top w:val="single" w:color="1A3558" w:sz="6"/>
              <w:left w:val="single" w:color="1A3558" w:sz="6"/>
              <w:bottom w:val="single" w:color="1A3558" w:sz="6"/>
              <w:right w:val="single" w:color="1A3558" w:sz="6"/>
            </w:tcBorders>
            <w:shd w:fill="1A3558" w:val="clear"/>
            <w:tcMar>
              <w:top w:type="dxa" w:w="140"/>
              <w:left w:type="dxa" w:w="180"/>
              <w:bottom w:type="dxa" w:w="140"/>
              <w:right w:type="dxa" w:w="180"/>
            </w:tcMar>
            <w:vAlign w:val="center"/>
          </w:tcPr>
          <w:p>
            <w:pPr>
              <w:spacing w:line="260"/>
              <w:jc w:val="left"/>
            </w:pPr>
            <w:r>
              <w:rPr>
                <w:rFonts w:ascii="Georgia" w:cs="Georgia" w:eastAsia="Georgia" w:hAnsi="Georgia"/>
                <w:b/>
                <w:bCs/>
                <w:color w:val="FFFFFF"/>
                <w:sz w:val="21"/>
                <w:szCs w:val="21"/>
              </w:rPr>
              <w:t xml:space="preserve">Signature</w:t>
            </w:r>
          </w:p>
        </w:tc>
        <w:tc>
          <w:tcPr>
            <w:tcW w:type="dxa" w:w="1872"/>
            <w:tcBorders>
              <w:top w:val="single" w:color="1A3558" w:sz="6"/>
              <w:left w:val="single" w:color="1A3558" w:sz="6"/>
              <w:bottom w:val="single" w:color="1A3558" w:sz="6"/>
              <w:right w:val="single" w:color="1A3558" w:sz="6"/>
            </w:tcBorders>
            <w:shd w:fill="1A3558" w:val="clear"/>
            <w:tcMar>
              <w:top w:type="dxa" w:w="140"/>
              <w:left w:type="dxa" w:w="180"/>
              <w:bottom w:type="dxa" w:w="140"/>
              <w:right w:type="dxa" w:w="180"/>
            </w:tcMar>
            <w:vAlign w:val="center"/>
          </w:tcPr>
          <w:p>
            <w:pPr>
              <w:spacing w:line="260"/>
              <w:jc w:val="left"/>
            </w:pPr>
            <w:r>
              <w:rPr>
                <w:rFonts w:ascii="Georgia" w:cs="Georgia" w:eastAsia="Georgia" w:hAnsi="Georgia"/>
                <w:b/>
                <w:bCs/>
                <w:color w:val="FFFFFF"/>
                <w:sz w:val="21"/>
                <w:szCs w:val="21"/>
              </w:rPr>
              <w:t xml:space="preserve">Sensibilité sur τ₀</w:t>
            </w:r>
          </w:p>
        </w:tc>
      </w:tr>
      <w:tr>
        <w:trPr>
          <w:trHeight w:val="480" w:hRule="atLeast"/>
        </w:trPr>
        <w:tc>
          <w:tcPr>
            <w:tcW w:type="dxa" w:w="2880"/>
            <w:tcBorders>
              <w:top w:val="single" w:color="1A3558" w:sz="6"/>
              <w:left w:val="single" w:color="1A3558" w:sz="6"/>
              <w:bottom w:val="single" w:color="1A3558" w:sz="6"/>
              <w:right w:val="single" w:color="1A3558" w:sz="6"/>
            </w:tcBorders>
            <w:shd w:fill="F0F4FA" w:val="clear"/>
            <w:tcMar>
              <w:top w:type="dxa" w:w="140"/>
              <w:left w:type="dxa" w:w="180"/>
              <w:bottom w:type="dxa" w:w="140"/>
              <w:right w:type="dxa" w:w="180"/>
            </w:tcMar>
            <w:vAlign w:val="center"/>
          </w:tcPr>
          <w:p>
            <w:pPr>
              <w:spacing w:line="260"/>
              <w:jc w:val="left"/>
            </w:pPr>
            <w:r>
              <w:rPr>
                <w:rFonts w:ascii="Georgia" w:cs="Georgia" w:eastAsia="Georgia" w:hAnsi="Georgia"/>
                <w:b w:val="false"/>
                <w:bCs w:val="false"/>
                <w:color w:val="111111"/>
                <w:sz w:val="21"/>
                <w:szCs w:val="21"/>
              </w:rPr>
              <w:t xml:space="preserve">I. Spectroscopie E2</w:t>
            </w:r>
          </w:p>
        </w:tc>
        <w:tc>
          <w:tcPr>
            <w:tcW w:type="dxa" w:w="2160"/>
            <w:tcBorders>
              <w:top w:val="single" w:color="1A3558" w:sz="6"/>
              <w:left w:val="single" w:color="1A3558" w:sz="6"/>
              <w:bottom w:val="single" w:color="1A3558" w:sz="6"/>
              <w:right w:val="single" w:color="1A3558" w:sz="6"/>
            </w:tcBorders>
            <w:shd w:fill="FFFFFF" w:val="clear"/>
            <w:tcMar>
              <w:top w:type="dxa" w:w="140"/>
              <w:left w:type="dxa" w:w="180"/>
              <w:bottom w:type="dxa" w:w="140"/>
              <w:right w:type="dxa" w:w="180"/>
            </w:tcMar>
            <w:vAlign w:val="center"/>
          </w:tcPr>
          <w:p>
            <w:pPr>
              <w:spacing w:line="260"/>
              <w:jc w:val="left"/>
            </w:pPr>
            <w:r>
              <w:rPr>
                <w:rFonts w:ascii="Georgia" w:cs="Georgia" w:eastAsia="Georgia" w:hAnsi="Georgia"/>
                <w:b w:val="false"/>
                <w:bCs w:val="false"/>
                <w:color w:val="111111"/>
                <w:sz w:val="21"/>
                <w:szCs w:val="21"/>
              </w:rPr>
              <w:t xml:space="preserve">¹⁷¹Yb⁺</w:t>
            </w:r>
          </w:p>
        </w:tc>
        <w:tc>
          <w:tcPr>
            <w:tcW w:type="dxa" w:w="2448"/>
            <w:tcBorders>
              <w:top w:val="single" w:color="1A3558" w:sz="6"/>
              <w:left w:val="single" w:color="1A3558" w:sz="6"/>
              <w:bottom w:val="single" w:color="1A3558" w:sz="6"/>
              <w:right w:val="single" w:color="1A3558" w:sz="6"/>
            </w:tcBorders>
            <w:shd w:fill="F0F4FA" w:val="clear"/>
            <w:tcMar>
              <w:top w:type="dxa" w:w="140"/>
              <w:left w:type="dxa" w:w="180"/>
              <w:bottom w:type="dxa" w:w="140"/>
              <w:right w:type="dxa" w:w="180"/>
            </w:tcMar>
            <w:vAlign w:val="center"/>
          </w:tcPr>
          <w:p>
            <w:pPr>
              <w:spacing w:line="260"/>
              <w:jc w:val="left"/>
            </w:pPr>
            <w:r>
              <w:rPr>
                <w:rFonts w:ascii="Georgia" w:cs="Georgia" w:eastAsia="Georgia" w:hAnsi="Georgia"/>
                <w:b w:val="false"/>
                <w:bCs w:val="false"/>
                <w:color w:val="111111"/>
                <w:sz w:val="21"/>
                <w:szCs w:val="21"/>
              </w:rPr>
              <w:t xml:space="preserve">δΓ = 10⁻¹⁶ Hz</w:t>
            </w:r>
          </w:p>
        </w:tc>
        <w:tc>
          <w:tcPr>
            <w:tcW w:type="dxa" w:w="1872"/>
            <w:tcBorders>
              <w:top w:val="single" w:color="1A3558" w:sz="6"/>
              <w:left w:val="single" w:color="1A3558" w:sz="6"/>
              <w:bottom w:val="single" w:color="1A3558" w:sz="6"/>
              <w:right w:val="single" w:color="1A3558" w:sz="6"/>
            </w:tcBorders>
            <w:shd w:fill="FFFFFF" w:val="clear"/>
            <w:tcMar>
              <w:top w:type="dxa" w:w="140"/>
              <w:left w:type="dxa" w:w="180"/>
              <w:bottom w:type="dxa" w:w="140"/>
              <w:right w:type="dxa" w:w="180"/>
            </w:tcMar>
            <w:vAlign w:val="center"/>
          </w:tcPr>
          <w:p>
            <w:pPr>
              <w:spacing w:line="260"/>
              <w:jc w:val="left"/>
            </w:pPr>
            <w:r>
              <w:rPr>
                <w:rFonts w:ascii="Georgia" w:cs="Georgia" w:eastAsia="Georgia" w:hAnsi="Georgia"/>
                <w:b w:val="false"/>
                <w:bCs w:val="false"/>
                <w:color w:val="111111"/>
                <w:sz w:val="21"/>
                <w:szCs w:val="21"/>
              </w:rPr>
              <w:t xml:space="preserve">τ₀ &lt; 3×10⁻²⁴ s</w:t>
            </w:r>
          </w:p>
        </w:tc>
      </w:tr>
      <w:tr>
        <w:trPr>
          <w:trHeight w:val="480" w:hRule="atLeast"/>
        </w:trPr>
        <w:tc>
          <w:tcPr>
            <w:tcW w:type="dxa" w:w="2880"/>
            <w:tcBorders>
              <w:top w:val="single" w:color="1A3558" w:sz="6"/>
              <w:left w:val="single" w:color="1A3558" w:sz="6"/>
              <w:bottom w:val="single" w:color="1A3558" w:sz="6"/>
              <w:right w:val="single" w:color="1A3558" w:sz="6"/>
            </w:tcBorders>
            <w:shd w:fill="F0F4FA" w:val="clear"/>
            <w:tcMar>
              <w:top w:type="dxa" w:w="140"/>
              <w:left w:type="dxa" w:w="180"/>
              <w:bottom w:type="dxa" w:w="140"/>
              <w:right w:type="dxa" w:w="180"/>
            </w:tcMar>
            <w:vAlign w:val="center"/>
          </w:tcPr>
          <w:p>
            <w:pPr>
              <w:spacing w:line="260"/>
              <w:jc w:val="left"/>
            </w:pPr>
            <w:r>
              <w:rPr>
                <w:rFonts w:ascii="Georgia" w:cs="Georgia" w:eastAsia="Georgia" w:hAnsi="Georgia"/>
                <w:b w:val="false"/>
                <w:bCs w:val="false"/>
                <w:color w:val="111111"/>
                <w:sz w:val="21"/>
                <w:szCs w:val="21"/>
              </w:rPr>
              <w:t xml:space="preserve">II. Interférométrie moléculaire</w:t>
            </w:r>
          </w:p>
        </w:tc>
        <w:tc>
          <w:tcPr>
            <w:tcW w:type="dxa" w:w="2160"/>
            <w:tcBorders>
              <w:top w:val="single" w:color="1A3558" w:sz="6"/>
              <w:left w:val="single" w:color="1A3558" w:sz="6"/>
              <w:bottom w:val="single" w:color="1A3558" w:sz="6"/>
              <w:right w:val="single" w:color="1A3558" w:sz="6"/>
            </w:tcBorders>
            <w:shd w:fill="FFFFFF" w:val="clear"/>
            <w:tcMar>
              <w:top w:type="dxa" w:w="140"/>
              <w:left w:type="dxa" w:w="180"/>
              <w:bottom w:type="dxa" w:w="140"/>
              <w:right w:type="dxa" w:w="180"/>
            </w:tcMar>
            <w:vAlign w:val="center"/>
          </w:tcPr>
          <w:p>
            <w:pPr>
              <w:spacing w:line="260"/>
              <w:jc w:val="left"/>
            </w:pPr>
            <w:r>
              <w:rPr>
                <w:rFonts w:ascii="Georgia" w:cs="Georgia" w:eastAsia="Georgia" w:hAnsi="Georgia"/>
                <w:b w:val="false"/>
                <w:bCs w:val="false"/>
                <w:color w:val="111111"/>
                <w:sz w:val="21"/>
                <w:szCs w:val="21"/>
              </w:rPr>
              <w:t xml:space="preserve">10⁶–10⁹ amu</w:t>
            </w:r>
          </w:p>
        </w:tc>
        <w:tc>
          <w:tcPr>
            <w:tcW w:type="dxa" w:w="2448"/>
            <w:tcBorders>
              <w:top w:val="single" w:color="1A3558" w:sz="6"/>
              <w:left w:val="single" w:color="1A3558" w:sz="6"/>
              <w:bottom w:val="single" w:color="1A3558" w:sz="6"/>
              <w:right w:val="single" w:color="1A3558" w:sz="6"/>
            </w:tcBorders>
            <w:shd w:fill="F0F4FA" w:val="clear"/>
            <w:tcMar>
              <w:top w:type="dxa" w:w="140"/>
              <w:left w:type="dxa" w:w="180"/>
              <w:bottom w:type="dxa" w:w="140"/>
              <w:right w:type="dxa" w:w="180"/>
            </w:tcMar>
            <w:vAlign w:val="center"/>
          </w:tcPr>
          <w:p>
            <w:pPr>
              <w:spacing w:line="260"/>
              <w:jc w:val="left"/>
            </w:pPr>
            <w:r>
              <w:rPr>
                <w:rFonts w:ascii="Georgia" w:cs="Georgia" w:eastAsia="Georgia" w:hAnsi="Georgia"/>
                <w:b w:val="false"/>
                <w:bCs w:val="false"/>
                <w:color w:val="111111"/>
                <w:sz w:val="21"/>
                <w:szCs w:val="21"/>
              </w:rPr>
              <w:t xml:space="preserve">N⁻² vs N⁻¹</w:t>
            </w:r>
          </w:p>
        </w:tc>
        <w:tc>
          <w:tcPr>
            <w:tcW w:type="dxa" w:w="1872"/>
            <w:tcBorders>
              <w:top w:val="single" w:color="1A3558" w:sz="6"/>
              <w:left w:val="single" w:color="1A3558" w:sz="6"/>
              <w:bottom w:val="single" w:color="1A3558" w:sz="6"/>
              <w:right w:val="single" w:color="1A3558" w:sz="6"/>
            </w:tcBorders>
            <w:shd w:fill="FFFFFF" w:val="clear"/>
            <w:tcMar>
              <w:top w:type="dxa" w:w="140"/>
              <w:left w:type="dxa" w:w="180"/>
              <w:bottom w:type="dxa" w:w="140"/>
              <w:right w:type="dxa" w:w="180"/>
            </w:tcMar>
            <w:vAlign w:val="center"/>
          </w:tcPr>
          <w:p>
            <w:pPr>
              <w:spacing w:line="260"/>
              <w:jc w:val="left"/>
            </w:pPr>
            <w:r>
              <w:rPr>
                <w:rFonts w:ascii="Georgia" w:cs="Georgia" w:eastAsia="Georgia" w:hAnsi="Georgia"/>
                <w:b w:val="false"/>
                <w:bCs w:val="false"/>
                <w:color w:val="111111"/>
                <w:sz w:val="21"/>
                <w:szCs w:val="21"/>
              </w:rPr>
              <w:t xml:space="preserve">τ₀ &lt; 10⁻²⁴ s</w:t>
            </w:r>
          </w:p>
        </w:tc>
      </w:tr>
      <w:tr>
        <w:trPr>
          <w:trHeight w:val="480" w:hRule="atLeast"/>
        </w:trPr>
        <w:tc>
          <w:tcPr>
            <w:tcW w:type="dxa" w:w="2880"/>
            <w:tcBorders>
              <w:top w:val="single" w:color="1A3558" w:sz="6"/>
              <w:left w:val="single" w:color="1A3558" w:sz="6"/>
              <w:bottom w:val="single" w:color="1A3558" w:sz="6"/>
              <w:right w:val="single" w:color="1A3558" w:sz="6"/>
            </w:tcBorders>
            <w:shd w:fill="F0F4FA" w:val="clear"/>
            <w:tcMar>
              <w:top w:type="dxa" w:w="140"/>
              <w:left w:type="dxa" w:w="180"/>
              <w:bottom w:type="dxa" w:w="140"/>
              <w:right w:type="dxa" w:w="180"/>
            </w:tcMar>
            <w:vAlign w:val="center"/>
          </w:tcPr>
          <w:p>
            <w:pPr>
              <w:spacing w:line="260"/>
              <w:jc w:val="left"/>
            </w:pPr>
            <w:r>
              <w:rPr>
                <w:rFonts w:ascii="Georgia" w:cs="Georgia" w:eastAsia="Georgia" w:hAnsi="Georgia"/>
                <w:b w:val="false"/>
                <w:bCs w:val="false"/>
                <w:color w:val="111111"/>
                <w:sz w:val="21"/>
                <w:szCs w:val="21"/>
              </w:rPr>
              <w:t xml:space="preserve">III. LHC / Belle II</w:t>
            </w:r>
          </w:p>
        </w:tc>
        <w:tc>
          <w:tcPr>
            <w:tcW w:type="dxa" w:w="2160"/>
            <w:tcBorders>
              <w:top w:val="single" w:color="1A3558" w:sz="6"/>
              <w:left w:val="single" w:color="1A3558" w:sz="6"/>
              <w:bottom w:val="single" w:color="1A3558" w:sz="6"/>
              <w:right w:val="single" w:color="1A3558" w:sz="6"/>
            </w:tcBorders>
            <w:shd w:fill="FFFFFF" w:val="clear"/>
            <w:tcMar>
              <w:top w:type="dxa" w:w="140"/>
              <w:left w:type="dxa" w:w="180"/>
              <w:bottom w:type="dxa" w:w="140"/>
              <w:right w:type="dxa" w:w="180"/>
            </w:tcMar>
            <w:vAlign w:val="center"/>
          </w:tcPr>
          <w:p>
            <w:pPr>
              <w:spacing w:line="260"/>
              <w:jc w:val="left"/>
            </w:pPr>
            <w:r>
              <w:rPr>
                <w:rFonts w:ascii="Georgia" w:cs="Georgia" w:eastAsia="Georgia" w:hAnsi="Georgia"/>
                <w:b w:val="false"/>
                <w:bCs w:val="false"/>
                <w:color w:val="111111"/>
                <w:sz w:val="21"/>
                <w:szCs w:val="21"/>
              </w:rPr>
              <w:t xml:space="preserve">ATLAS, CMS</w:t>
            </w:r>
          </w:p>
        </w:tc>
        <w:tc>
          <w:tcPr>
            <w:tcW w:type="dxa" w:w="2448"/>
            <w:tcBorders>
              <w:top w:val="single" w:color="1A3558" w:sz="6"/>
              <w:left w:val="single" w:color="1A3558" w:sz="6"/>
              <w:bottom w:val="single" w:color="1A3558" w:sz="6"/>
              <w:right w:val="single" w:color="1A3558" w:sz="6"/>
            </w:tcBorders>
            <w:shd w:fill="F0F4FA" w:val="clear"/>
            <w:tcMar>
              <w:top w:type="dxa" w:w="140"/>
              <w:left w:type="dxa" w:w="180"/>
              <w:bottom w:type="dxa" w:w="140"/>
              <w:right w:type="dxa" w:w="180"/>
            </w:tcMar>
            <w:vAlign w:val="center"/>
          </w:tcPr>
          <w:p>
            <w:pPr>
              <w:spacing w:line="260"/>
              <w:jc w:val="left"/>
            </w:pPr>
            <w:r>
              <w:rPr>
                <w:rFonts w:ascii="Georgia" w:cs="Georgia" w:eastAsia="Georgia" w:hAnsi="Georgia"/>
                <w:b w:val="false"/>
                <w:bCs w:val="false"/>
                <w:color w:val="111111"/>
                <w:sz w:val="21"/>
                <w:szCs w:val="21"/>
              </w:rPr>
              <w:t xml:space="preserve">Pics à n × 4,1 GeV</w:t>
            </w:r>
          </w:p>
        </w:tc>
        <w:tc>
          <w:tcPr>
            <w:tcW w:type="dxa" w:w="1872"/>
            <w:tcBorders>
              <w:top w:val="single" w:color="1A3558" w:sz="6"/>
              <w:left w:val="single" w:color="1A3558" w:sz="6"/>
              <w:bottom w:val="single" w:color="1A3558" w:sz="6"/>
              <w:right w:val="single" w:color="1A3558" w:sz="6"/>
            </w:tcBorders>
            <w:shd w:fill="FFFFFF" w:val="clear"/>
            <w:tcMar>
              <w:top w:type="dxa" w:w="140"/>
              <w:left w:type="dxa" w:w="180"/>
              <w:bottom w:type="dxa" w:w="140"/>
              <w:right w:type="dxa" w:w="180"/>
            </w:tcMar>
            <w:vAlign w:val="center"/>
          </w:tcPr>
          <w:p>
            <w:pPr>
              <w:spacing w:line="260"/>
              <w:jc w:val="left"/>
            </w:pPr>
            <w:r>
              <w:rPr>
                <w:rFonts w:ascii="Georgia" w:cs="Georgia" w:eastAsia="Georgia" w:hAnsi="Georgia"/>
                <w:b w:val="false"/>
                <w:bCs w:val="false"/>
                <w:color w:val="111111"/>
                <w:sz w:val="21"/>
                <w:szCs w:val="21"/>
              </w:rPr>
              <w:t xml:space="preserve">τ₀ &lt; 10⁻²⁵ s</w:t>
            </w:r>
          </w:p>
        </w:tc>
      </w:tr>
    </w:tbl>
    <w:p>
      <w:pPr>
        <w:spacing w:after="100"/>
      </w:pPr>
      <w:r>
        <w:rPr>
          <w:rFonts w:ascii="Georgia" w:cs="Georgia" w:eastAsia="Georgia" w:hAnsi="Georgia"/>
          <w:sz w:val="22"/>
          <w:szCs w:val="22"/>
        </w:rPr>
        <w:t xml:space="preserve"/>
      </w:r>
    </w:p>
    <w:p>
      <w:pPr>
        <w:pStyle w:val="Heading1"/>
        <w:pBdr>
          <w:bottom w:val="single" w:color="2C4770" w:sz="6" w:space="3"/>
        </w:pBdr>
        <w:spacing w:after="160" w:before="400"/>
      </w:pPr>
      <w:r>
        <w:rPr>
          <w:rFonts w:ascii="Arial" w:cs="Arial" w:eastAsia="Arial" w:hAnsi="Arial"/>
          <w:b/>
          <w:bCs/>
          <w:color w:val="1A3558"/>
          <w:sz w:val="27"/>
          <w:szCs w:val="27"/>
        </w:rPr>
        <w:t xml:space="preserve">6.  Extensions Théoriques</w:t>
      </w:r>
    </w:p>
    <w:p>
      <w:pPr>
        <w:pStyle w:val="Heading2"/>
        <w:spacing w:after="100" w:before="280"/>
      </w:pPr>
      <w:r>
        <w:rPr>
          <w:rFonts w:ascii="Arial" w:cs="Arial" w:eastAsia="Arial" w:hAnsi="Arial"/>
          <w:b/>
          <w:bCs/>
          <w:color w:val="2C4770"/>
          <w:sz w:val="24"/>
          <w:szCs w:val="24"/>
        </w:rPr>
        <w:t xml:space="preserve">6.1  Vers la Théorie Quantique des Champs</w:t>
      </w:r>
    </w:p>
    <w:p>
      <w:pPr>
        <w:spacing w:after="160" w:before="0" w:line="280"/>
        <w:jc w:val="both"/>
      </w:pPr>
      <w:r>
        <w:rPr>
          <w:rFonts w:ascii="Georgia" w:cs="Georgia" w:eastAsia="Georgia" w:hAnsi="Georgia"/>
          <w:sz w:val="22"/>
          <w:szCs w:val="22"/>
        </w:rPr>
        <w:t xml:space="preserve">L’extension de HDTQ à la QFT introduit un terme correctif dans le lagrangien effectif :</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8208"/>
        <w:gridCol w:w="1152"/>
      </w:tblGrid>
      <w:tr>
        <w:tc>
          <w:tcPr>
            <w:tcW w:type="dxa" w:w="8208"/>
            <w:tcBorders>
              <w:top w:val="none" w:color="FFFFFF" w:sz="0"/>
              <w:left w:val="none" w:color="FFFFFF" w:sz="0"/>
              <w:bottom w:val="none" w:color="FFFFFF" w:sz="0"/>
              <w:right w:val="none" w:color="FFFFFF" w:sz="0"/>
            </w:tcBorders>
            <w:tcMar>
              <w:top w:type="dxa" w:w="100"/>
              <w:left w:type="dxa" w:w="400"/>
              <w:bottom w:type="dxa" w:w="100"/>
              <w:right w:type="dxa" w:w="100"/>
            </w:tcMar>
          </w:tcPr>
          <w:p>
            <w:pPr>
              <w:jc w:val="center"/>
            </w:pPr>
            <w:r>
              <w:rPr>
                <w:rFonts w:ascii="Cambria Math" w:cs="Cambria Math" w:eastAsia="Cambria Math" w:hAnsi="Cambria Math"/>
                <w:i/>
                <w:iCs/>
                <w:sz w:val="24"/>
                <w:szCs w:val="24"/>
              </w:rPr>
              <w:t xml:space="preserve">ℒ_{HDTQ} = ψ̅(iγ^μ D_μ − m)ψ + (τ_0²/ℏ²) ψ̅ □ ψ</w:t>
            </w:r>
          </w:p>
        </w:tc>
        <w:tc>
          <w:tcPr>
            <w:tcW w:type="dxa" w:w="1152"/>
            <w:tcBorders>
              <w:top w:val="none" w:color="FFFFFF" w:sz="0"/>
              <w:left w:val="none" w:color="FFFFFF" w:sz="0"/>
              <w:bottom w:val="none" w:color="FFFFFF" w:sz="0"/>
              <w:right w:val="none" w:color="FFFFFF" w:sz="0"/>
            </w:tcBorders>
            <w:tcMar>
              <w:top w:type="dxa" w:w="100"/>
              <w:left w:type="dxa" w:w="40"/>
              <w:bottom w:type="dxa" w:w="100"/>
              <w:right w:type="dxa" w:w="80"/>
            </w:tcMar>
          </w:tcPr>
          <w:p>
            <w:pPr>
              <w:jc w:val="right"/>
            </w:pPr>
            <w:r>
              <w:rPr>
                <w:rFonts w:ascii="Georgia" w:cs="Georgia" w:eastAsia="Georgia" w:hAnsi="Georgia"/>
                <w:color w:val="777777"/>
                <w:sz w:val="20"/>
                <w:szCs w:val="20"/>
              </w:rPr>
              <w:t xml:space="preserve">(21)</w:t>
            </w:r>
          </w:p>
        </w:tc>
      </w:tr>
    </w:tbl>
    <w:p>
      <w:pPr>
        <w:spacing w:after="160" w:before="0" w:line="280"/>
        <w:jc w:val="both"/>
      </w:pPr>
      <w:r>
        <w:rPr>
          <w:rFonts w:ascii="Georgia" w:cs="Georgia" w:eastAsia="Georgia" w:hAnsi="Georgia"/>
          <w:sz w:val="22"/>
          <w:szCs w:val="22"/>
        </w:rPr>
        <w:t xml:space="preserve">Le terme en τ₀² produit une modification du propagateur de Feynman. À l’échelle d’énergie E ∼ ℏ/τ₀, les sections efficaces acquièrent une structure oscillante : les résonances stroboscopiques de l’éq. (20). La coupure UV naturelle de la théorie est Λ_{UV} = ℏ/τ₀ ∼ 4 GeV, bien en deçà de l’échelle de Planck.</w:t>
      </w:r>
    </w:p>
    <w:p>
      <w:pPr>
        <w:spacing w:after="100"/>
      </w:pPr>
      <w:r>
        <w:rPr>
          <w:rFonts w:ascii="Georgia" w:cs="Georgia" w:eastAsia="Georgia" w:hAnsi="Georgia"/>
          <w:sz w:val="22"/>
          <w:szCs w:val="22"/>
        </w:rPr>
        <w:t xml:space="preserve"/>
      </w:r>
    </w:p>
    <w:p>
      <w:pPr>
        <w:pStyle w:val="Heading2"/>
        <w:spacing w:after="100" w:before="280"/>
      </w:pPr>
      <w:r>
        <w:rPr>
          <w:rFonts w:ascii="Arial" w:cs="Arial" w:eastAsia="Arial" w:hAnsi="Arial"/>
          <w:b/>
          <w:bCs/>
          <w:color w:val="2C4770"/>
          <w:sz w:val="24"/>
          <w:szCs w:val="24"/>
        </w:rPr>
        <w:t xml:space="preserve">6.2  Violation de la Symétrie de Lorentz</w:t>
      </w:r>
    </w:p>
    <w:p>
      <w:pPr>
        <w:spacing w:after="160" w:before="0" w:line="280"/>
        <w:jc w:val="both"/>
      </w:pPr>
      <w:r>
        <w:rPr>
          <w:rFonts w:ascii="Georgia" w:cs="Georgia" w:eastAsia="Georgia" w:hAnsi="Georgia"/>
          <w:sz w:val="22"/>
          <w:szCs w:val="22"/>
        </w:rPr>
        <w:t xml:space="preserve">HDTQ sélectionne un référentiel temporel privilégié, ce qui implique une modification de la relation de dispersion :</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8208"/>
        <w:gridCol w:w="1152"/>
      </w:tblGrid>
      <w:tr>
        <w:tc>
          <w:tcPr>
            <w:tcW w:type="dxa" w:w="8208"/>
            <w:tcBorders>
              <w:top w:val="none" w:color="FFFFFF" w:sz="0"/>
              <w:left w:val="none" w:color="FFFFFF" w:sz="0"/>
              <w:bottom w:val="none" w:color="FFFFFF" w:sz="0"/>
              <w:right w:val="none" w:color="FFFFFF" w:sz="0"/>
            </w:tcBorders>
            <w:tcMar>
              <w:top w:type="dxa" w:w="100"/>
              <w:left w:type="dxa" w:w="400"/>
              <w:bottom w:type="dxa" w:w="100"/>
              <w:right w:type="dxa" w:w="100"/>
            </w:tcMar>
          </w:tcPr>
          <w:p>
            <w:pPr>
              <w:jc w:val="center"/>
            </w:pPr>
            <w:r>
              <w:rPr>
                <w:rFonts w:ascii="Cambria Math" w:cs="Cambria Math" w:eastAsia="Cambria Math" w:hAnsi="Cambria Math"/>
                <w:i/>
                <w:iCs/>
                <w:sz w:val="24"/>
                <w:szCs w:val="24"/>
              </w:rPr>
              <w:t xml:space="preserve">E² = p²c² + m²c⁴ + (ℏ/τ_0)² · sin²(Eτ_0/2ℏ)</w:t>
            </w:r>
          </w:p>
        </w:tc>
        <w:tc>
          <w:tcPr>
            <w:tcW w:type="dxa" w:w="1152"/>
            <w:tcBorders>
              <w:top w:val="none" w:color="FFFFFF" w:sz="0"/>
              <w:left w:val="none" w:color="FFFFFF" w:sz="0"/>
              <w:bottom w:val="none" w:color="FFFFFF" w:sz="0"/>
              <w:right w:val="none" w:color="FFFFFF" w:sz="0"/>
            </w:tcBorders>
            <w:tcMar>
              <w:top w:type="dxa" w:w="100"/>
              <w:left w:type="dxa" w:w="40"/>
              <w:bottom w:type="dxa" w:w="100"/>
              <w:right w:type="dxa" w:w="80"/>
            </w:tcMar>
          </w:tcPr>
          <w:p>
            <w:pPr>
              <w:jc w:val="right"/>
            </w:pPr>
            <w:r>
              <w:rPr>
                <w:rFonts w:ascii="Georgia" w:cs="Georgia" w:eastAsia="Georgia" w:hAnsi="Georgia"/>
                <w:color w:val="777777"/>
                <w:sz w:val="20"/>
                <w:szCs w:val="20"/>
              </w:rPr>
              <w:t xml:space="preserve">(22)</w:t>
            </w:r>
          </w:p>
        </w:tc>
      </w:tr>
    </w:tbl>
    <w:p>
      <w:pPr>
        <w:spacing w:after="160" w:before="0" w:line="280"/>
        <w:jc w:val="both"/>
      </w:pPr>
      <w:r>
        <w:rPr>
          <w:rFonts w:ascii="Georgia" w:cs="Georgia" w:eastAsia="Georgia" w:hAnsi="Georgia"/>
          <w:sz w:val="22"/>
          <w:szCs w:val="22"/>
        </w:rPr>
        <w:t xml:space="preserve">Conséquences observables : v_g(E) ≠ c pour les photons haute énergie (testable par Fermi-LAT avec les sursauts gamma) ; modification des seuils de production e⁺e⁻. Les données Fermi-LAT imposent actuellement τ₀ ≲ 10⁻²³ s à 1 TeV. HDTQ est compatible avec DSR (Doubly Special Relativity, Amélino-Camélia 2002) qui incorpore une échelle d’énergie invariante.</w:t>
      </w:r>
    </w:p>
    <w:p>
      <w:pPr>
        <w:spacing w:after="100"/>
      </w:pPr>
      <w:r>
        <w:rPr>
          <w:rFonts w:ascii="Georgia" w:cs="Georgia" w:eastAsia="Georgia" w:hAnsi="Georgia"/>
          <w:sz w:val="22"/>
          <w:szCs w:val="22"/>
        </w:rPr>
        <w:t xml:space="preserve"/>
      </w:r>
    </w:p>
    <w:p>
      <w:pPr>
        <w:pStyle w:val="Heading2"/>
        <w:spacing w:after="100" w:before="280"/>
      </w:pPr>
      <w:r>
        <w:rPr>
          <w:rFonts w:ascii="Arial" w:cs="Arial" w:eastAsia="Arial" w:hAnsi="Arial"/>
          <w:b/>
          <w:bCs/>
          <w:color w:val="2C4770"/>
          <w:sz w:val="24"/>
          <w:szCs w:val="24"/>
        </w:rPr>
        <w:t xml:space="preserve">6.3  Connexions aux Cadres Existants</w:t>
      </w:r>
    </w:p>
    <w:p>
      <w:pPr>
        <w:spacing w:after="160" w:before="0" w:line="280"/>
        <w:jc w:val="both"/>
      </w:pPr>
      <w:r>
        <w:rPr>
          <w:rFonts w:ascii="Georgia" w:cs="Georgia" w:eastAsia="Georgia" w:hAnsi="Georgia"/>
          <w:sz w:val="22"/>
          <w:szCs w:val="22"/>
        </w:rPr>
        <w:t xml:space="preserve">HDTQ s’inscrit dans un paysage de théories existantes :</w:t>
      </w:r>
    </w:p>
    <w:p>
      <w:pPr>
        <w:pStyle w:val="ListParagraph"/>
        <w:numPr>
          <w:ilvl w:val="0"/>
          <w:numId w:val="2"/>
        </w:numPr>
        <w:spacing w:after="100"/>
      </w:pPr>
      <w:r>
        <w:rPr>
          <w:rFonts w:ascii="Georgia" w:cs="Georgia" w:eastAsia="Georgia" w:hAnsi="Georgia"/>
          <w:b/>
          <w:bCs/>
          <w:sz w:val="22"/>
          <w:szCs w:val="22"/>
        </w:rPr>
        <w:t xml:space="preserve">Causal sets</w:t>
      </w:r>
      <w:r>
        <w:rPr>
          <w:rFonts w:ascii="Georgia" w:cs="Georgia" w:eastAsia="Georgia" w:hAnsi="Georgia"/>
          <w:sz w:val="22"/>
          <w:szCs w:val="22"/>
        </w:rPr>
        <w:t xml:space="preserve"> (Bombelli et al. 1987 ; Sorkin 2003) : espace-temps discret à partir de premiers principes, avec τ₀ ∼ t_P. HDTQ en est une version à échelle intermédiaire.</w:t>
      </w:r>
    </w:p>
    <w:p>
      <w:pPr>
        <w:pStyle w:val="ListParagraph"/>
        <w:numPr>
          <w:ilvl w:val="0"/>
          <w:numId w:val="2"/>
        </w:numPr>
        <w:spacing w:after="100"/>
      </w:pPr>
      <w:r>
        <w:rPr>
          <w:rFonts w:ascii="Georgia" w:cs="Georgia" w:eastAsia="Georgia" w:hAnsi="Georgia"/>
          <w:b/>
          <w:bCs/>
          <w:sz w:val="22"/>
          <w:szCs w:val="22"/>
        </w:rPr>
        <w:t xml:space="preserve">Gravité quantique à boucles</w:t>
      </w:r>
      <w:r>
        <w:rPr>
          <w:rFonts w:ascii="Georgia" w:cs="Georgia" w:eastAsia="Georgia" w:hAnsi="Georgia"/>
          <w:sz w:val="22"/>
          <w:szCs w:val="22"/>
        </w:rPr>
        <w:t xml:space="preserve"> (Rovelli &amp; Smolin 1995) : spectres discrets d’aire et de volume. La granularité temporelle y émerge naturellement.</w:t>
      </w:r>
    </w:p>
    <w:p>
      <w:pPr>
        <w:pStyle w:val="ListParagraph"/>
        <w:numPr>
          <w:ilvl w:val="0"/>
          <w:numId w:val="2"/>
        </w:numPr>
        <w:spacing w:after="100"/>
      </w:pPr>
      <w:r>
        <w:rPr>
          <w:rFonts w:ascii="Georgia" w:cs="Georgia" w:eastAsia="Georgia" w:hAnsi="Georgia"/>
          <w:b/>
          <w:bCs/>
          <w:sz w:val="22"/>
          <w:szCs w:val="22"/>
        </w:rPr>
        <w:t xml:space="preserve">Diósi–Penrose</w:t>
      </w:r>
      <w:r>
        <w:rPr>
          <w:rFonts w:ascii="Georgia" w:cs="Georgia" w:eastAsia="Georgia" w:hAnsi="Georgia"/>
          <w:sz w:val="22"/>
          <w:szCs w:val="22"/>
        </w:rPr>
        <w:t xml:space="preserve"> (1989, 1996) : effondrement induit par la gravité, τ ∼ ℏ/E_G. Connexion formelle à explorer avec P̂.</w:t>
      </w:r>
    </w:p>
    <w:p>
      <w:pPr>
        <w:pStyle w:val="ListParagraph"/>
        <w:numPr>
          <w:ilvl w:val="0"/>
          <w:numId w:val="2"/>
        </w:numPr>
        <w:spacing w:after="100"/>
      </w:pPr>
      <w:r>
        <w:rPr>
          <w:rFonts w:ascii="Georgia" w:cs="Georgia" w:eastAsia="Georgia" w:hAnsi="Georgia"/>
          <w:b/>
          <w:bCs/>
          <w:sz w:val="22"/>
          <w:szCs w:val="22"/>
        </w:rPr>
        <w:t xml:space="preserve">Gambini &amp; Porto</w:t>
      </w:r>
      <w:r>
        <w:rPr>
          <w:rFonts w:ascii="Georgia" w:cs="Georgia" w:eastAsia="Georgia" w:hAnsi="Georgia"/>
          <w:sz w:val="22"/>
          <w:szCs w:val="22"/>
        </w:rPr>
        <w:t xml:space="preserve"> (2004) : décohérence intrinsèque par quantification de l’horloge — le cadre rigoureux le plus proche.</w:t>
      </w:r>
    </w:p>
    <w:p>
      <w:pPr>
        <w:spacing w:after="100"/>
      </w:pPr>
      <w:r>
        <w:rPr>
          <w:rFonts w:ascii="Georgia" w:cs="Georgia" w:eastAsia="Georgia" w:hAnsi="Georgia"/>
          <w:sz w:val="22"/>
          <w:szCs w:val="22"/>
        </w:rPr>
        <w:t xml:space="preserve"/>
      </w:r>
    </w:p>
    <w:p>
      <w:pPr>
        <w:pStyle w:val="Heading1"/>
        <w:pBdr>
          <w:bottom w:val="single" w:color="2C4770" w:sz="6" w:space="3"/>
        </w:pBdr>
        <w:spacing w:after="160" w:before="400"/>
      </w:pPr>
      <w:r>
        <w:rPr>
          <w:rFonts w:ascii="Arial" w:cs="Arial" w:eastAsia="Arial" w:hAnsi="Arial"/>
          <w:b/>
          <w:bCs/>
          <w:color w:val="1A3558"/>
          <w:sz w:val="27"/>
          <w:szCs w:val="27"/>
        </w:rPr>
        <w:t xml:space="preserve">7.  Discussion</w:t>
      </w:r>
    </w:p>
    <w:p>
      <w:pPr>
        <w:pStyle w:val="Heading2"/>
        <w:spacing w:after="100" w:before="280"/>
      </w:pPr>
      <w:r>
        <w:rPr>
          <w:rFonts w:ascii="Arial" w:cs="Arial" w:eastAsia="Arial" w:hAnsi="Arial"/>
          <w:b/>
          <w:bCs/>
          <w:color w:val="2C4770"/>
          <w:sz w:val="24"/>
          <w:szCs w:val="24"/>
        </w:rPr>
        <w:t xml:space="preserve">7.1  Synthèse des Résultats</w:t>
      </w:r>
    </w:p>
    <w:p>
      <w:pPr>
        <w:spacing w:after="160" w:before="0" w:line="280"/>
        <w:jc w:val="both"/>
      </w:pPr>
      <w:r>
        <w:rPr>
          <w:rFonts w:ascii="Georgia" w:cs="Georgia" w:eastAsia="Georgia" w:hAnsi="Georgia"/>
          <w:sz w:val="22"/>
          <w:szCs w:val="22"/>
        </w:rPr>
        <w:t xml:space="preserve">Nous avons démontré que HDTQ résout deux des trois sous-problèmes du problème de la mesure :</w:t>
      </w:r>
    </w:p>
    <w:p>
      <w:pPr>
        <w:spacing w:after="100"/>
      </w:pPr>
      <w:r>
        <w:rPr>
          <w:rFonts w:ascii="Georgia" w:cs="Georgia" w:eastAsia="Georgia" w:hAnsi="Georgia"/>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80"/>
        <w:gridCol w:w="3312"/>
        <w:gridCol w:w="3168"/>
      </w:tblGrid>
      <w:tr>
        <w:trPr>
          <w:trHeight w:val="600" w:hRule="atLeast"/>
        </w:trPr>
        <w:tc>
          <w:tcPr>
            <w:tcW w:type="dxa" w:w="2880"/>
            <w:tcBorders>
              <w:top w:val="single" w:color="1A3558" w:sz="6"/>
              <w:left w:val="single" w:color="1A3558" w:sz="6"/>
              <w:bottom w:val="single" w:color="1A3558" w:sz="6"/>
              <w:right w:val="single" w:color="1A3558" w:sz="6"/>
            </w:tcBorders>
            <w:shd w:fill="1A3558" w:val="clear"/>
            <w:tcMar>
              <w:top w:type="dxa" w:w="140"/>
              <w:left w:type="dxa" w:w="180"/>
              <w:bottom w:type="dxa" w:w="140"/>
              <w:right w:type="dxa" w:w="180"/>
            </w:tcMar>
            <w:vAlign w:val="center"/>
          </w:tcPr>
          <w:p>
            <w:pPr>
              <w:spacing w:line="260"/>
              <w:jc w:val="left"/>
            </w:pPr>
            <w:r>
              <w:rPr>
                <w:rFonts w:ascii="Georgia" w:cs="Georgia" w:eastAsia="Georgia" w:hAnsi="Georgia"/>
                <w:b/>
                <w:bCs/>
                <w:color w:val="FFFFFF"/>
                <w:sz w:val="21"/>
                <w:szCs w:val="21"/>
              </w:rPr>
              <w:t xml:space="preserve">Sous-problème</w:t>
            </w:r>
          </w:p>
        </w:tc>
        <w:tc>
          <w:tcPr>
            <w:tcW w:type="dxa" w:w="3312"/>
            <w:tcBorders>
              <w:top w:val="single" w:color="1A3558" w:sz="6"/>
              <w:left w:val="single" w:color="1A3558" w:sz="6"/>
              <w:bottom w:val="single" w:color="1A3558" w:sz="6"/>
              <w:right w:val="single" w:color="1A3558" w:sz="6"/>
            </w:tcBorders>
            <w:shd w:fill="1A3558" w:val="clear"/>
            <w:tcMar>
              <w:top w:type="dxa" w:w="140"/>
              <w:left w:type="dxa" w:w="180"/>
              <w:bottom w:type="dxa" w:w="140"/>
              <w:right w:type="dxa" w:w="180"/>
            </w:tcMar>
            <w:vAlign w:val="center"/>
          </w:tcPr>
          <w:p>
            <w:pPr>
              <w:spacing w:line="260"/>
              <w:jc w:val="left"/>
            </w:pPr>
            <w:r>
              <w:rPr>
                <w:rFonts w:ascii="Georgia" w:cs="Georgia" w:eastAsia="Georgia" w:hAnsi="Georgia"/>
                <w:b/>
                <w:bCs/>
                <w:color w:val="FFFFFF"/>
                <w:sz w:val="21"/>
                <w:szCs w:val="21"/>
              </w:rPr>
              <w:t xml:space="preserve">Statut dans HDTQ</w:t>
            </w:r>
          </w:p>
        </w:tc>
        <w:tc>
          <w:tcPr>
            <w:tcW w:type="dxa" w:w="3168"/>
            <w:tcBorders>
              <w:top w:val="single" w:color="1A3558" w:sz="6"/>
              <w:left w:val="single" w:color="1A3558" w:sz="6"/>
              <w:bottom w:val="single" w:color="1A3558" w:sz="6"/>
              <w:right w:val="single" w:color="1A3558" w:sz="6"/>
            </w:tcBorders>
            <w:shd w:fill="1A3558" w:val="clear"/>
            <w:tcMar>
              <w:top w:type="dxa" w:w="140"/>
              <w:left w:type="dxa" w:w="180"/>
              <w:bottom w:type="dxa" w:w="140"/>
              <w:right w:type="dxa" w:w="180"/>
            </w:tcMar>
            <w:vAlign w:val="center"/>
          </w:tcPr>
          <w:p>
            <w:pPr>
              <w:spacing w:line="260"/>
              <w:jc w:val="left"/>
            </w:pPr>
            <w:r>
              <w:rPr>
                <w:rFonts w:ascii="Georgia" w:cs="Georgia" w:eastAsia="Georgia" w:hAnsi="Georgia"/>
                <w:b/>
                <w:bCs/>
                <w:color w:val="FFFFFF"/>
                <w:sz w:val="21"/>
                <w:szCs w:val="21"/>
              </w:rPr>
              <w:t xml:space="preserve">Outil formel</w:t>
            </w:r>
          </w:p>
        </w:tc>
      </w:tr>
      <w:tr>
        <w:trPr>
          <w:trHeight w:val="480" w:hRule="atLeast"/>
        </w:trPr>
        <w:tc>
          <w:tcPr>
            <w:tcW w:type="dxa" w:w="2880"/>
            <w:tcBorders>
              <w:top w:val="single" w:color="1A3558" w:sz="6"/>
              <w:left w:val="single" w:color="1A3558" w:sz="6"/>
              <w:bottom w:val="single" w:color="1A3558" w:sz="6"/>
              <w:right w:val="single" w:color="1A3558" w:sz="6"/>
            </w:tcBorders>
            <w:shd w:fill="F0F4FA" w:val="clear"/>
            <w:tcMar>
              <w:top w:type="dxa" w:w="140"/>
              <w:left w:type="dxa" w:w="180"/>
              <w:bottom w:type="dxa" w:w="140"/>
              <w:right w:type="dxa" w:w="180"/>
            </w:tcMar>
            <w:vAlign w:val="center"/>
          </w:tcPr>
          <w:p>
            <w:pPr>
              <w:spacing w:line="260"/>
              <w:jc w:val="left"/>
            </w:pPr>
            <w:r>
              <w:rPr>
                <w:rFonts w:ascii="Georgia" w:cs="Georgia" w:eastAsia="Georgia" w:hAnsi="Georgia"/>
                <w:b w:val="false"/>
                <w:bCs w:val="false"/>
                <w:color w:val="111111"/>
                <w:sz w:val="21"/>
                <w:szCs w:val="21"/>
              </w:rPr>
              <w:t xml:space="preserve">Problème cinématique</w:t>
            </w:r>
          </w:p>
        </w:tc>
        <w:tc>
          <w:tcPr>
            <w:tcW w:type="dxa" w:w="3312"/>
            <w:tcBorders>
              <w:top w:val="single" w:color="1A3558" w:sz="6"/>
              <w:left w:val="single" w:color="1A3558" w:sz="6"/>
              <w:bottom w:val="single" w:color="1A3558" w:sz="6"/>
              <w:right w:val="single" w:color="1A3558" w:sz="6"/>
            </w:tcBorders>
            <w:shd w:fill="FFFFFF" w:val="clear"/>
            <w:tcMar>
              <w:top w:type="dxa" w:w="140"/>
              <w:left w:type="dxa" w:w="180"/>
              <w:bottom w:type="dxa" w:w="140"/>
              <w:right w:type="dxa" w:w="180"/>
            </w:tcMar>
            <w:vAlign w:val="center"/>
          </w:tcPr>
          <w:p>
            <w:pPr>
              <w:spacing w:line="260"/>
              <w:jc w:val="left"/>
            </w:pPr>
            <w:r>
              <w:rPr>
                <w:rFonts w:ascii="Georgia" w:cs="Georgia" w:eastAsia="Georgia" w:hAnsi="Georgia"/>
                <w:b w:val="false"/>
                <w:bCs w:val="false"/>
                <w:color w:val="111111"/>
                <w:sz w:val="21"/>
                <w:szCs w:val="21"/>
              </w:rPr>
              <w:t xml:space="preserve">Résolu (Th. 1, Rés. 1)</w:t>
            </w:r>
          </w:p>
        </w:tc>
        <w:tc>
          <w:tcPr>
            <w:tcW w:type="dxa" w:w="3168"/>
            <w:tcBorders>
              <w:top w:val="single" w:color="1A3558" w:sz="6"/>
              <w:left w:val="single" w:color="1A3558" w:sz="6"/>
              <w:bottom w:val="single" w:color="1A3558" w:sz="6"/>
              <w:right w:val="single" w:color="1A3558" w:sz="6"/>
            </w:tcBorders>
            <w:shd w:fill="F0F4FA" w:val="clear"/>
            <w:tcMar>
              <w:top w:type="dxa" w:w="140"/>
              <w:left w:type="dxa" w:w="180"/>
              <w:bottom w:type="dxa" w:w="140"/>
              <w:right w:type="dxa" w:w="180"/>
            </w:tcMar>
            <w:vAlign w:val="center"/>
          </w:tcPr>
          <w:p>
            <w:pPr>
              <w:spacing w:line="260"/>
              <w:jc w:val="left"/>
            </w:pPr>
            <w:r>
              <w:rPr>
                <w:rFonts w:ascii="Georgia" w:cs="Georgia" w:eastAsia="Georgia" w:hAnsi="Georgia"/>
                <w:b w:val="false"/>
                <w:bCs w:val="false"/>
                <w:color w:val="111111"/>
                <w:sz w:val="21"/>
                <w:szCs w:val="21"/>
              </w:rPr>
              <w:t xml:space="preserve">Mécanisme gel-amplification</w:t>
            </w:r>
          </w:p>
        </w:tc>
      </w:tr>
      <w:tr>
        <w:trPr>
          <w:trHeight w:val="480" w:hRule="atLeast"/>
        </w:trPr>
        <w:tc>
          <w:tcPr>
            <w:tcW w:type="dxa" w:w="2880"/>
            <w:tcBorders>
              <w:top w:val="single" w:color="1A3558" w:sz="6"/>
              <w:left w:val="single" w:color="1A3558" w:sz="6"/>
              <w:bottom w:val="single" w:color="1A3558" w:sz="6"/>
              <w:right w:val="single" w:color="1A3558" w:sz="6"/>
            </w:tcBorders>
            <w:shd w:fill="F0F4FA" w:val="clear"/>
            <w:tcMar>
              <w:top w:type="dxa" w:w="140"/>
              <w:left w:type="dxa" w:w="180"/>
              <w:bottom w:type="dxa" w:w="140"/>
              <w:right w:type="dxa" w:w="180"/>
            </w:tcMar>
            <w:vAlign w:val="center"/>
          </w:tcPr>
          <w:p>
            <w:pPr>
              <w:spacing w:line="260"/>
              <w:jc w:val="left"/>
            </w:pPr>
            <w:r>
              <w:rPr>
                <w:rFonts w:ascii="Georgia" w:cs="Georgia" w:eastAsia="Georgia" w:hAnsi="Georgia"/>
                <w:b w:val="false"/>
                <w:bCs w:val="false"/>
                <w:color w:val="111111"/>
                <w:sz w:val="21"/>
                <w:szCs w:val="21"/>
              </w:rPr>
              <w:t xml:space="preserve">Base préférée</w:t>
            </w:r>
          </w:p>
        </w:tc>
        <w:tc>
          <w:tcPr>
            <w:tcW w:type="dxa" w:w="3312"/>
            <w:tcBorders>
              <w:top w:val="single" w:color="1A3558" w:sz="6"/>
              <w:left w:val="single" w:color="1A3558" w:sz="6"/>
              <w:bottom w:val="single" w:color="1A3558" w:sz="6"/>
              <w:right w:val="single" w:color="1A3558" w:sz="6"/>
            </w:tcBorders>
            <w:shd w:fill="FFFFFF" w:val="clear"/>
            <w:tcMar>
              <w:top w:type="dxa" w:w="140"/>
              <w:left w:type="dxa" w:w="180"/>
              <w:bottom w:type="dxa" w:w="140"/>
              <w:right w:type="dxa" w:w="180"/>
            </w:tcMar>
            <w:vAlign w:val="center"/>
          </w:tcPr>
          <w:p>
            <w:pPr>
              <w:spacing w:line="260"/>
              <w:jc w:val="left"/>
            </w:pPr>
            <w:r>
              <w:rPr>
                <w:rFonts w:ascii="Georgia" w:cs="Georgia" w:eastAsia="Georgia" w:hAnsi="Georgia"/>
                <w:b w:val="false"/>
                <w:bCs w:val="false"/>
                <w:color w:val="111111"/>
                <w:sz w:val="21"/>
                <w:szCs w:val="21"/>
              </w:rPr>
              <w:t xml:space="preserve">Résolu (Rés. 2)</w:t>
            </w:r>
          </w:p>
        </w:tc>
        <w:tc>
          <w:tcPr>
            <w:tcW w:type="dxa" w:w="3168"/>
            <w:tcBorders>
              <w:top w:val="single" w:color="1A3558" w:sz="6"/>
              <w:left w:val="single" w:color="1A3558" w:sz="6"/>
              <w:bottom w:val="single" w:color="1A3558" w:sz="6"/>
              <w:right w:val="single" w:color="1A3558" w:sz="6"/>
            </w:tcBorders>
            <w:shd w:fill="F0F4FA" w:val="clear"/>
            <w:tcMar>
              <w:top w:type="dxa" w:w="140"/>
              <w:left w:type="dxa" w:w="180"/>
              <w:bottom w:type="dxa" w:w="140"/>
              <w:right w:type="dxa" w:w="180"/>
            </w:tcMar>
            <w:vAlign w:val="center"/>
          </w:tcPr>
          <w:p>
            <w:pPr>
              <w:spacing w:line="260"/>
              <w:jc w:val="left"/>
            </w:pPr>
            <w:r>
              <w:rPr>
                <w:rFonts w:ascii="Georgia" w:cs="Georgia" w:eastAsia="Georgia" w:hAnsi="Georgia"/>
                <w:b w:val="false"/>
                <w:bCs w:val="false"/>
                <w:color w:val="111111"/>
                <w:sz w:val="21"/>
                <w:szCs w:val="21"/>
              </w:rPr>
              <w:t xml:space="preserve">Stabilité de phase temporelle</w:t>
            </w:r>
          </w:p>
        </w:tc>
      </w:tr>
      <w:tr>
        <w:trPr>
          <w:trHeight w:val="480" w:hRule="atLeast"/>
        </w:trPr>
        <w:tc>
          <w:tcPr>
            <w:tcW w:type="dxa" w:w="2880"/>
            <w:tcBorders>
              <w:top w:val="single" w:color="1A3558" w:sz="6"/>
              <w:left w:val="single" w:color="1A3558" w:sz="6"/>
              <w:bottom w:val="single" w:color="1A3558" w:sz="6"/>
              <w:right w:val="single" w:color="1A3558" w:sz="6"/>
            </w:tcBorders>
            <w:shd w:fill="F0F4FA" w:val="clear"/>
            <w:tcMar>
              <w:top w:type="dxa" w:w="140"/>
              <w:left w:type="dxa" w:w="180"/>
              <w:bottom w:type="dxa" w:w="140"/>
              <w:right w:type="dxa" w:w="180"/>
            </w:tcMar>
            <w:vAlign w:val="center"/>
          </w:tcPr>
          <w:p>
            <w:pPr>
              <w:spacing w:line="260"/>
              <w:jc w:val="left"/>
            </w:pPr>
            <w:r>
              <w:rPr>
                <w:rFonts w:ascii="Georgia" w:cs="Georgia" w:eastAsia="Georgia" w:hAnsi="Georgia"/>
                <w:b w:val="false"/>
                <w:bCs w:val="false"/>
                <w:color w:val="111111"/>
                <w:sz w:val="21"/>
                <w:szCs w:val="21"/>
              </w:rPr>
              <w:t xml:space="preserve">Règle de Born</w:t>
            </w:r>
          </w:p>
        </w:tc>
        <w:tc>
          <w:tcPr>
            <w:tcW w:type="dxa" w:w="3312"/>
            <w:tcBorders>
              <w:top w:val="single" w:color="1A3558" w:sz="6"/>
              <w:left w:val="single" w:color="1A3558" w:sz="6"/>
              <w:bottom w:val="single" w:color="1A3558" w:sz="6"/>
              <w:right w:val="single" w:color="1A3558" w:sz="6"/>
            </w:tcBorders>
            <w:shd w:fill="FFFFFF" w:val="clear"/>
            <w:tcMar>
              <w:top w:type="dxa" w:w="140"/>
              <w:left w:type="dxa" w:w="180"/>
              <w:bottom w:type="dxa" w:w="140"/>
              <w:right w:type="dxa" w:w="180"/>
            </w:tcMar>
            <w:vAlign w:val="center"/>
          </w:tcPr>
          <w:p>
            <w:pPr>
              <w:spacing w:line="260"/>
              <w:jc w:val="left"/>
            </w:pPr>
            <w:r>
              <w:rPr>
                <w:rFonts w:ascii="Georgia" w:cs="Georgia" w:eastAsia="Georgia" w:hAnsi="Georgia"/>
                <w:b w:val="false"/>
                <w:bCs w:val="false"/>
                <w:color w:val="111111"/>
                <w:sz w:val="21"/>
                <w:szCs w:val="21"/>
              </w:rPr>
              <w:t xml:space="preserve">Heuristique (Rés. 3)</w:t>
            </w:r>
          </w:p>
        </w:tc>
        <w:tc>
          <w:tcPr>
            <w:tcW w:type="dxa" w:w="3168"/>
            <w:tcBorders>
              <w:top w:val="single" w:color="1A3558" w:sz="6"/>
              <w:left w:val="single" w:color="1A3558" w:sz="6"/>
              <w:bottom w:val="single" w:color="1A3558" w:sz="6"/>
              <w:right w:val="single" w:color="1A3558" w:sz="6"/>
            </w:tcBorders>
            <w:shd w:fill="F0F4FA" w:val="clear"/>
            <w:tcMar>
              <w:top w:type="dxa" w:w="140"/>
              <w:left w:type="dxa" w:w="180"/>
              <w:bottom w:type="dxa" w:w="140"/>
              <w:right w:type="dxa" w:w="180"/>
            </w:tcMar>
            <w:vAlign w:val="center"/>
          </w:tcPr>
          <w:p>
            <w:pPr>
              <w:spacing w:line="260"/>
              <w:jc w:val="left"/>
            </w:pPr>
            <w:r>
              <w:rPr>
                <w:rFonts w:ascii="Georgia" w:cs="Georgia" w:eastAsia="Georgia" w:hAnsi="Georgia"/>
                <w:b w:val="false"/>
                <w:bCs w:val="false"/>
                <w:color w:val="111111"/>
                <w:sz w:val="21"/>
                <w:szCs w:val="21"/>
              </w:rPr>
              <w:t xml:space="preserve">Fréquence des phases actives + Gleason</w:t>
            </w:r>
          </w:p>
        </w:tc>
      </w:tr>
    </w:tbl>
    <w:p>
      <w:pPr>
        <w:spacing w:after="100"/>
      </w:pPr>
      <w:r>
        <w:rPr>
          <w:rFonts w:ascii="Georgia" w:cs="Georgia" w:eastAsia="Georgia" w:hAnsi="Georgia"/>
          <w:sz w:val="22"/>
          <w:szCs w:val="22"/>
        </w:rPr>
        <w:t xml:space="preserve"/>
      </w:r>
    </w:p>
    <w:p>
      <w:pPr>
        <w:pStyle w:val="Heading2"/>
        <w:spacing w:after="100" w:before="280"/>
      </w:pPr>
      <w:r>
        <w:rPr>
          <w:rFonts w:ascii="Arial" w:cs="Arial" w:eastAsia="Arial" w:hAnsi="Arial"/>
          <w:b/>
          <w:bCs/>
          <w:color w:val="2C4770"/>
          <w:sz w:val="24"/>
          <w:szCs w:val="24"/>
        </w:rPr>
        <w:t xml:space="preserve">7.2  Forces et Limites de l’Argument</w:t>
      </w:r>
    </w:p>
    <w:p>
      <w:pPr>
        <w:spacing w:after="160" w:before="0" w:line="280"/>
        <w:jc w:val="both"/>
      </w:pPr>
      <w:r>
        <w:rPr>
          <w:rFonts w:ascii="Georgia" w:cs="Georgia" w:eastAsia="Georgia" w:hAnsi="Georgia"/>
          <w:b/>
          <w:bCs/>
          <w:sz w:val="22"/>
          <w:szCs w:val="22"/>
        </w:rPr>
        <w:t xml:space="preserve">Forces :</w:t>
      </w:r>
    </w:p>
    <w:p>
      <w:pPr>
        <w:pStyle w:val="ListParagraph"/>
        <w:numPr>
          <w:ilvl w:val="0"/>
          <w:numId w:val="2"/>
        </w:numPr>
        <w:spacing w:after="100"/>
      </w:pPr>
      <w:r>
        <w:rPr>
          <w:rFonts w:ascii="Georgia" w:cs="Georgia" w:eastAsia="Georgia" w:hAnsi="Georgia"/>
          <w:sz w:val="22"/>
          <w:szCs w:val="22"/>
        </w:rPr>
        <w:t xml:space="preserve">L’unitarité est préservée par construction (Th. 1) — contrairement aux modèles GRW qui violent l’unitarité.</w:t>
      </w:r>
    </w:p>
    <w:p>
      <w:pPr>
        <w:pStyle w:val="ListParagraph"/>
        <w:numPr>
          <w:ilvl w:val="0"/>
          <w:numId w:val="2"/>
        </w:numPr>
        <w:spacing w:after="100"/>
      </w:pPr>
      <w:r>
        <w:rPr>
          <w:rFonts w:ascii="Georgia" w:cs="Georgia" w:eastAsia="Georgia" w:hAnsi="Georgia"/>
          <w:sz w:val="22"/>
          <w:szCs w:val="22"/>
        </w:rPr>
        <w:t xml:space="preserve">La base préférée est sélectionnée sans référence à l’environnement — plus fondamental que la décohérence de Zurek.</w:t>
      </w:r>
    </w:p>
    <w:p>
      <w:pPr>
        <w:pStyle w:val="ListParagraph"/>
        <w:numPr>
          <w:ilvl w:val="0"/>
          <w:numId w:val="2"/>
        </w:numPr>
        <w:spacing w:after="100"/>
      </w:pPr>
      <w:r>
        <w:rPr>
          <w:rFonts w:ascii="Georgia" w:cs="Georgia" w:eastAsia="Georgia" w:hAnsi="Georgia"/>
          <w:sz w:val="22"/>
          <w:szCs w:val="22"/>
        </w:rPr>
        <w:t xml:space="preserve">Les prédictions sont quantitatives et testables à court terme (Protocole I, 1–3 jours de mesure).</w:t>
      </w:r>
    </w:p>
    <w:p>
      <w:pPr>
        <w:spacing w:after="160" w:before="0" w:line="280"/>
        <w:jc w:val="both"/>
      </w:pPr>
      <w:r>
        <w:rPr>
          <w:rFonts w:ascii="Georgia" w:cs="Georgia" w:eastAsia="Georgia" w:hAnsi="Georgia"/>
          <w:b/>
          <w:bCs/>
          <w:sz w:val="22"/>
          <w:szCs w:val="22"/>
        </w:rPr>
        <w:t xml:space="preserve">Limites :</w:t>
      </w:r>
    </w:p>
    <w:p>
      <w:pPr>
        <w:pStyle w:val="ListParagraph"/>
        <w:numPr>
          <w:ilvl w:val="0"/>
          <w:numId w:val="2"/>
        </w:numPr>
        <w:spacing w:after="100"/>
      </w:pPr>
      <w:r>
        <w:rPr>
          <w:rFonts w:ascii="Georgia" w:cs="Georgia" w:eastAsia="Georgia" w:hAnsi="Georgia"/>
          <w:sz w:val="22"/>
          <w:szCs w:val="22"/>
        </w:rPr>
        <w:t xml:space="preserve">τ₀ reste un paramètre libre sans dérivation à partir des premiers principes.</w:t>
      </w:r>
    </w:p>
    <w:p>
      <w:pPr>
        <w:pStyle w:val="ListParagraph"/>
        <w:numPr>
          <w:ilvl w:val="0"/>
          <w:numId w:val="2"/>
        </w:numPr>
        <w:spacing w:after="100"/>
      </w:pPr>
      <w:r>
        <w:rPr>
          <w:rFonts w:ascii="Georgia" w:cs="Georgia" w:eastAsia="Georgia" w:hAnsi="Georgia"/>
          <w:sz w:val="22"/>
          <w:szCs w:val="22"/>
        </w:rPr>
        <w:t xml:space="preserve">La règle de Born est heuristique — une dérivation rigoureuse exigerait un théorème de Gleason discret.</w:t>
      </w:r>
    </w:p>
    <w:p>
      <w:pPr>
        <w:pStyle w:val="ListParagraph"/>
        <w:numPr>
          <w:ilvl w:val="0"/>
          <w:numId w:val="2"/>
        </w:numPr>
        <w:spacing w:after="100"/>
      </w:pPr>
      <w:r>
        <w:rPr>
          <w:rFonts w:ascii="Georgia" w:cs="Georgia" w:eastAsia="Georgia" w:hAnsi="Georgia"/>
          <w:sz w:val="22"/>
          <w:szCs w:val="22"/>
        </w:rPr>
        <w:t xml:space="preserve">La violation de Lorentz, bien que contrainte, doit être réconciliée formellement avec le Modèle Standard.</w:t>
      </w:r>
    </w:p>
    <w:p>
      <w:pPr>
        <w:spacing w:after="100"/>
      </w:pPr>
      <w:r>
        <w:rPr>
          <w:rFonts w:ascii="Georgia" w:cs="Georgia" w:eastAsia="Georgia" w:hAnsi="Georgia"/>
          <w:sz w:val="22"/>
          <w:szCs w:val="22"/>
        </w:rPr>
        <w:t xml:space="preserve"/>
      </w:r>
    </w:p>
    <w:p>
      <w:pPr>
        <w:pStyle w:val="Heading2"/>
        <w:spacing w:after="100" w:before="280"/>
      </w:pPr>
      <w:r>
        <w:rPr>
          <w:rFonts w:ascii="Arial" w:cs="Arial" w:eastAsia="Arial" w:hAnsi="Arial"/>
          <w:b/>
          <w:bCs/>
          <w:color w:val="2C4770"/>
          <w:sz w:val="24"/>
          <w:szCs w:val="24"/>
        </w:rPr>
        <w:t xml:space="preserve">7.3  La Méthode : Intuition, Formalisation, Validation</w:t>
      </w:r>
    </w:p>
    <w:p>
      <w:pPr>
        <w:spacing w:after="160" w:before="0" w:line="280"/>
        <w:jc w:val="both"/>
      </w:pPr>
      <w:r>
        <w:rPr>
          <w:rFonts w:ascii="Georgia" w:cs="Georgia" w:eastAsia="Georgia" w:hAnsi="Georgia"/>
          <w:sz w:val="22"/>
          <w:szCs w:val="22"/>
        </w:rPr>
        <w:t xml:space="preserve">Cet article illustre une méthode particulière : une intuition analogique humaine (l’auteur, 1990), formalisée avec assistance IA (2024–2026) sous direction de l’auteur, génère un programme de recherche falsifiable. L’IA n’a pas produit l’hypothèse — elle a traduit l’intuition en équations, vérifié les dimensions, identifié les contradictions, et localisé la littérature pertinente. Ce rôle de </w:t>
      </w:r>
      <w:r>
        <w:rPr>
          <w:rFonts w:ascii="Georgia" w:cs="Georgia" w:eastAsia="Georgia" w:hAnsi="Georgia"/>
          <w:i/>
          <w:iCs/>
          <w:sz w:val="22"/>
          <w:szCs w:val="22"/>
        </w:rPr>
        <w:t xml:space="preserve">« compilateur logique »</w:t>
      </w:r>
      <w:r>
        <w:rPr>
          <w:rFonts w:ascii="Georgia" w:cs="Georgia" w:eastAsia="Georgia" w:hAnsi="Georgia"/>
          <w:sz w:val="22"/>
          <w:szCs w:val="22"/>
        </w:rPr>
        <w:t xml:space="preserve"> est complémentaire à la créativité humaine, non substitutif.</w:t>
      </w:r>
    </w:p>
    <w:p>
      <w:pPr>
        <w:spacing w:after="100"/>
      </w:pPr>
      <w:r>
        <w:rPr>
          <w:rFonts w:ascii="Georgia" w:cs="Georgia" w:eastAsia="Georgia" w:hAnsi="Georgia"/>
          <w:sz w:val="22"/>
          <w:szCs w:val="22"/>
        </w:rPr>
        <w:t xml:space="preserve"/>
      </w:r>
    </w:p>
    <w:p>
      <w:pPr>
        <w:pStyle w:val="Heading1"/>
        <w:pBdr>
          <w:bottom w:val="single" w:color="2C4770" w:sz="6" w:space="3"/>
        </w:pBdr>
        <w:spacing w:after="160" w:before="400"/>
      </w:pPr>
      <w:r>
        <w:rPr>
          <w:rFonts w:ascii="Arial" w:cs="Arial" w:eastAsia="Arial" w:hAnsi="Arial"/>
          <w:b/>
          <w:bCs/>
          <w:color w:val="1A3558"/>
          <w:sz w:val="27"/>
          <w:szCs w:val="27"/>
        </w:rPr>
        <w:t xml:space="preserve">8.  Conclusion</w:t>
      </w:r>
    </w:p>
    <w:p>
      <w:pPr>
        <w:spacing w:after="160" w:before="0" w:line="280"/>
        <w:jc w:val="both"/>
      </w:pPr>
      <w:r>
        <w:rPr>
          <w:rFonts w:ascii="Georgia" w:cs="Georgia" w:eastAsia="Georgia" w:hAnsi="Georgia"/>
          <w:sz w:val="22"/>
          <w:szCs w:val="22"/>
        </w:rPr>
        <w:t xml:space="preserve">Nous avons présenté l’Hypothèse de Discontinuité Temporelle Quantique (HDTQ), intuition originale de l’auteur (c. 1990), formalisée mathématiquement en 2024–2026 en collaboration avec des systèmes d’IA sous direction de l’auteur. Nous avons démontré :</w:t>
      </w:r>
    </w:p>
    <w:p>
      <w:pPr>
        <w:pStyle w:val="ListParagraph"/>
        <w:numPr>
          <w:ilvl w:val="0"/>
          <w:numId w:val="2"/>
        </w:numPr>
        <w:spacing w:after="100"/>
      </w:pPr>
      <w:r>
        <w:rPr>
          <w:rFonts w:ascii="Georgia" w:cs="Georgia" w:eastAsia="Georgia" w:hAnsi="Georgia"/>
          <w:b/>
          <w:bCs/>
          <w:sz w:val="22"/>
          <w:szCs w:val="22"/>
        </w:rPr>
        <w:t xml:space="preserve">Théorème 1 : </w:t>
      </w:r>
      <w:r>
        <w:rPr>
          <w:rFonts w:ascii="Georgia" w:cs="Georgia" w:eastAsia="Georgia" w:hAnsi="Georgia"/>
          <w:sz w:val="22"/>
          <w:szCs w:val="22"/>
        </w:rPr>
        <w:t xml:space="preserve">l’évolution intermittente préserve l’unitarité par construction dans l’espace élargi ℋ_{ext}.</w:t>
      </w:r>
    </w:p>
    <w:p>
      <w:pPr>
        <w:pStyle w:val="ListParagraph"/>
        <w:numPr>
          <w:ilvl w:val="0"/>
          <w:numId w:val="2"/>
        </w:numPr>
        <w:spacing w:after="100"/>
      </w:pPr>
      <w:r>
        <w:rPr>
          <w:rFonts w:ascii="Georgia" w:cs="Georgia" w:eastAsia="Georgia" w:hAnsi="Georgia"/>
          <w:b/>
          <w:bCs/>
          <w:sz w:val="22"/>
          <w:szCs w:val="22"/>
        </w:rPr>
        <w:t xml:space="preserve">Résultat 1 : </w:t>
      </w:r>
      <w:r>
        <w:rPr>
          <w:rFonts w:ascii="Georgia" w:cs="Georgia" w:eastAsia="Georgia" w:hAnsi="Georgia"/>
          <w:sz w:val="22"/>
          <w:szCs w:val="22"/>
        </w:rPr>
        <w:t xml:space="preserve">le mécanisme gel-amplification résout dynamiquement le problème cinématique de la mesure sans postulat de réduction.</w:t>
      </w:r>
    </w:p>
    <w:p>
      <w:pPr>
        <w:pStyle w:val="ListParagraph"/>
        <w:numPr>
          <w:ilvl w:val="0"/>
          <w:numId w:val="2"/>
        </w:numPr>
        <w:spacing w:after="100"/>
      </w:pPr>
      <w:r>
        <w:rPr>
          <w:rFonts w:ascii="Georgia" w:cs="Georgia" w:eastAsia="Georgia" w:hAnsi="Georgia"/>
          <w:b/>
          <w:bCs/>
          <w:sz w:val="22"/>
          <w:szCs w:val="22"/>
        </w:rPr>
        <w:t xml:space="preserve">Résultat 2 : </w:t>
      </w:r>
      <w:r>
        <w:rPr>
          <w:rFonts w:ascii="Georgia" w:cs="Georgia" w:eastAsia="Georgia" w:hAnsi="Georgia"/>
          <w:sz w:val="22"/>
          <w:szCs w:val="22"/>
        </w:rPr>
        <w:t xml:space="preserve">le critère de stabilité de phase temporelle sélectionne universellement la base préférée.</w:t>
      </w:r>
    </w:p>
    <w:p>
      <w:pPr>
        <w:pStyle w:val="ListParagraph"/>
        <w:numPr>
          <w:ilvl w:val="0"/>
          <w:numId w:val="2"/>
        </w:numPr>
        <w:spacing w:after="100"/>
      </w:pPr>
      <w:r>
        <w:rPr>
          <w:rFonts w:ascii="Georgia" w:cs="Georgia" w:eastAsia="Georgia" w:hAnsi="Georgia"/>
          <w:b/>
          <w:bCs/>
          <w:sz w:val="22"/>
          <w:szCs w:val="22"/>
        </w:rPr>
        <w:t xml:space="preserve">Résultat 3 (heuristique) : </w:t>
      </w:r>
      <w:r>
        <w:rPr>
          <w:rFonts w:ascii="Georgia" w:cs="Georgia" w:eastAsia="Georgia" w:hAnsi="Georgia"/>
          <w:sz w:val="22"/>
          <w:szCs w:val="22"/>
        </w:rPr>
        <w:t xml:space="preserve">la fréquence des phases actives reproduit la règle de Born.</w:t>
      </w:r>
    </w:p>
    <w:p>
      <w:pPr>
        <w:pStyle w:val="ListParagraph"/>
        <w:numPr>
          <w:ilvl w:val="0"/>
          <w:numId w:val="2"/>
        </w:numPr>
        <w:spacing w:after="100"/>
      </w:pPr>
      <w:r>
        <w:rPr>
          <w:rFonts w:ascii="Georgia" w:cs="Georgia" w:eastAsia="Georgia" w:hAnsi="Georgia"/>
          <w:b/>
          <w:bCs/>
          <w:sz w:val="22"/>
          <w:szCs w:val="22"/>
        </w:rPr>
        <w:t xml:space="preserve">Prédiction expérimentale : </w:t>
      </w:r>
      <w:r>
        <w:rPr>
          <w:rFonts w:ascii="Georgia" w:cs="Georgia" w:eastAsia="Georgia" w:hAnsi="Georgia"/>
          <w:sz w:val="22"/>
          <w:szCs w:val="22"/>
        </w:rPr>
        <w:t xml:space="preserve">δΓ ∼ 10⁻¹⁶ Hz dans les transitions E2 de ¹⁷¹Yb⁺ ; comportement en N² de τ_{coh}.</w:t>
      </w:r>
    </w:p>
    <w:p>
      <w:pPr>
        <w:spacing w:after="160" w:before="0" w:line="280"/>
        <w:jc w:val="both"/>
      </w:pPr>
      <w:r>
        <w:rPr>
          <w:rFonts w:ascii="Georgia" w:cs="Georgia" w:eastAsia="Georgia" w:hAnsi="Georgia"/>
          <w:sz w:val="22"/>
          <w:szCs w:val="22"/>
        </w:rPr>
        <w:t xml:space="preserve">Que HDTQ soit confirmée ou réfutée par les protocoles proposés, sa formalisation illustre comment une intuition analogique brute — conservée pendant trois décennies faute d’outil — peut être transformée en théorie falsifiable et en prédictions quantitatives par collaboration homme–machine structurée et dirigée.</w:t>
      </w:r>
    </w:p>
    <w:p>
      <w:pPr>
        <w:pBdr>
          <w:bottom w:val="single" w:color="BFD0E8" w:sz="4" w:space="2"/>
        </w:pBdr>
        <w:spacing w:after="100"/>
      </w:pPr>
    </w:p>
    <w:p>
      <w:pPr>
        <w:spacing w:after="100"/>
      </w:pPr>
      <w:r>
        <w:rPr>
          <w:rFonts w:ascii="Georgia" w:cs="Georgia" w:eastAsia="Georgia" w:hAnsi="Georgia"/>
          <w:sz w:val="22"/>
          <w:szCs w:val="22"/>
        </w:rPr>
        <w:t xml:space="preserve"/>
      </w:r>
    </w:p>
    <w:p>
      <w:pPr>
        <w:pStyle w:val="Heading1"/>
        <w:pBdr>
          <w:bottom w:val="single" w:color="2C4770" w:sz="6" w:space="3"/>
        </w:pBdr>
        <w:spacing w:after="160" w:before="400"/>
      </w:pPr>
      <w:r>
        <w:rPr>
          <w:rFonts w:ascii="Arial" w:cs="Arial" w:eastAsia="Arial" w:hAnsi="Arial"/>
          <w:b/>
          <w:bCs/>
          <w:color w:val="1A3558"/>
          <w:sz w:val="27"/>
          <w:szCs w:val="27"/>
        </w:rPr>
        <w:t xml:space="preserve">Références</w:t>
      </w:r>
    </w:p>
    <w:p>
      <w:pPr>
        <w:spacing w:after="160" w:before="0" w:line="280"/>
        <w:jc w:val="both"/>
      </w:pPr>
      <w:r>
        <w:rPr>
          <w:rFonts w:ascii="Georgia" w:cs="Georgia" w:eastAsia="Georgia" w:hAnsi="Georgia"/>
          <w:sz w:val="22"/>
          <w:szCs w:val="22"/>
        </w:rPr>
        <w:t xml:space="preserve">[1] Amélino-Camélia, G. (2002). Relativity in space-times with short-distance structure governed by an observer-independent (Planckian) length scale. </w:t>
      </w:r>
      <w:r>
        <w:rPr>
          <w:rFonts w:ascii="Georgia" w:cs="Georgia" w:eastAsia="Georgia" w:hAnsi="Georgia"/>
          <w:i/>
          <w:iCs/>
          <w:sz w:val="22"/>
          <w:szCs w:val="22"/>
        </w:rPr>
        <w:t xml:space="preserve">Int. J. Mod. Phys. D</w:t>
      </w:r>
      <w:r>
        <w:rPr>
          <w:rFonts w:ascii="Georgia" w:cs="Georgia" w:eastAsia="Georgia" w:hAnsi="Georgia"/>
          <w:sz w:val="22"/>
          <w:szCs w:val="22"/>
        </w:rPr>
        <w:t xml:space="preserve">, 11(1), 35–60.</w:t>
      </w:r>
    </w:p>
    <w:p>
      <w:pPr>
        <w:spacing w:after="160" w:before="0" w:line="280"/>
        <w:jc w:val="both"/>
      </w:pPr>
      <w:r>
        <w:rPr>
          <w:rFonts w:ascii="Georgia" w:cs="Georgia" w:eastAsia="Georgia" w:hAnsi="Georgia"/>
          <w:sz w:val="22"/>
          <w:szCs w:val="22"/>
        </w:rPr>
        <w:t xml:space="preserve">[2] Bombelli, L., Lee, J., Meyer, D., &amp; Sorkin, R. D. (1987). Space-time as a causal set. </w:t>
      </w:r>
      <w:r>
        <w:rPr>
          <w:rFonts w:ascii="Georgia" w:cs="Georgia" w:eastAsia="Georgia" w:hAnsi="Georgia"/>
          <w:i/>
          <w:iCs/>
          <w:sz w:val="22"/>
          <w:szCs w:val="22"/>
        </w:rPr>
        <w:t xml:space="preserve">Phys. Rev. Lett.</w:t>
      </w:r>
      <w:r>
        <w:rPr>
          <w:rFonts w:ascii="Georgia" w:cs="Georgia" w:eastAsia="Georgia" w:hAnsi="Georgia"/>
          <w:sz w:val="22"/>
          <w:szCs w:val="22"/>
        </w:rPr>
        <w:t xml:space="preserve">, 59, 521.</w:t>
      </w:r>
    </w:p>
    <w:p>
      <w:pPr>
        <w:spacing w:after="160" w:before="0" w:line="280"/>
        <w:jc w:val="both"/>
      </w:pPr>
      <w:r>
        <w:rPr>
          <w:rFonts w:ascii="Georgia" w:cs="Georgia" w:eastAsia="Georgia" w:hAnsi="Georgia"/>
          <w:sz w:val="22"/>
          <w:szCs w:val="22"/>
        </w:rPr>
        <w:t xml:space="preserve">[3] Diósi, L. (1989). Models for universal reduction of macroscopic quantum fluctuations. </w:t>
      </w:r>
      <w:r>
        <w:rPr>
          <w:rFonts w:ascii="Georgia" w:cs="Georgia" w:eastAsia="Georgia" w:hAnsi="Georgia"/>
          <w:i/>
          <w:iCs/>
          <w:sz w:val="22"/>
          <w:szCs w:val="22"/>
        </w:rPr>
        <w:t xml:space="preserve">Phys. Rev. A</w:t>
      </w:r>
      <w:r>
        <w:rPr>
          <w:rFonts w:ascii="Georgia" w:cs="Georgia" w:eastAsia="Georgia" w:hAnsi="Georgia"/>
          <w:sz w:val="22"/>
          <w:szCs w:val="22"/>
        </w:rPr>
        <w:t xml:space="preserve">, 40, 1165.</w:t>
      </w:r>
    </w:p>
    <w:p>
      <w:pPr>
        <w:spacing w:after="160" w:before="0" w:line="280"/>
        <w:jc w:val="both"/>
      </w:pPr>
      <w:r>
        <w:rPr>
          <w:rFonts w:ascii="Georgia" w:cs="Georgia" w:eastAsia="Georgia" w:hAnsi="Georgia"/>
          <w:sz w:val="22"/>
          <w:szCs w:val="22"/>
        </w:rPr>
        <w:t xml:space="preserve">[4] Fein, Y. A. et al. (2019). Quantum superposition of molecules beyond 25 000 amu. </w:t>
      </w:r>
      <w:r>
        <w:rPr>
          <w:rFonts w:ascii="Georgia" w:cs="Georgia" w:eastAsia="Georgia" w:hAnsi="Georgia"/>
          <w:i/>
          <w:iCs/>
          <w:sz w:val="22"/>
          <w:szCs w:val="22"/>
        </w:rPr>
        <w:t xml:space="preserve">Nature Physics</w:t>
      </w:r>
      <w:r>
        <w:rPr>
          <w:rFonts w:ascii="Georgia" w:cs="Georgia" w:eastAsia="Georgia" w:hAnsi="Georgia"/>
          <w:sz w:val="22"/>
          <w:szCs w:val="22"/>
        </w:rPr>
        <w:t xml:space="preserve">, 15, 1242.</w:t>
      </w:r>
    </w:p>
    <w:p>
      <w:pPr>
        <w:spacing w:after="160" w:before="0" w:line="280"/>
        <w:jc w:val="both"/>
      </w:pPr>
      <w:r>
        <w:rPr>
          <w:rFonts w:ascii="Georgia" w:cs="Georgia" w:eastAsia="Georgia" w:hAnsi="Georgia"/>
          <w:sz w:val="22"/>
          <w:szCs w:val="22"/>
        </w:rPr>
        <w:t xml:space="preserve">[5] Gambini, R. &amp; Porto, R. A. (2004). Relational time in generally covariant quantum systems. </w:t>
      </w:r>
      <w:r>
        <w:rPr>
          <w:rFonts w:ascii="Georgia" w:cs="Georgia" w:eastAsia="Georgia" w:hAnsi="Georgia"/>
          <w:i/>
          <w:iCs/>
          <w:sz w:val="22"/>
          <w:szCs w:val="22"/>
        </w:rPr>
        <w:t xml:space="preserve">Phys. Rev. D</w:t>
      </w:r>
      <w:r>
        <w:rPr>
          <w:rFonts w:ascii="Georgia" w:cs="Georgia" w:eastAsia="Georgia" w:hAnsi="Georgia"/>
          <w:sz w:val="22"/>
          <w:szCs w:val="22"/>
        </w:rPr>
        <w:t xml:space="preserve">, 63, 105014.</w:t>
      </w:r>
    </w:p>
    <w:p>
      <w:pPr>
        <w:spacing w:after="160" w:before="0" w:line="280"/>
        <w:jc w:val="both"/>
      </w:pPr>
      <w:r>
        <w:rPr>
          <w:rFonts w:ascii="Georgia" w:cs="Georgia" w:eastAsia="Georgia" w:hAnsi="Georgia"/>
          <w:sz w:val="22"/>
          <w:szCs w:val="22"/>
        </w:rPr>
        <w:t xml:space="preserve">[6] Gleason, A. M. (1957). Measures on the closed subspaces of a Hilbert space. </w:t>
      </w:r>
      <w:r>
        <w:rPr>
          <w:rFonts w:ascii="Georgia" w:cs="Georgia" w:eastAsia="Georgia" w:hAnsi="Georgia"/>
          <w:i/>
          <w:iCs/>
          <w:sz w:val="22"/>
          <w:szCs w:val="22"/>
        </w:rPr>
        <w:t xml:space="preserve">J. Math. Mech.</w:t>
      </w:r>
      <w:r>
        <w:rPr>
          <w:rFonts w:ascii="Georgia" w:cs="Georgia" w:eastAsia="Georgia" w:hAnsi="Georgia"/>
          <w:sz w:val="22"/>
          <w:szCs w:val="22"/>
        </w:rPr>
        <w:t xml:space="preserve">, 6, 885–893.</w:t>
      </w:r>
    </w:p>
    <w:p>
      <w:pPr>
        <w:spacing w:after="160" w:before="0" w:line="280"/>
        <w:jc w:val="both"/>
      </w:pPr>
      <w:r>
        <w:rPr>
          <w:rFonts w:ascii="Georgia" w:cs="Georgia" w:eastAsia="Georgia" w:hAnsi="Georgia"/>
          <w:sz w:val="22"/>
          <w:szCs w:val="22"/>
        </w:rPr>
        <w:t xml:space="preserve">[7] NIST Atomic Spectra Database. https://www.nist.gov/pml/atomic-spectra-database</w:t>
      </w:r>
    </w:p>
    <w:p>
      <w:pPr>
        <w:spacing w:after="160" w:before="0" w:line="280"/>
        <w:jc w:val="both"/>
      </w:pPr>
      <w:r>
        <w:rPr>
          <w:rFonts w:ascii="Georgia" w:cs="Georgia" w:eastAsia="Georgia" w:hAnsi="Georgia"/>
          <w:sz w:val="22"/>
          <w:szCs w:val="22"/>
        </w:rPr>
        <w:t xml:space="preserve">[8] Penrose, R. (1996). On gravity’s role in quantum state reduction. </w:t>
      </w:r>
      <w:r>
        <w:rPr>
          <w:rFonts w:ascii="Georgia" w:cs="Georgia" w:eastAsia="Georgia" w:hAnsi="Georgia"/>
          <w:i/>
          <w:iCs/>
          <w:sz w:val="22"/>
          <w:szCs w:val="22"/>
        </w:rPr>
        <w:t xml:space="preserve">Gen. Rel. Grav.</w:t>
      </w:r>
      <w:r>
        <w:rPr>
          <w:rFonts w:ascii="Georgia" w:cs="Georgia" w:eastAsia="Georgia" w:hAnsi="Georgia"/>
          <w:sz w:val="22"/>
          <w:szCs w:val="22"/>
        </w:rPr>
        <w:t xml:space="preserve">, 28, 581.</w:t>
      </w:r>
    </w:p>
    <w:p>
      <w:pPr>
        <w:spacing w:after="160" w:before="0" w:line="280"/>
        <w:jc w:val="both"/>
      </w:pPr>
      <w:r>
        <w:rPr>
          <w:rFonts w:ascii="Georgia" w:cs="Georgia" w:eastAsia="Georgia" w:hAnsi="Georgia"/>
          <w:sz w:val="22"/>
          <w:szCs w:val="22"/>
        </w:rPr>
        <w:t xml:space="preserve">[9] Rovelli, C. &amp; Smolin, L. (1995). Discreteness of area and volume in quantum gravity. </w:t>
      </w:r>
      <w:r>
        <w:rPr>
          <w:rFonts w:ascii="Georgia" w:cs="Georgia" w:eastAsia="Georgia" w:hAnsi="Georgia"/>
          <w:i/>
          <w:iCs/>
          <w:sz w:val="22"/>
          <w:szCs w:val="22"/>
        </w:rPr>
        <w:t xml:space="preserve">Nucl. Phys. B</w:t>
      </w:r>
      <w:r>
        <w:rPr>
          <w:rFonts w:ascii="Georgia" w:cs="Georgia" w:eastAsia="Georgia" w:hAnsi="Georgia"/>
          <w:sz w:val="22"/>
          <w:szCs w:val="22"/>
        </w:rPr>
        <w:t xml:space="preserve">, 442, 593.</w:t>
      </w:r>
    </w:p>
    <w:p>
      <w:pPr>
        <w:spacing w:after="160" w:before="0" w:line="280"/>
        <w:jc w:val="both"/>
      </w:pPr>
      <w:r>
        <w:rPr>
          <w:rFonts w:ascii="Georgia" w:cs="Georgia" w:eastAsia="Georgia" w:hAnsi="Georgia"/>
          <w:sz w:val="22"/>
          <w:szCs w:val="22"/>
        </w:rPr>
        <w:t xml:space="preserve">[10] Sorkin, R. D. (2003). Causal sets: Discrete gravity. </w:t>
      </w:r>
      <w:r>
        <w:rPr>
          <w:rFonts w:ascii="Georgia" w:cs="Georgia" w:eastAsia="Georgia" w:hAnsi="Georgia"/>
          <w:i/>
          <w:iCs/>
          <w:sz w:val="22"/>
          <w:szCs w:val="22"/>
        </w:rPr>
        <w:t xml:space="preserve">arXiv:gr-qc/0309009</w:t>
      </w:r>
      <w:r>
        <w:rPr>
          <w:rFonts w:ascii="Georgia" w:cs="Georgia" w:eastAsia="Georgia" w:hAnsi="Georgia"/>
          <w:sz w:val="22"/>
          <w:szCs w:val="22"/>
        </w:rPr>
        <w:t xml:space="preserve">.</w:t>
      </w:r>
    </w:p>
    <w:p>
      <w:pPr>
        <w:spacing w:after="160" w:before="0" w:line="280"/>
        <w:jc w:val="both"/>
      </w:pPr>
      <w:r>
        <w:rPr>
          <w:rFonts w:ascii="Georgia" w:cs="Georgia" w:eastAsia="Georgia" w:hAnsi="Georgia"/>
          <w:sz w:val="22"/>
          <w:szCs w:val="22"/>
        </w:rPr>
        <w:t xml:space="preserve">[11] von Neumann, J. (1932). </w:t>
      </w:r>
      <w:r>
        <w:rPr>
          <w:rFonts w:ascii="Georgia" w:cs="Georgia" w:eastAsia="Georgia" w:hAnsi="Georgia"/>
          <w:i/>
          <w:iCs/>
          <w:sz w:val="22"/>
          <w:szCs w:val="22"/>
        </w:rPr>
        <w:t xml:space="preserve">Mathematische Grundlagen der Quantenmechanik</w:t>
      </w:r>
      <w:r>
        <w:rPr>
          <w:rFonts w:ascii="Georgia" w:cs="Georgia" w:eastAsia="Georgia" w:hAnsi="Georgia"/>
          <w:sz w:val="22"/>
          <w:szCs w:val="22"/>
        </w:rPr>
        <w:t xml:space="preserve">. Springer.</w:t>
      </w:r>
    </w:p>
    <w:p>
      <w:pPr>
        <w:spacing w:after="160" w:before="0" w:line="280"/>
        <w:jc w:val="both"/>
      </w:pPr>
      <w:r>
        <w:rPr>
          <w:rFonts w:ascii="Georgia" w:cs="Georgia" w:eastAsia="Georgia" w:hAnsi="Georgia"/>
          <w:sz w:val="22"/>
          <w:szCs w:val="22"/>
        </w:rPr>
        <w:t xml:space="preserve">[12] Zurek, W. H. (1981). Pointer basis of quantum apparatus. </w:t>
      </w:r>
      <w:r>
        <w:rPr>
          <w:rFonts w:ascii="Georgia" w:cs="Georgia" w:eastAsia="Georgia" w:hAnsi="Georgia"/>
          <w:i/>
          <w:iCs/>
          <w:sz w:val="22"/>
          <w:szCs w:val="22"/>
        </w:rPr>
        <w:t xml:space="preserve">Phys. Rev. D</w:t>
      </w:r>
      <w:r>
        <w:rPr>
          <w:rFonts w:ascii="Georgia" w:cs="Georgia" w:eastAsia="Georgia" w:hAnsi="Georgia"/>
          <w:sz w:val="22"/>
          <w:szCs w:val="22"/>
        </w:rPr>
        <w:t xml:space="preserve">, 24, 1516.</w:t>
      </w:r>
    </w:p>
    <w:sectPr>
      <w:headerReference w:type="default" r:id="rId7"/>
      <w:footerReference w:type="default" r:id="rId8"/>
      <w:pgSz w:w="11909" w:h="16834" w:orient="portrait"/>
      <w:pgMar w:top="1296" w:right="1512" w:bottom="1296" w:left="1512"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BBBBBB" w:sz="4" w:space="4"/>
      </w:pBdr>
      <w:spacing w:before="60"/>
      <w:jc w:val="center"/>
    </w:pPr>
    <w:r>
      <w:rPr>
        <w:rFonts w:ascii="Arial" w:cs="Arial" w:eastAsia="Arial" w:hAnsi="Arial"/>
        <w:color w:val="999999"/>
        <w:sz w:val="17"/>
        <w:szCs w:val="17"/>
      </w:rPr>
      <w:t xml:space="preserve">Manuscrit à soumettre  ·  2026  ·  </w:t>
    </w:r>
    <w:r>
      <w:rPr>
        <w:rFonts w:ascii="Arial" w:cs="Arial" w:eastAsia="Arial" w:hAnsi="Arial"/>
        <w:color w:val="999999"/>
        <w:sz w:val="17"/>
        <w:szCs w:val="17"/>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BBBBBB" w:sz="4" w:space="4"/>
      </w:pBdr>
      <w:spacing w:after="60"/>
      <w:jc w:val="right"/>
    </w:pPr>
    <w:r>
      <w:rPr>
        <w:rFonts w:ascii="Arial" w:cs="Arial" w:eastAsia="Arial" w:hAnsi="Arial"/>
        <w:color w:val="999999"/>
        <w:sz w:val="17"/>
        <w:szCs w:val="17"/>
      </w:rPr>
      <w:t xml:space="preserve">Bakkaoui — Discontinuité Temporelle Quantique et Problème de la Mesure</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Georgia" w:cs="Georgia" w:eastAsia="Georgia" w:hAnsi="Georgia"/>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60" w:before="400"/>
      <w:outlineLvl w:val="0"/>
    </w:pPr>
    <w:rPr>
      <w:rFonts w:ascii="Arial" w:cs="Arial" w:eastAsia="Arial" w:hAnsi="Arial"/>
      <w:b/>
      <w:bCs/>
      <w:color w:val="1A3558"/>
      <w:sz w:val="27"/>
      <w:szCs w:val="27"/>
    </w:rPr>
  </w:style>
  <w:style w:type="paragraph" w:styleId="Heading2">
    <w:name w:val="Heading 2"/>
    <w:basedOn w:val="Normal"/>
    <w:next w:val="Normal"/>
    <w:qFormat/>
    <w:pPr>
      <w:spacing w:after="100" w:before="280"/>
      <w:outlineLvl w:val="1"/>
    </w:pPr>
    <w:rPr>
      <w:rFonts w:ascii="Arial" w:cs="Arial" w:eastAsia="Arial" w:hAnsi="Arial"/>
      <w:b/>
      <w:bCs/>
      <w:color w:val="2C4770"/>
      <w:sz w:val="24"/>
      <w:szCs w:val="24"/>
    </w:rPr>
  </w:style>
  <w:style w:type="paragraph" w:styleId="Heading3">
    <w:name w:val="Heading 3"/>
    <w:basedOn w:val="Normal"/>
    <w:next w:val="Normal"/>
    <w:qFormat/>
    <w:pPr>
      <w:spacing w:after="80" w:before="200"/>
      <w:outlineLvl w:val="2"/>
    </w:pPr>
    <w:rPr>
      <w:rFonts w:ascii="Arial" w:cs="Arial" w:eastAsia="Arial" w:hAnsi="Arial"/>
      <w:b/>
      <w:bCs/>
      <w:i/>
      <w:iCs/>
      <w:color w:val="3A5F8A"/>
      <w:sz w:val="22"/>
      <w:szCs w:val="22"/>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image" Target="media/446a29aa533729411d2d64487ecc09657898f8df.undefined"/><Relationship Id="rId10" Type="http://schemas.openxmlformats.org/officeDocument/2006/relationships/image" Target="media/9cbbaf3558c4faad2904c80394c352fae6fffd60.undefined"/><Relationship Id="rId11"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2026-04-28T03:50:53.016Z</dcterms:created>
  <dcterms:modified xsi:type="dcterms:W3CDTF">2026-04-28T03:50:53.017Z</dcterms:modified>
</cp:coreProperties>
</file>

<file path=docProps/custom.xml><?xml version="1.0" encoding="utf-8"?>
<Properties xmlns="http://schemas.openxmlformats.org/officeDocument/2006/custom-properties" xmlns:vt="http://schemas.openxmlformats.org/officeDocument/2006/docPropsVTypes"/>
</file>