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4F72"/>
          <w:sz w:val="48"/>
          <w:szCs w:val="48"/>
        </w:rPr>
        <w:t xml:space="preserve">Lakebridge vs. Migration Utility</w:t>
      </w:r>
    </w:p>
    <w:p>
      <w:pPr>
        <w:spacing w:after="40"/>
        <w:jc w:val="center"/>
      </w:pPr>
      <w:r>
        <w:rPr>
          <w:rFonts w:ascii="Arial" w:cs="Arial" w:eastAsia="Arial" w:hAnsi="Arial"/>
          <w:color w:val="2E75B6"/>
          <w:sz w:val="28"/>
          <w:szCs w:val="28"/>
        </w:rPr>
        <w:t xml:space="preserve">Comparative Analysis</w:t>
      </w:r>
    </w:p>
    <w:p>
      <w:pPr>
        <w:spacing w:after="400"/>
        <w:jc w:val="center"/>
      </w:pPr>
      <w:r>
        <w:rPr>
          <w:rFonts w:ascii="Arial" w:cs="Arial" w:eastAsia="Arial" w:hAnsi="Arial"/>
          <w:color w:val="666666"/>
          <w:sz w:val="20"/>
          <w:szCs w:val="20"/>
        </w:rPr>
        <w:t xml:space="preserve">February 27, 2026  |  Hemanta Banerjee  |  Accelerate Data</w:t>
      </w:r>
    </w:p>
    <w:p>
      <w:pPr>
        <w:pBdr>
          <w:bottom w:val="single" w:color="1B4F72" w:sz="6" w:space="1"/>
        </w:pBdr>
        <w:spacing w:after="0"/>
      </w:pPr>
    </w:p>
    <w:p>
      <w:pPr>
        <w:spacing w:after="200"/>
      </w:pPr>
    </w:p>
    <w:p>
      <w:pPr>
        <w:pStyle w:val="Heading1"/>
        <w:spacing w:after="200" w:before="360"/>
      </w:pPr>
      <w:r>
        <w:rPr>
          <w:rFonts w:ascii="Arial" w:cs="Arial" w:eastAsia="Arial" w:hAnsi="Arial"/>
          <w:b/>
          <w:bCs/>
          <w:color w:val="1B4F72"/>
          <w:sz w:val="32"/>
          <w:szCs w:val="32"/>
        </w:rPr>
        <w:t xml:space="preserve">1. Executive Summary</w:t>
      </w:r>
    </w:p>
    <w:p>
      <w:pPr>
        <w:spacing w:after="160"/>
      </w:pPr>
      <w:r>
        <w:rPr>
          <w:rFonts w:ascii="Arial" w:cs="Arial" w:eastAsia="Arial" w:hAnsi="Arial"/>
          <w:sz w:val="22"/>
          <w:szCs w:val="22"/>
        </w:rPr>
        <w:t xml:space="preserve">This report compares Databricks Lakebridge with your Migration Utility to assess alignment and identify differentiation. The two tools solve related but fundamentally different problems. Lakebridge is a SQL transpiler that converts legacy warehouse code to Databricks SQL. Your Migration Utility is an agentic pipeline that converts Fabric Warehouse stored procedures into dbt models on Vibedata’s platform, complete with unit tests, dependency resolution, and production-ready CI/CD.</w:t>
      </w:r>
    </w:p>
    <w:p>
      <w:pPr>
        <w:spacing w:after="160"/>
      </w:pPr>
      <w:r>
        <w:rPr>
          <w:rFonts w:ascii="Arial" w:cs="Arial" w:eastAsia="Arial" w:hAnsi="Arial"/>
          <w:sz w:val="22"/>
          <w:szCs w:val="22"/>
        </w:rPr>
        <w:t xml:space="preserve">Bottom line: the approaches are not aligned because the target platforms, migration philosophies, and post-migration outcomes are entirely different. Your approach is significantly more ambitious in scope and delivers a production-ready, tested, observable dbt project — not just transpiled SQL files.</w:t>
      </w:r>
    </w:p>
    <w:r>
      <w:br w:type="page"/>
    </w:r>
    <w:p>
      <w:pPr>
        <w:pStyle w:val="Heading1"/>
        <w:spacing w:after="200" w:before="360"/>
      </w:pPr>
      <w:r>
        <w:rPr>
          <w:rFonts w:ascii="Arial" w:cs="Arial" w:eastAsia="Arial" w:hAnsi="Arial"/>
          <w:b/>
          <w:bCs/>
          <w:color w:val="1B4F72"/>
          <w:sz w:val="32"/>
          <w:szCs w:val="32"/>
        </w:rPr>
        <w:t xml:space="preserve">2. What Lakebridge Is</w:t>
      </w:r>
    </w:p>
    <w:p>
      <w:pPr>
        <w:spacing w:after="160"/>
      </w:pPr>
      <w:r>
        <w:rPr>
          <w:rFonts w:ascii="Arial" w:cs="Arial" w:eastAsia="Arial" w:hAnsi="Arial"/>
          <w:sz w:val="22"/>
          <w:szCs w:val="22"/>
        </w:rPr>
        <w:t xml:space="preserve">Lakebridge is a free, open-source CLI toolkit from Databricks (built on their BladeBridge acquisition). It targets migrations to Databricks SQL from 20+ legacy warehouse and ETL systems including SQL Server, Teradata, Oracle, Snowflake, and Informatica.</w:t>
      </w:r>
    </w:p>
    <w:p>
      <w:pPr>
        <w:pStyle w:val="Heading2"/>
        <w:spacing w:after="160" w:before="280"/>
      </w:pPr>
      <w:r>
        <w:rPr>
          <w:rFonts w:ascii="Arial" w:cs="Arial" w:eastAsia="Arial" w:hAnsi="Arial"/>
          <w:b/>
          <w:bCs/>
          <w:color w:val="2E75B6"/>
          <w:sz w:val="26"/>
          <w:szCs w:val="26"/>
        </w:rPr>
        <w:t xml:space="preserve">2.1 Three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2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Analyzer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Scans legacy SQL files and generates an Excel inventory report with complexity metrics, cursor counts, loop counts, and line counts.</w:t>
            </w:r>
          </w:p>
        </w:tc>
        <w:tc>
          <w:tcPr>
            <w:tcW w:type="dxa" w:w="3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Processed 3,500+ SQL files in under 10 minutes in documented cases.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Transpiler (Converter)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Rule-based engine that converts source SQL dialects (T-SQL, PL/SQL, BTEQ) to Spark SQL / Databricks SQL.</w:t>
            </w:r>
          </w:p>
        </w:tc>
        <w:tc>
          <w:tcPr>
            <w:tcW w:type="dxa" w:w="3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80% automation. Uses deterministic rule-based conversion, not AI. Custom rules can be added for edge cases.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Reconciler (Validator)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Compares source and target data via row-hash, schema validation, and column-level matching.</w:t>
            </w:r>
          </w:p>
        </w:tc>
        <w:tc>
          <w:tcPr>
            <w:tcW w:type="dxa" w:w="3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Currently supports Snowflake, Oracle, and Databricks as comparison sources. Does not perform value-level comparison per Datafold’s analysis.</w:t>
            </w:r>
          </w:p>
        </w:tc>
      </w:tr>
    </w:tbl>
    <w:p>
      <w:pPr>
        <w:spacing w:after="200"/>
      </w:pPr>
    </w:p>
    <w:p>
      <w:pPr>
        <w:pStyle w:val="Heading2"/>
        <w:spacing w:after="160" w:before="280"/>
      </w:pPr>
      <w:r>
        <w:rPr>
          <w:rFonts w:ascii="Arial" w:cs="Arial" w:eastAsia="Arial" w:hAnsi="Arial"/>
          <w:b/>
          <w:bCs/>
          <w:color w:val="2E75B6"/>
          <w:sz w:val="26"/>
          <w:szCs w:val="26"/>
        </w:rPr>
        <w:t xml:space="preserve">2.2 Migration Workflow</w:t>
      </w:r>
    </w:p>
    <w:p>
      <w:pPr>
        <w:spacing w:after="160"/>
      </w:pPr>
      <w:r>
        <w:rPr>
          <w:rFonts w:ascii="Arial" w:cs="Arial" w:eastAsia="Arial" w:hAnsi="Arial"/>
          <w:sz w:val="22"/>
          <w:szCs w:val="22"/>
        </w:rPr>
        <w:t xml:space="preserve">Lakebridge follows a linear, file-based workflow: export SQL files from legacy warehouse into a directory → run Analyzer to assess complexity → run Transpiler on sample files first, then full batch → deploy converted Spark SQL as Databricks jobs → run Reconciler to validate data consistency. The output is Spark SQL files, not dbt models or any transformation framework artifact.</w:t>
      </w:r>
    </w:p>
    <w:p>
      <w:pPr>
        <w:pStyle w:val="Heading2"/>
        <w:spacing w:after="160" w:before="280"/>
      </w:pPr>
      <w:r>
        <w:rPr>
          <w:rFonts w:ascii="Arial" w:cs="Arial" w:eastAsia="Arial" w:hAnsi="Arial"/>
          <w:b/>
          <w:bCs/>
          <w:color w:val="2E75B6"/>
          <w:sz w:val="26"/>
          <w:szCs w:val="26"/>
        </w:rPr>
        <w:t xml:space="preserve">2.3 What Lakebridge Does NOT 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67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dbt output</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Converts to raw Spark SQL files. Does not produce dbt models, tests, schema.yml, or semantic models.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dependency graph</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automated dependency resolution or parallel execution based on lineage.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unit tests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test generation of any kind. Testing is limited to data reconciliation after migration.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CI/CD</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Outputs SQL files. Deployment, CI/CD, and orchestration are manual.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ADF/pipeline awareness</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Does not parse ADF pipeline definitions for execution order, parameters, or conditional logic.</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Databricks-only target</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Cannot target Fabric Lakehouse, Snowflake, BigQuery, or any other platform.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AI in transpilation</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Current version uses rule-based conversion. AI/RL features are on the roadmap but not shipped.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observability</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post-migration monitoring, alerting, or production operations support.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institutional knowledge</w:t>
            </w:r>
          </w:p>
        </w:tc>
        <w:tc>
          <w:tcPr>
            <w:tcW w:type="dxa" w:w="67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skills, memory, or knowledge accumulation across migrations.</w:t>
            </w:r>
          </w:p>
        </w:tc>
      </w:tr>
    </w:tbl>
    <w:r>
      <w:br w:type="page"/>
    </w:r>
    <w:p>
      <w:pPr>
        <w:pStyle w:val="Heading1"/>
        <w:spacing w:after="200" w:before="360"/>
      </w:pPr>
      <w:r>
        <w:rPr>
          <w:rFonts w:ascii="Arial" w:cs="Arial" w:eastAsia="Arial" w:hAnsi="Arial"/>
          <w:b/>
          <w:bCs/>
          <w:color w:val="1B4F72"/>
          <w:sz w:val="32"/>
          <w:szCs w:val="32"/>
        </w:rPr>
        <w:t xml:space="preserve">3. Your Migration Utility Approach</w:t>
      </w:r>
    </w:p>
    <w:p>
      <w:pPr>
        <w:spacing w:after="160"/>
      </w:pPr>
      <w:r>
        <w:rPr>
          <w:rFonts w:ascii="Arial" w:cs="Arial" w:eastAsia="Arial" w:hAnsi="Arial"/>
          <w:sz w:val="22"/>
          <w:szCs w:val="22"/>
        </w:rPr>
        <w:t xml:space="preserve">Your utility targets a specific, well-defined problem: migrating Fabric Warehouse stored procedures (T-SQL, orchestrated by ADF pipelines) to dbt models running on Fabric Lakehouse via Vibedata’s platform. It is scoped to silver and gold transformations only.</w:t>
      </w:r>
    </w:p>
    <w:p>
      <w:pPr>
        <w:pStyle w:val="Heading2"/>
        <w:spacing w:after="160" w:before="280"/>
      </w:pPr>
      <w:r>
        <w:rPr>
          <w:rFonts w:ascii="Arial" w:cs="Arial" w:eastAsia="Arial" w:hAnsi="Arial"/>
          <w:b/>
          <w:bCs/>
          <w:color w:val="2E75B6"/>
          <w:sz w:val="26"/>
          <w:szCs w:val="26"/>
        </w:rPr>
        <w:t xml:space="preserve">3.1 Architecture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92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Setup UI</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Tauri + React + SQLite</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Scope selection, candidacy review, table config. Persists state locally; pushes finalized config to plan.md.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Orchestrator</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Agent SDK (Python)</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Reads plan.md, builds dependency graph, spawns sub-agents in parallel, handles BLOCKED/RESOLVED.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Sub-agents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Agent SDK AgentDefinition</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Candidacy, Translation, Test Generation, Validation — each with scoped tools.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dbt interaction</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dbt-core-mcp</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Lineage, compiled SQL, model execution, validation queries via MCP.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Runtime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GitHub Actions</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Headless execution with session resumption.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plan.md (git-backed)</w:t>
            </w:r>
          </w:p>
        </w:tc>
        <w:tc>
          <w:tcPr>
            <w:tcW w:type="dxa" w:w="4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Progress, dependencies, start/stop resumption.</w:t>
            </w:r>
          </w:p>
        </w:tc>
      </w:tr>
    </w:tbl>
    <w:p>
      <w:pPr>
        <w:spacing w:after="200"/>
      </w:pPr>
    </w:p>
    <w:p>
      <w:pPr>
        <w:pStyle w:val="Heading2"/>
        <w:spacing w:after="160" w:before="280"/>
      </w:pPr>
      <w:r>
        <w:rPr>
          <w:rFonts w:ascii="Arial" w:cs="Arial" w:eastAsia="Arial" w:hAnsi="Arial"/>
          <w:b/>
          <w:bCs/>
          <w:color w:val="2E75B6"/>
          <w:sz w:val="26"/>
          <w:szCs w:val="26"/>
        </w:rPr>
        <w:t xml:space="preserve">3.2 Key Differentiators vs. Lakebridge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Migration Utility</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Lakebridge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Scoping</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Table-first: FDE selects domain tables, agent traces to producing stored proc via ADF pipeline definitions.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File-based: user exports SQL files into a directory.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Candidacy</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Three-tier classification (Migrate/Review/Reject) with blocking pattern detection. FDE can override.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Analyzer reports complexity metrics but does not classify or recommend.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Translation target</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dbt models (SQL) with schema.yml, contracts, and semantic models.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Raw Spark SQL files.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Dependency resolution</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Builds dependency graph from ADF pipelines. Independent models run in parallel. Blocked models wait.</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None. Files are converted independently.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Testing</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Generates dbt unit tests + YAML fixtures from point-in-time snapshots. Both must pass before PR.</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reconciliation only (row-hash, schema). No unit tests.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PII handling</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Agent recommends PII columns per table; FDE confirms; columns masked before fixture generation.</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CI/CD integration</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Pushes to production repo branch. Standard Vibedata CI/CD (deploy agents, quality gates, skills enforcement).</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None. Manual deployment.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Post-migration</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Vibedata operators for monitoring, triage, diagnosis, remediation. Skills accumulate.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None. Migration is a one-time event.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State management</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plan.md in git. Session resumption across runs. BLOCKED/RESOLVED workflow.</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Stateless CLI runs.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AI/Agent approach</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Agent SDK with specialized sub-agents, each with scoped tools and domain skills.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Rule-based transpilation. AI features on roadmap.</w:t>
            </w:r>
          </w:p>
        </w:tc>
      </w:tr>
    </w:tbl>
    <w:r>
      <w:br w:type="page"/>
    </w:r>
    <w:p>
      <w:pPr>
        <w:pStyle w:val="Heading1"/>
        <w:spacing w:after="200" w:before="360"/>
      </w:pPr>
      <w:r>
        <w:rPr>
          <w:rFonts w:ascii="Arial" w:cs="Arial" w:eastAsia="Arial" w:hAnsi="Arial"/>
          <w:b/>
          <w:bCs/>
          <w:color w:val="1B4F72"/>
          <w:sz w:val="32"/>
          <w:szCs w:val="32"/>
        </w:rPr>
        <w:t xml:space="preserve">4. Detailed Phase-by-Phase Comparison</w:t>
      </w:r>
    </w:p>
    <w:p>
      <w:pPr>
        <w:pStyle w:val="Heading2"/>
        <w:spacing w:after="160" w:before="280"/>
      </w:pPr>
      <w:r>
        <w:rPr>
          <w:rFonts w:ascii="Arial" w:cs="Arial" w:eastAsia="Arial" w:hAnsi="Arial"/>
          <w:b/>
          <w:bCs/>
          <w:color w:val="2E75B6"/>
          <w:sz w:val="26"/>
          <w:szCs w:val="26"/>
        </w:rPr>
        <w:t xml:space="preserve">4.1 Assessment Phase</w:t>
      </w:r>
    </w:p>
    <w:p>
      <w:pPr>
        <w:spacing w:after="160"/>
      </w:pPr>
      <w:r>
        <w:rPr>
          <w:rFonts w:ascii="Arial" w:cs="Arial" w:eastAsia="Arial" w:hAnsi="Arial"/>
          <w:b/>
          <w:bCs/>
          <w:sz w:val="22"/>
          <w:szCs w:val="22"/>
        </w:rPr>
        <w:t xml:space="preserve">Lakebridge: </w:t>
      </w:r>
      <w:r>
        <w:rPr>
          <w:rFonts w:ascii="Arial" w:cs="Arial" w:eastAsia="Arial" w:hAnsi="Arial"/>
          <w:sz w:val="22"/>
          <w:szCs w:val="22"/>
        </w:rPr>
        <w:t xml:space="preserve">Analyzer scans SQL files and produces an Excel inventory. Complexity is measured by line count, cursor count, and loop count. The output is informational — it does not drive any automated decision.</w:t>
      </w:r>
    </w:p>
    <w:p>
      <w:pPr>
        <w:spacing w:after="160"/>
      </w:pPr>
      <w:r>
        <w:rPr>
          <w:rFonts w:ascii="Arial" w:cs="Arial" w:eastAsia="Arial" w:hAnsi="Arial"/>
          <w:b/>
          <w:bCs/>
          <w:sz w:val="22"/>
          <w:szCs w:val="22"/>
        </w:rPr>
        <w:t xml:space="preserve">Your approach: </w:t>
      </w:r>
      <w:r>
        <w:rPr>
          <w:rFonts w:ascii="Arial" w:cs="Arial" w:eastAsia="Arial" w:hAnsi="Arial"/>
          <w:sz w:val="22"/>
          <w:szCs w:val="22"/>
        </w:rPr>
        <w:t xml:space="preserve">Table-first scope selection by the FDE, then the candidacy agent classifies each stored procedure into Migrate/Review/Reject tiers based on SQL-expressibility percentage and blocking pattern detection. ADF pipeline definitions provide execution order and parameter context. This classification directly drives what the engine works on.</w:t>
      </w:r>
    </w:p>
    <w:p>
      <w:pPr>
        <w:spacing w:after="160"/>
      </w:pPr>
      <w:r>
        <w:rPr>
          <w:rFonts w:ascii="Arial" w:cs="Arial" w:eastAsia="Arial" w:hAnsi="Arial"/>
          <w:b/>
          <w:bCs/>
          <w:sz w:val="22"/>
          <w:szCs w:val="22"/>
        </w:rPr>
        <w:t xml:space="preserve">Assessment: </w:t>
      </w:r>
      <w:r>
        <w:rPr>
          <w:rFonts w:ascii="Arial" w:cs="Arial" w:eastAsia="Arial" w:hAnsi="Arial"/>
          <w:sz w:val="22"/>
          <w:szCs w:val="22"/>
        </w:rPr>
        <w:t xml:space="preserve">Your approach is stronger. It connects assessment to action and gives the FDE a structured decision framework rather than a spreadsheet to interpret.</w:t>
      </w:r>
    </w:p>
    <w:p>
      <w:pPr>
        <w:pStyle w:val="Heading2"/>
        <w:spacing w:after="160" w:before="280"/>
      </w:pPr>
      <w:r>
        <w:rPr>
          <w:rFonts w:ascii="Arial" w:cs="Arial" w:eastAsia="Arial" w:hAnsi="Arial"/>
          <w:b/>
          <w:bCs/>
          <w:color w:val="2E75B6"/>
          <w:sz w:val="26"/>
          <w:szCs w:val="26"/>
        </w:rPr>
        <w:t xml:space="preserve">4.2 Conversion Phase</w:t>
      </w:r>
    </w:p>
    <w:p>
      <w:pPr>
        <w:spacing w:after="160"/>
      </w:pPr>
      <w:r>
        <w:rPr>
          <w:rFonts w:ascii="Arial" w:cs="Arial" w:eastAsia="Arial" w:hAnsi="Arial"/>
          <w:b/>
          <w:bCs/>
          <w:sz w:val="22"/>
          <w:szCs w:val="22"/>
        </w:rPr>
        <w:t xml:space="preserve">Lakebridge: </w:t>
      </w:r>
      <w:r>
        <w:rPr>
          <w:rFonts w:ascii="Arial" w:cs="Arial" w:eastAsia="Arial" w:hAnsi="Arial"/>
          <w:sz w:val="22"/>
          <w:szCs w:val="22"/>
        </w:rPr>
        <w:t xml:space="preserve">Rule-based transpiler converts T-SQL to Spark SQL. Custom rules can be added for edge cases. Output is raw SQL files with no framework structure. Handles 80% of patterns automatically according to Databricks.</w:t>
      </w:r>
    </w:p>
    <w:p>
      <w:pPr>
        <w:spacing w:after="160"/>
      </w:pPr>
      <w:r>
        <w:rPr>
          <w:rFonts w:ascii="Arial" w:cs="Arial" w:eastAsia="Arial" w:hAnsi="Arial"/>
          <w:b/>
          <w:bCs/>
          <w:sz w:val="22"/>
          <w:szCs w:val="22"/>
        </w:rPr>
        <w:t xml:space="preserve">Your approach: </w:t>
      </w:r>
      <w:r>
        <w:rPr>
          <w:rFonts w:ascii="Arial" w:cs="Arial" w:eastAsia="Arial" w:hAnsi="Arial"/>
          <w:sz w:val="22"/>
          <w:szCs w:val="22"/>
        </w:rPr>
        <w:t xml:space="preserve">LLM-powered translation agent converts stored procedures to dbt models with schema.yml, dbt contracts, semantic models, and unit tests. The agent uses dbt-core-mcp for lineage resolution and compiled SQL validation. Dependency-aware parallel execution means independent models convert simultaneously.</w:t>
      </w:r>
    </w:p>
    <w:p>
      <w:pPr>
        <w:spacing w:after="160"/>
      </w:pPr>
      <w:r>
        <w:rPr>
          <w:rFonts w:ascii="Arial" w:cs="Arial" w:eastAsia="Arial" w:hAnsi="Arial"/>
          <w:b/>
          <w:bCs/>
          <w:sz w:val="22"/>
          <w:szCs w:val="22"/>
        </w:rPr>
        <w:t xml:space="preserve">Assessment: </w:t>
      </w:r>
      <w:r>
        <w:rPr>
          <w:rFonts w:ascii="Arial" w:cs="Arial" w:eastAsia="Arial" w:hAnsi="Arial"/>
          <w:sz w:val="22"/>
          <w:szCs w:val="22"/>
        </w:rPr>
        <w:t xml:space="preserve">Different paradigms. Lakebridge produces transpiled SQL (lift-and-shift). You produce a fully structured dbt project (modernization). The dbt output integrates with CI/CD, testing, and observability — Lakebridge’s output requires all of that to be built separately.</w:t>
      </w:r>
    </w:p>
    <w:p>
      <w:pPr>
        <w:pStyle w:val="Heading2"/>
        <w:spacing w:after="160" w:before="280"/>
      </w:pPr>
      <w:r>
        <w:rPr>
          <w:rFonts w:ascii="Arial" w:cs="Arial" w:eastAsia="Arial" w:hAnsi="Arial"/>
          <w:b/>
          <w:bCs/>
          <w:color w:val="2E75B6"/>
          <w:sz w:val="26"/>
          <w:szCs w:val="26"/>
        </w:rPr>
        <w:t xml:space="preserve">4.3 Validation Phase</w:t>
      </w:r>
    </w:p>
    <w:p>
      <w:pPr>
        <w:spacing w:after="160"/>
      </w:pPr>
      <w:r>
        <w:rPr>
          <w:rFonts w:ascii="Arial" w:cs="Arial" w:eastAsia="Arial" w:hAnsi="Arial"/>
          <w:b/>
          <w:bCs/>
          <w:sz w:val="22"/>
          <w:szCs w:val="22"/>
        </w:rPr>
        <w:t xml:space="preserve">Lakebridge: </w:t>
      </w:r>
      <w:r>
        <w:rPr>
          <w:rFonts w:ascii="Arial" w:cs="Arial" w:eastAsia="Arial" w:hAnsi="Arial"/>
          <w:sz w:val="22"/>
          <w:szCs w:val="22"/>
        </w:rPr>
        <w:t xml:space="preserve">Reconciler compares source/target data via row-hash and schema validation. No value-level comparison. No unit tests.</w:t>
      </w:r>
    </w:p>
    <w:p>
      <w:pPr>
        <w:spacing w:after="160"/>
      </w:pPr>
      <w:r>
        <w:rPr>
          <w:rFonts w:ascii="Arial" w:cs="Arial" w:eastAsia="Arial" w:hAnsi="Arial"/>
          <w:b/>
          <w:bCs/>
          <w:sz w:val="22"/>
          <w:szCs w:val="22"/>
        </w:rPr>
        <w:t xml:space="preserve">Your approach: </w:t>
      </w:r>
      <w:r>
        <w:rPr>
          <w:rFonts w:ascii="Arial" w:cs="Arial" w:eastAsia="Arial" w:hAnsi="Arial"/>
          <w:sz w:val="22"/>
          <w:szCs w:val="22"/>
        </w:rPr>
        <w:t xml:space="preserve">Three layers of validation. (1) dbt unit tests with YAML fixtures generated from point-in-time snapshots. (2) dbt build must pass. (3) Post-PR, Vibedata CI/CD provisions an ephemeral Fabric workspace for parallel-run UAT against live production data. Domain owner signs off.</w:t>
      </w:r>
    </w:p>
    <w:p>
      <w:pPr>
        <w:spacing w:after="160"/>
      </w:pPr>
      <w:r>
        <w:rPr>
          <w:rFonts w:ascii="Arial" w:cs="Arial" w:eastAsia="Arial" w:hAnsi="Arial"/>
          <w:b/>
          <w:bCs/>
          <w:sz w:val="22"/>
          <w:szCs w:val="22"/>
        </w:rPr>
        <w:t xml:space="preserve">Assessment: </w:t>
      </w:r>
      <w:r>
        <w:rPr>
          <w:rFonts w:ascii="Arial" w:cs="Arial" w:eastAsia="Arial" w:hAnsi="Arial"/>
          <w:sz w:val="22"/>
          <w:szCs w:val="22"/>
        </w:rPr>
        <w:t xml:space="preserve">Significantly stronger. Your testing carries into production (unit tests are permanent artifacts). Lakebridge’s reconciliation is a one-time check with no ongoing value.</w:t>
      </w:r>
    </w:p>
    <w:p>
      <w:pPr>
        <w:pStyle w:val="Heading2"/>
        <w:spacing w:after="160" w:before="280"/>
      </w:pPr>
      <w:r>
        <w:rPr>
          <w:rFonts w:ascii="Arial" w:cs="Arial" w:eastAsia="Arial" w:hAnsi="Arial"/>
          <w:b/>
          <w:bCs/>
          <w:color w:val="2E75B6"/>
          <w:sz w:val="26"/>
          <w:szCs w:val="26"/>
        </w:rPr>
        <w:t xml:space="preserve">4.4 Post-Migration</w:t>
      </w:r>
    </w:p>
    <w:p>
      <w:pPr>
        <w:spacing w:after="160"/>
      </w:pPr>
      <w:r>
        <w:rPr>
          <w:rFonts w:ascii="Arial" w:cs="Arial" w:eastAsia="Arial" w:hAnsi="Arial"/>
          <w:b/>
          <w:bCs/>
          <w:sz w:val="22"/>
          <w:szCs w:val="22"/>
        </w:rPr>
        <w:t xml:space="preserve">Lakebridge: </w:t>
      </w:r>
      <w:r>
        <w:rPr>
          <w:rFonts w:ascii="Arial" w:cs="Arial" w:eastAsia="Arial" w:hAnsi="Arial"/>
          <w:sz w:val="22"/>
          <w:szCs w:val="22"/>
        </w:rPr>
        <w:t xml:space="preserve">Nothing. Migration is complete when SQL files are converted and data is reconciled.</w:t>
      </w:r>
    </w:p>
    <w:p>
      <w:pPr>
        <w:spacing w:after="160"/>
      </w:pPr>
      <w:r>
        <w:rPr>
          <w:rFonts w:ascii="Arial" w:cs="Arial" w:eastAsia="Arial" w:hAnsi="Arial"/>
          <w:b/>
          <w:bCs/>
          <w:sz w:val="22"/>
          <w:szCs w:val="22"/>
        </w:rPr>
        <w:t xml:space="preserve">Your approach: </w:t>
      </w:r>
      <w:r>
        <w:rPr>
          <w:rFonts w:ascii="Arial" w:cs="Arial" w:eastAsia="Arial" w:hAnsi="Arial"/>
          <w:sz w:val="22"/>
          <w:szCs w:val="22"/>
        </w:rPr>
        <w:t xml:space="preserve">The migrated code enters Vibedata’s production environment with observability (Elementary anomaly detection), operator agents (triage, diagnose, remediate), and the improvement flywheel where skills accumulate from every incident resolved.</w:t>
      </w:r>
    </w:p>
    <w:p>
      <w:pPr>
        <w:spacing w:after="160"/>
      </w:pPr>
      <w:r>
        <w:rPr>
          <w:rFonts w:ascii="Arial" w:cs="Arial" w:eastAsia="Arial" w:hAnsi="Arial"/>
          <w:b/>
          <w:bCs/>
          <w:sz w:val="22"/>
          <w:szCs w:val="22"/>
        </w:rPr>
        <w:t xml:space="preserve">Assessment: </w:t>
      </w:r>
      <w:r>
        <w:rPr>
          <w:rFonts w:ascii="Arial" w:cs="Arial" w:eastAsia="Arial" w:hAnsi="Arial"/>
          <w:sz w:val="22"/>
          <w:szCs w:val="22"/>
        </w:rPr>
        <w:t xml:space="preserve">This is the biggest gap. Lakebridge treats migration as a project. Your approach treats it as the onramp to an ongoing platform.</w:t>
      </w:r>
    </w:p>
    <w:r>
      <w:br w:type="page"/>
    </w:r>
    <w:p>
      <w:pPr>
        <w:pStyle w:val="Heading1"/>
        <w:spacing w:after="200" w:before="360"/>
      </w:pPr>
      <w:r>
        <w:rPr>
          <w:rFonts w:ascii="Arial" w:cs="Arial" w:eastAsia="Arial" w:hAnsi="Arial"/>
          <w:b/>
          <w:bCs/>
          <w:color w:val="1B4F72"/>
          <w:sz w:val="32"/>
          <w:szCs w:val="32"/>
        </w:rPr>
        <w:t xml:space="preserve">5. Alignment Assessment</w:t>
      </w:r>
    </w:p>
    <w:p>
      <w:pPr>
        <w:spacing w:after="160"/>
      </w:pPr>
      <w:r>
        <w:rPr>
          <w:rFonts w:ascii="Arial" w:cs="Arial" w:eastAsia="Arial" w:hAnsi="Arial"/>
          <w:sz w:val="22"/>
          <w:szCs w:val="22"/>
        </w:rPr>
        <w:t xml:space="preserve">Your approach is not aligned with Lakebridge — and that is the correct strategic position. Here is why: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2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Alignment?</w:t>
            </w:r>
          </w:p>
        </w:tc>
        <w:tc>
          <w:tcPr>
            <w:tcW w:type="dxa" w:w="53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Target platform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20"/>
                <w:szCs w:val="20"/>
              </w:rPr>
              <w:t xml:space="preserve">Not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Lakebridge targets Databricks. You target Fabric Lakehouse via dbt.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Output format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20"/>
                <w:szCs w:val="20"/>
              </w:rPr>
              <w:t xml:space="preserve">Not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Lakebridge outputs raw SQL. You output a production-ready dbt project.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Migration philosophy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20"/>
                <w:szCs w:val="20"/>
              </w:rPr>
              <w:t xml:space="preserve">Not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Lakebridge is lift-and-shift transpilation. You do modernization with testing, CI/CD, and observability.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Source scope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7700"/>
                <w:sz w:val="20"/>
                <w:szCs w:val="20"/>
              </w:rPr>
              <w:t xml:space="preserve">Partially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Both handle T-SQL stored procedures. You additionally parse ADF pipelines for orchestration context.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Assessment approach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7700"/>
                <w:sz w:val="20"/>
                <w:szCs w:val="20"/>
              </w:rPr>
              <w:t xml:space="preserve">Partially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Both assess complexity. You go further with actionable tier classification.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Automation level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20"/>
                <w:szCs w:val="20"/>
              </w:rPr>
              <w:t xml:space="preserve">Not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Lakebridge is a CLI tool. You use agentic AI with specialized sub-agents.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Post-migration story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20"/>
                <w:szCs w:val="20"/>
              </w:rPr>
              <w:t xml:space="preserve">Not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Lakebridge has none. You have full production operations.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Testing strategy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20"/>
                <w:szCs w:val="20"/>
              </w:rPr>
              <w:t xml:space="preserve">Not aligned</w:t>
            </w:r>
          </w:p>
        </w:tc>
        <w:tc>
          <w:tcPr>
            <w:tcW w:type="dxa" w:w="5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Lakebridge does one-time reconciliation. You generate permanent unit tests + CI/CD gates.</w:t>
            </w:r>
          </w:p>
        </w:tc>
      </w:tr>
    </w:tbl>
    <w:p>
      <w:pPr>
        <w:spacing w:after="200"/>
      </w:pPr>
    </w:p>
    <w:p>
      <w:pPr>
        <w:pStyle w:val="Heading2"/>
        <w:spacing w:after="160" w:before="280"/>
      </w:pPr>
      <w:r>
        <w:rPr>
          <w:rFonts w:ascii="Arial" w:cs="Arial" w:eastAsia="Arial" w:hAnsi="Arial"/>
          <w:b/>
          <w:bCs/>
          <w:color w:val="2E75B6"/>
          <w:sz w:val="26"/>
          <w:szCs w:val="26"/>
        </w:rPr>
        <w:t xml:space="preserve">5.1 Where Lakebridge Has an Edge</w:t>
      </w:r>
    </w:p>
    <w:p>
      <w:pPr>
        <w:spacing w:after="160"/>
      </w:pPr>
      <w:r>
        <w:rPr>
          <w:rFonts w:ascii="Arial" w:cs="Arial" w:eastAsia="Arial" w:hAnsi="Arial"/>
          <w:sz w:val="22"/>
          <w:szCs w:val="22"/>
        </w:rPr>
        <w:t xml:space="preserve">Lakebridge supports 20+ source technologies out of the box. Your utility is scoped to Fabric Warehouse T-SQL only (Lakehouse/Spark post-MVP). If a customer has Teradata or Oracle sources, Lakebridge covers them and you do not. Lakebridge is also free and already available, while your utility is under development.</w:t>
      </w:r>
    </w:p>
    <w:p>
      <w:pPr>
        <w:pStyle w:val="Heading2"/>
        <w:spacing w:after="160" w:before="280"/>
      </w:pPr>
      <w:r>
        <w:rPr>
          <w:rFonts w:ascii="Arial" w:cs="Arial" w:eastAsia="Arial" w:hAnsi="Arial"/>
          <w:b/>
          <w:bCs/>
          <w:color w:val="2E75B6"/>
          <w:sz w:val="26"/>
          <w:szCs w:val="26"/>
        </w:rPr>
        <w:t xml:space="preserve">5.2 Where Your Approach Is Stronger</w:t>
      </w:r>
    </w:p>
    <w:p>
      <w:pPr>
        <w:spacing w:after="160"/>
      </w:pPr>
      <w:r>
        <w:rPr>
          <w:rFonts w:ascii="Arial" w:cs="Arial" w:eastAsia="Arial" w:hAnsi="Arial"/>
          <w:sz w:val="22"/>
          <w:szCs w:val="22"/>
        </w:rPr>
        <w:t xml:space="preserve">Every other dimension. Your utility produces tested, CI/CD-integrated, observable dbt models with permanent unit tests and a clear production operations path. Lakebridge produces SQL files that still need to be manually integrated into any workflow, testing, or monitoring framework. Your agentic approach with dependency resolution, parallel execution, and session resumption is architecturally more sophisticated than a stateless CLI transpiler.</w:t>
      </w:r>
    </w:p>
    <w:r>
      <w:br w:type="page"/>
    </w:r>
    <w:p>
      <w:pPr>
        <w:pStyle w:val="Heading1"/>
        <w:spacing w:after="200" w:before="360"/>
      </w:pPr>
      <w:r>
        <w:rPr>
          <w:rFonts w:ascii="Arial" w:cs="Arial" w:eastAsia="Arial" w:hAnsi="Arial"/>
          <w:b/>
          <w:bCs/>
          <w:color w:val="1B4F72"/>
          <w:sz w:val="32"/>
          <w:szCs w:val="32"/>
        </w:rPr>
        <w:t xml:space="preserve">6. Recommendations</w:t>
      </w:r>
    </w:p>
    <w:p>
      <w:pPr>
        <w:pStyle w:val="ListParagraph"/>
        <w:numPr>
          <w:ilvl w:val="0"/>
          <w:numId w:val="2"/>
        </w:numPr>
        <w:spacing w:after="120"/>
      </w:pPr>
      <w:r>
        <w:rPr>
          <w:rFonts w:ascii="Arial" w:cs="Arial" w:eastAsia="Arial" w:hAnsi="Arial"/>
          <w:b/>
          <w:bCs/>
          <w:sz w:val="22"/>
          <w:szCs w:val="22"/>
        </w:rPr>
        <w:t xml:space="preserve">Do not align with Lakebridge.</w:t>
      </w:r>
      <w:r>
        <w:rPr>
          <w:rFonts w:ascii="Arial" w:cs="Arial" w:eastAsia="Arial" w:hAnsi="Arial"/>
          <w:sz w:val="22"/>
          <w:szCs w:val="22"/>
        </w:rPr>
        <w:t xml:space="preserve"> Your differentiation is the modernization story (dbt, testing, CI/CD, observability). Aligning with Lakebridge’s transpile-and-dump approach would be a step backward.</w:t>
      </w:r>
    </w:p>
    <w:p>
      <w:pPr>
        <w:pStyle w:val="ListParagraph"/>
        <w:numPr>
          <w:ilvl w:val="0"/>
          <w:numId w:val="2"/>
        </w:numPr>
        <w:spacing w:after="120"/>
      </w:pPr>
      <w:r>
        <w:rPr>
          <w:rFonts w:ascii="Arial" w:cs="Arial" w:eastAsia="Arial" w:hAnsi="Arial"/>
          <w:b/>
          <w:bCs/>
          <w:sz w:val="22"/>
          <w:szCs w:val="22"/>
        </w:rPr>
        <w:t xml:space="preserve">Position against Lakebridge explicitly.</w:t>
      </w:r>
      <w:r>
        <w:rPr>
          <w:rFonts w:ascii="Arial" w:cs="Arial" w:eastAsia="Arial" w:hAnsi="Arial"/>
          <w:sz w:val="22"/>
          <w:szCs w:val="22"/>
        </w:rPr>
        <w:t xml:space="preserve"> For Fabric customers evaluating migration options: Lakebridge converts to Databricks (competitor platform). Your utility keeps them on Fabric and gives them a production-ready dbt project, not raw SQL files.</w:t>
      </w:r>
    </w:p>
    <w:p>
      <w:pPr>
        <w:pStyle w:val="ListParagraph"/>
        <w:numPr>
          <w:ilvl w:val="0"/>
          <w:numId w:val="2"/>
        </w:numPr>
        <w:spacing w:after="120"/>
      </w:pPr>
      <w:r>
        <w:rPr>
          <w:rFonts w:ascii="Arial" w:cs="Arial" w:eastAsia="Arial" w:hAnsi="Arial"/>
          <w:b/>
          <w:bCs/>
          <w:sz w:val="22"/>
          <w:szCs w:val="22"/>
        </w:rPr>
        <w:t xml:space="preserve">Watch Datafold’s Migration Agent more closely than Lakebridge.</w:t>
      </w:r>
      <w:r>
        <w:rPr>
          <w:rFonts w:ascii="Arial" w:cs="Arial" w:eastAsia="Arial" w:hAnsi="Arial"/>
          <w:sz w:val="22"/>
          <w:szCs w:val="22"/>
        </w:rPr>
        <w:t xml:space="preserve"> Datafold uses LLM-powered iterative translation with value-level diffing. That approach is philosophically closer to yours and potentially a more direct competitor if they add Fabric support.</w:t>
      </w:r>
    </w:p>
    <w:p>
      <w:pPr>
        <w:pStyle w:val="ListParagraph"/>
        <w:numPr>
          <w:ilvl w:val="0"/>
          <w:numId w:val="2"/>
        </w:numPr>
        <w:spacing w:after="120"/>
      </w:pPr>
      <w:r>
        <w:rPr>
          <w:rFonts w:ascii="Arial" w:cs="Arial" w:eastAsia="Arial" w:hAnsi="Arial"/>
          <w:b/>
          <w:bCs/>
          <w:sz w:val="22"/>
          <w:szCs w:val="22"/>
        </w:rPr>
        <w:t xml:space="preserve">Your testing strategy is a key differentiator.</w:t>
      </w:r>
      <w:r>
        <w:rPr>
          <w:rFonts w:ascii="Arial" w:cs="Arial" w:eastAsia="Arial" w:hAnsi="Arial"/>
          <w:sz w:val="22"/>
          <w:szCs w:val="22"/>
        </w:rPr>
        <w:t xml:space="preserve"> The point-in-time snapshot approach with PII masking, YAML fixture generation, and permanent unit tests is something neither Lakebridge nor Datafold offers. Lean into this.</w:t>
      </w:r>
    </w:p>
    <w:p>
      <w:pPr>
        <w:pStyle w:val="ListParagraph"/>
        <w:numPr>
          <w:ilvl w:val="0"/>
          <w:numId w:val="2"/>
        </w:numPr>
        <w:spacing w:after="120"/>
      </w:pPr>
      <w:r>
        <w:rPr>
          <w:rFonts w:ascii="Arial" w:cs="Arial" w:eastAsia="Arial" w:hAnsi="Arial"/>
          <w:b/>
          <w:bCs/>
          <w:sz w:val="22"/>
          <w:szCs w:val="22"/>
        </w:rPr>
        <w:t xml:space="preserve">The domain memory feature is a long-term moat.</w:t>
      </w:r>
      <w:r>
        <w:rPr>
          <w:rFonts w:ascii="Arial" w:cs="Arial" w:eastAsia="Arial" w:hAnsi="Arial"/>
          <w:sz w:val="22"/>
          <w:szCs w:val="22"/>
        </w:rPr>
        <w:t xml:space="preserve"> Lakebridge is stateless. Your migration utility feeds into Vibedata’s improvement flywheel (skills, memory, retro agent). This compounds over time and is not replicable by a CLI tool.</w:t>
      </w:r>
    </w:p>
    <w:p>
      <w:pPr>
        <w:spacing w:after="200"/>
      </w:pPr>
    </w:p>
    <w:p>
      <w:pPr>
        <w:pBdr>
          <w:bottom w:val="single" w:color="1B4F72" w:sz="6" w:space="1"/>
        </w:pBdr>
        <w:spacing w:after="0"/>
      </w:pPr>
    </w:p>
    <w:p>
      <w:pPr>
        <w:spacing w:after="120"/>
      </w:pPr>
    </w:p>
    <w:p>
      <w:pPr>
        <w:spacing w:after="160"/>
      </w:pPr>
      <w:r>
        <w:rPr>
          <w:rFonts w:ascii="Arial" w:cs="Arial" w:eastAsia="Arial" w:hAnsi="Arial"/>
          <w:i/>
          <w:iCs/>
          <w:color w:val="999999"/>
          <w:sz w:val="18"/>
          <w:szCs w:val="18"/>
        </w:rPr>
        <w:t xml:space="preserve">Sources: Databricks Blog (Introducing Lakebridge), Intellus Group (Lakebridge Technical Review), Datafold Blog (Lakebridge vs. Datafold), Abylon Blog (Lakebridge Technical Deep Dive), SiliconANGLE (Databricks Lakebridge Launch).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Accelerate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2026-02-27T14:13:02.682Z</dcterms:created>
  <dcterms:modified xsi:type="dcterms:W3CDTF">2026-02-27T14:13:02.682Z</dcterms:modified>
</cp:coreProperties>
</file>

<file path=docProps/custom.xml><?xml version="1.0" encoding="utf-8"?>
<Properties xmlns="http://schemas.openxmlformats.org/officeDocument/2006/custom-properties" xmlns:vt="http://schemas.openxmlformats.org/officeDocument/2006/docPropsVTypes"/>
</file>