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PRAYCG Control Center Alpha 9 Workflow Guide</w:t>
      </w:r>
    </w:p>
    <w:p>
      <w:pPr>
        <w:pStyle w:val="DocumentSubtitle"/>
        <w:jc w:val="left"/>
      </w:pPr>
      <w:r>
        <w:t>From study workspace through local review bundle</w:t>
      </w:r>
    </w:p>
    <w:p>
      <w:pPr>
        <w:pStyle w:val="SmallMetadata"/>
      </w:pPr>
      <w:r>
        <w:t>Release 1.0.0 alpha 9.0.0</w:t>
      </w:r>
    </w:p>
    <w:p>
      <w:pPr>
        <w:pStyle w:val="SmallMetadata"/>
      </w:pPr>
      <w:r>
        <w:t>Prepared 15 September 2026</w:t>
      </w:r>
    </w:p>
    <w:p>
      <w:pPr>
        <w:pStyle w:val="SmallMetadata"/>
      </w:pPr>
      <w:r>
        <w:t>Audience  Researchers operators developers and reviewers</w:t>
      </w:r>
    </w:p>
    <w:p/>
    <w:p>
      <w:pPr>
        <w:spacing w:before="480" w:after="240"/>
      </w:pPr>
      <w:r>
        <w:rPr>
          <w:b/>
          <w:sz w:val="25"/>
        </w:rPr>
        <w:t>This guide explains the current Alpha 9 operator workflow, the evidence produced at each stage, and the boundaries between design, acquisition, analysis, and publication review.</w:t>
      </w:r>
    </w:p>
    <w:p>
      <w:pPr>
        <w:spacing w:before="160" w:after="240"/>
      </w:pPr>
      <w:r>
        <w:t>PRAYCG is open alpha software for local research workflow development. Software checks and file integrity do not establish physical hardware safety, signal validity, participant protection, scientific validity, clinical utility, or reproducibility on another apparatus.</w:t>
      </w:r>
    </w:p>
    <w:p>
      <w:r>
        <w:br w:type="page"/>
      </w:r>
    </w:p>
    <w:p>
      <w:pPr>
        <w:pStyle w:val="Heading1"/>
      </w:pPr>
      <w:r>
        <w:t>Document map</w:t>
      </w:r>
    </w:p>
    <w:p>
      <w:r>
        <w:t>Use this map to find the part of the document that matches the task at hand.</w:t>
      </w:r>
    </w:p>
    <w:p>
      <w:pPr>
        <w:pStyle w:val="ListBullet"/>
      </w:pPr>
      <w:r>
        <w:t>Workflow model and status language</w:t>
      </w:r>
    </w:p>
    <w:p>
      <w:pPr>
        <w:pStyle w:val="ListBullet"/>
      </w:pPr>
      <w:r>
        <w:t>Study Workspace protocol and materials</w:t>
      </w:r>
    </w:p>
    <w:p>
      <w:pPr>
        <w:pStyle w:val="ListBullet"/>
      </w:pPr>
      <w:r>
        <w:t>Hardware selection discovery and live checks</w:t>
      </w:r>
    </w:p>
    <w:p>
      <w:pPr>
        <w:pStyle w:val="ListBullet"/>
      </w:pPr>
      <w:r>
        <w:t>Session confirmation ARM and protocol execution</w:t>
      </w:r>
    </w:p>
    <w:p>
      <w:pPr>
        <w:pStyle w:val="ListBullet"/>
      </w:pPr>
      <w:r>
        <w:t>Quality control analysis review and export</w:t>
      </w:r>
    </w:p>
    <w:p>
      <w:pPr>
        <w:pStyle w:val="ListBullet"/>
      </w:pPr>
      <w:r>
        <w:t>Bench testing recovery and repeat sessions</w:t>
      </w:r>
    </w:p>
    <w:p>
      <w:pPr>
        <w:pStyle w:val="Heading1"/>
      </w:pPr>
      <w:r>
        <w:t>Current Alpha 9 workflow</w:t>
      </w:r>
    </w:p>
    <w:p>
      <w:r>
        <w:t>Alpha 9 guides one local study through Protocol, Stimuli, Hardware, Arm, Run, Quality Control, Analyze, Review, and Export. Each area writes governed selections or evidence into the Study Workspace. An upstream change marks only dependent stages stale and preserves the earlier record for audit.</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val="true"/>
        </w:trPr>
        <w:tc>
          <w:tcPr>
            <w:tcW w:type="dxa" w:w="1512"/>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center"/>
            </w:pPr>
            <w:r>
              <w:rPr>
                <w:rFonts w:ascii="Arial" w:hAnsi="Arial"/>
                <w:b/>
                <w:color w:val="FFFFFF"/>
                <w:sz w:val="17"/>
              </w:rPr>
              <w:t>Stage</w:t>
            </w:r>
          </w:p>
        </w:tc>
        <w:tc>
          <w:tcPr>
            <w:tcW w:type="dxa" w:w="3600"/>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center"/>
            </w:pPr>
            <w:r>
              <w:rPr>
                <w:rFonts w:ascii="Arial" w:hAnsi="Arial"/>
                <w:b/>
                <w:color w:val="FFFFFF"/>
                <w:sz w:val="17"/>
              </w:rPr>
              <w:t>Operator decision</w:t>
            </w:r>
          </w:p>
        </w:tc>
        <w:tc>
          <w:tcPr>
            <w:tcW w:type="dxa" w:w="4536"/>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center"/>
            </w:pPr>
            <w:r>
              <w:rPr>
                <w:rFonts w:ascii="Arial" w:hAnsi="Arial"/>
                <w:b/>
                <w:color w:val="FFFFFF"/>
                <w:sz w:val="17"/>
              </w:rPr>
              <w:t>Primary evidence</w:t>
            </w:r>
          </w:p>
        </w:tc>
      </w:tr>
      <w:tr>
        <w:trPr>
          <w:cantSplit w:val="true"/>
        </w:trPr>
        <w:tc>
          <w:tcPr>
            <w:tcW w:type="dxa" w:w="151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Protocol</w:t>
            </w:r>
          </w:p>
        </w:tc>
        <w:tc>
          <w:tcPr>
            <w:tcW w:type="dxa" w:w="360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Choose or design the participant task</w:t>
            </w:r>
          </w:p>
        </w:tc>
        <w:tc>
          <w:tcPr>
            <w:tcW w:type="dxa" w:w="453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Reviewed protocol snapshot manifest runner and engine identity</w:t>
            </w:r>
          </w:p>
        </w:tc>
      </w:tr>
      <w:tr>
        <w:trPr>
          <w:cantSplit w:val="true"/>
        </w:trPr>
        <w:tc>
          <w:tcPr>
            <w:tcW w:type="dxa" w:w="1512"/>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Stimuli</w:t>
            </w:r>
          </w:p>
        </w:tc>
        <w:tc>
          <w:tcPr>
            <w:tcW w:type="dxa" w:w="3600"/>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Select prepare or generate required materials</w:t>
            </w:r>
          </w:p>
        </w:tc>
        <w:tc>
          <w:tcPr>
            <w:tcW w:type="dxa" w:w="4536"/>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Paths hashes import manifests and preparation reports</w:t>
            </w:r>
          </w:p>
        </w:tc>
      </w:tr>
      <w:tr>
        <w:trPr>
          <w:cantSplit w:val="true"/>
        </w:trPr>
        <w:tc>
          <w:tcPr>
            <w:tcW w:type="dxa" w:w="151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Hardware</w:t>
            </w:r>
          </w:p>
        </w:tc>
        <w:tc>
          <w:tcPr>
            <w:tcW w:type="dxa" w:w="360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Choose a reviewed profile and connect its routes</w:t>
            </w:r>
          </w:p>
        </w:tc>
        <w:tc>
          <w:tcPr>
            <w:tcW w:type="dxa" w:w="453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Profile snapshot launch evidence stream identity and preflight reports</w:t>
            </w:r>
          </w:p>
        </w:tc>
      </w:tr>
      <w:tr>
        <w:trPr>
          <w:cantSplit w:val="true"/>
        </w:trPr>
        <w:tc>
          <w:tcPr>
            <w:tcW w:type="dxa" w:w="1512"/>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Arm</w:t>
            </w:r>
          </w:p>
        </w:tc>
        <w:tc>
          <w:tcPr>
            <w:tcW w:type="dxa" w:w="3600"/>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Confirm the exact session and authorize one run</w:t>
            </w:r>
          </w:p>
        </w:tc>
        <w:tc>
          <w:tcPr>
            <w:tcW w:type="dxa" w:w="4536"/>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Immutable session lock ARM record owner and one use lease</w:t>
            </w:r>
          </w:p>
        </w:tc>
      </w:tr>
      <w:tr>
        <w:trPr>
          <w:cantSplit w:val="true"/>
        </w:trPr>
        <w:tc>
          <w:tcPr>
            <w:tcW w:type="dxa" w:w="151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Run</w:t>
            </w:r>
          </w:p>
        </w:tc>
        <w:tc>
          <w:tcPr>
            <w:tcW w:type="dxa" w:w="360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Execute the locked protocol and record streams</w:t>
            </w:r>
          </w:p>
        </w:tc>
        <w:tc>
          <w:tcPr>
            <w:tcW w:type="dxa" w:w="453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Event logs markers checkpoints XDF and runner state</w:t>
            </w:r>
          </w:p>
        </w:tc>
      </w:tr>
      <w:tr>
        <w:trPr>
          <w:cantSplit w:val="true"/>
        </w:trPr>
        <w:tc>
          <w:tcPr>
            <w:tcW w:type="dxa" w:w="1512"/>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Quality Control</w:t>
            </w:r>
          </w:p>
        </w:tc>
        <w:tc>
          <w:tcPr>
            <w:tcW w:type="dxa" w:w="3600"/>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Review integrity timing coverage and exclusions</w:t>
            </w:r>
          </w:p>
        </w:tc>
        <w:tc>
          <w:tcPr>
            <w:tcW w:type="dxa" w:w="4536"/>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Run integrity and operator reviewed QC evidence</w:t>
            </w:r>
          </w:p>
        </w:tc>
      </w:tr>
      <w:tr>
        <w:trPr>
          <w:cantSplit w:val="true"/>
        </w:trPr>
        <w:tc>
          <w:tcPr>
            <w:tcW w:type="dxa" w:w="151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Analyze</w:t>
            </w:r>
          </w:p>
        </w:tc>
        <w:tc>
          <w:tcPr>
            <w:tcW w:type="dxa" w:w="360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Lock and execute an eligible analysis plan</w:t>
            </w:r>
          </w:p>
        </w:tc>
        <w:tc>
          <w:tcPr>
            <w:tcW w:type="dxa" w:w="453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Plan dependency graph module outputs and provenance</w:t>
            </w:r>
          </w:p>
        </w:tc>
      </w:tr>
      <w:tr>
        <w:trPr>
          <w:cantSplit w:val="true"/>
        </w:trPr>
        <w:tc>
          <w:tcPr>
            <w:tcW w:type="dxa" w:w="1512"/>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Review</w:t>
            </w:r>
          </w:p>
        </w:tc>
        <w:tc>
          <w:tcPr>
            <w:tcW w:type="dxa" w:w="3600"/>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Interpret results within declared claim limits</w:t>
            </w:r>
          </w:p>
        </w:tc>
        <w:tc>
          <w:tcPr>
            <w:tcW w:type="dxa" w:w="4536"/>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Outcome review and limitations</w:t>
            </w:r>
          </w:p>
        </w:tc>
      </w:tr>
      <w:tr>
        <w:trPr>
          <w:cantSplit w:val="true"/>
        </w:trPr>
        <w:tc>
          <w:tcPr>
            <w:tcW w:type="dxa" w:w="151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Export</w:t>
            </w:r>
          </w:p>
        </w:tc>
        <w:tc>
          <w:tcPr>
            <w:tcW w:type="dxa" w:w="360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Build a local review package</w:t>
            </w:r>
          </w:p>
        </w:tc>
        <w:tc>
          <w:tcPr>
            <w:tcW w:type="dxa" w:w="453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Inventory report copied derived outputs and checksums</w:t>
            </w:r>
          </w:p>
        </w:tc>
      </w:tr>
    </w:tbl>
    <w:p>
      <w:pPr>
        <w:spacing w:after="0"/>
      </w:pPr>
    </w:p>
    <w:p>
      <w:pPr>
        <w:pStyle w:val="Heading1"/>
      </w:pPr>
      <w:r>
        <w:t>Workspace status language</w:t>
      </w:r>
    </w:p>
    <w:tbl>
      <w:tblPr>
        <w:tblStyle w:val="TableGrid"/>
        <w:tblW w:type="auto" w:w="0"/>
        <w:jc w:val="center"/>
        <w:tblLayout w:type="fixed"/>
        <w:tblLook w:firstColumn="1" w:firstRow="1" w:lastColumn="0" w:lastRow="0" w:noHBand="0" w:noVBand="1" w:val="04A0"/>
      </w:tblPr>
      <w:tblGrid>
        <w:gridCol w:w="4939"/>
        <w:gridCol w:w="4939"/>
      </w:tblGrid>
      <w:tr>
        <w:trPr>
          <w:tblHeader w:val="true"/>
          <w:cantSplit w:val="true"/>
        </w:trPr>
        <w:tc>
          <w:tcPr>
            <w:tcW w:type="dxa" w:w="2015"/>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center"/>
            </w:pPr>
            <w:r>
              <w:rPr>
                <w:rFonts w:ascii="Arial" w:hAnsi="Arial"/>
                <w:b/>
                <w:color w:val="FFFFFF"/>
                <w:sz w:val="18"/>
              </w:rPr>
              <w:t>Status</w:t>
            </w:r>
          </w:p>
        </w:tc>
        <w:tc>
          <w:tcPr>
            <w:tcW w:type="dxa" w:w="7632"/>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center"/>
            </w:pPr>
            <w:r>
              <w:rPr>
                <w:rFonts w:ascii="Arial" w:hAnsi="Arial"/>
                <w:b/>
                <w:color w:val="FFFFFF"/>
                <w:sz w:val="18"/>
              </w:rPr>
              <w:t>Meaning</w:t>
            </w:r>
          </w:p>
        </w:tc>
      </w:tr>
      <w:tr>
        <w:trPr>
          <w:cantSplit w:val="true"/>
        </w:trPr>
        <w:tc>
          <w:tcPr>
            <w:tcW w:type="dxa" w:w="2015"/>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8"/>
              </w:rPr>
              <w:t>NOT STARTED</w:t>
            </w:r>
          </w:p>
        </w:tc>
        <w:tc>
          <w:tcPr>
            <w:tcW w:type="dxa" w:w="763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8"/>
              </w:rPr>
              <w:t>No current evidence exists for the stage.</w:t>
            </w:r>
          </w:p>
        </w:tc>
      </w:tr>
      <w:tr>
        <w:trPr>
          <w:cantSplit w:val="true"/>
        </w:trPr>
        <w:tc>
          <w:tcPr>
            <w:tcW w:type="dxa" w:w="2015"/>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8"/>
              </w:rPr>
              <w:t>READY</w:t>
            </w:r>
          </w:p>
        </w:tc>
        <w:tc>
          <w:tcPr>
            <w:tcW w:type="dxa" w:w="7632"/>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8"/>
              </w:rPr>
              <w:t>Declared prerequisites are present but the stage may not yet be locked or complete.</w:t>
            </w:r>
          </w:p>
        </w:tc>
      </w:tr>
      <w:tr>
        <w:trPr>
          <w:cantSplit w:val="true"/>
        </w:trPr>
        <w:tc>
          <w:tcPr>
            <w:tcW w:type="dxa" w:w="2015"/>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8"/>
              </w:rPr>
              <w:t>LOCKED</w:t>
            </w:r>
          </w:p>
        </w:tc>
        <w:tc>
          <w:tcPr>
            <w:tcW w:type="dxa" w:w="763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8"/>
              </w:rPr>
              <w:t>A governed identity or plan has been frozen for the current context.</w:t>
            </w:r>
          </w:p>
        </w:tc>
      </w:tr>
      <w:tr>
        <w:trPr>
          <w:cantSplit w:val="true"/>
        </w:trPr>
        <w:tc>
          <w:tcPr>
            <w:tcW w:type="dxa" w:w="2015"/>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8"/>
              </w:rPr>
              <w:t>CAUTION</w:t>
            </w:r>
          </w:p>
        </w:tc>
        <w:tc>
          <w:tcPr>
            <w:tcW w:type="dxa" w:w="7632"/>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8"/>
              </w:rPr>
              <w:t>The action may continue only within the documented boundary and does not represent a full pass.</w:t>
            </w:r>
          </w:p>
        </w:tc>
      </w:tr>
      <w:tr>
        <w:trPr>
          <w:cantSplit w:val="true"/>
        </w:trPr>
        <w:tc>
          <w:tcPr>
            <w:tcW w:type="dxa" w:w="2015"/>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8"/>
              </w:rPr>
              <w:t>INELIGIBLE</w:t>
            </w:r>
          </w:p>
        </w:tc>
        <w:tc>
          <w:tcPr>
            <w:tcW w:type="dxa" w:w="763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8"/>
              </w:rPr>
              <w:t>A required condition failed or is ambiguous. The stage cannot advance.</w:t>
            </w:r>
          </w:p>
        </w:tc>
      </w:tr>
      <w:tr>
        <w:trPr>
          <w:cantSplit w:val="true"/>
        </w:trPr>
        <w:tc>
          <w:tcPr>
            <w:tcW w:type="dxa" w:w="2015"/>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8"/>
              </w:rPr>
              <w:t>COMPLETE</w:t>
            </w:r>
          </w:p>
        </w:tc>
        <w:tc>
          <w:tcPr>
            <w:tcW w:type="dxa" w:w="7632"/>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8"/>
              </w:rPr>
              <w:t>The declared action and its evidence were recorded.</w:t>
            </w:r>
          </w:p>
        </w:tc>
      </w:tr>
      <w:tr>
        <w:trPr>
          <w:cantSplit w:val="true"/>
        </w:trPr>
        <w:tc>
          <w:tcPr>
            <w:tcW w:type="dxa" w:w="2015"/>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8"/>
              </w:rPr>
              <w:t>STALE</w:t>
            </w:r>
          </w:p>
        </w:tc>
        <w:tc>
          <w:tcPr>
            <w:tcW w:type="dxa" w:w="763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8"/>
              </w:rPr>
              <w:t>An upstream change means the previous evidence no longer governs the current setup.</w:t>
            </w:r>
          </w:p>
        </w:tc>
      </w:tr>
    </w:tbl>
    <w:p>
      <w:pPr>
        <w:spacing w:after="0"/>
      </w:pPr>
    </w:p>
    <w:p>
      <w:pPr>
        <w:pStyle w:val="Heading1"/>
      </w:pPr>
      <w:r>
        <w:t>Create or open a Study Workspace</w:t>
      </w:r>
    </w:p>
    <w:p>
      <w:pPr>
        <w:pStyle w:val="ListNumber"/>
      </w:pPr>
      <w:r>
        <w:t>Open Home and create a Study Workspace for the research question or open the intended existing workspace.</w:t>
      </w:r>
    </w:p>
    <w:p>
      <w:pPr>
        <w:pStyle w:val="ListNumber"/>
      </w:pPr>
      <w:r>
        <w:t>Review the study identity and storage location before selecting a protocol.</w:t>
      </w:r>
    </w:p>
    <w:p>
      <w:pPr>
        <w:pStyle w:val="ListNumber"/>
      </w:pPr>
      <w:r>
        <w:t>Use pseudonymous participant identifiers. Do not place direct identifiers in protocol assets stream contracts or public bundle metadata.</w:t>
      </w:r>
    </w:p>
    <w:p>
      <w:pPr>
        <w:pStyle w:val="ListNumber"/>
      </w:pPr>
      <w:r>
        <w:t>Treat the workspace as the index of evidence rather than the sole copy of large recordings.</w:t>
      </w:r>
    </w:p>
    <w:p>
      <w:pPr>
        <w:pStyle w:val="Heading1"/>
      </w:pPr>
      <w:r>
        <w:t>Choose and lock the protocol</w:t>
      </w:r>
    </w:p>
    <w:p>
      <w:r>
        <w:t>Choose Protocol federates the native PRAYCG library with the Runnable Protocol Atlas. Select Use This Protocol only after reading the protocol identity adaptation status asset requirements hardware roles response design and claim boundary. A protocol can state required semantic hardware roles but cannot select start or reconfigure hardware.</w:t>
      </w:r>
    </w:p>
    <w:p>
      <w:pPr>
        <w:pStyle w:val="ListBullet"/>
      </w:pPr>
      <w:r>
        <w:t>Use Validate or Compile Existing Module for a reviewed declarative candidate.</w:t>
      </w:r>
    </w:p>
    <w:p>
      <w:pPr>
        <w:pStyle w:val="ListBullet"/>
      </w:pPr>
      <w:r>
        <w:t>Use Create New Protocol with AI Docs to prepare a design packet. The packet has no execution authority and must return through review versioning and admission.</w:t>
      </w:r>
    </w:p>
    <w:p>
      <w:pPr>
        <w:pStyle w:val="ListBullet"/>
      </w:pPr>
      <w:r>
        <w:t>Use Prospective Assignment Tools when the protocol requires a governed assignment schedule.</w:t>
      </w:r>
    </w:p>
    <w:p>
      <w:pPr>
        <w:pStyle w:val="ListBullet"/>
      </w:pPr>
      <w:r>
        <w:t>If any manifest runner engine parameter or required asset changes create a new reviewed identity and session lock.</w:t>
      </w:r>
    </w:p>
    <w:p>
      <w:pPr>
        <w:pStyle w:val="Heading1"/>
      </w:pPr>
      <w:r>
        <w:t>Prepare and fingerprint materials</w:t>
      </w:r>
    </w:p>
    <w:p>
      <w:r>
        <w:t>Prepare Materials lists each required file or folder by purpose. Select each item explicitly. Protocols with generated shapes tones prompts or trial schedules may skip external file selection, but their generated recipes random seed condition order timing and response definitions still belong to the compiled and hashed session identity.</w:t>
      </w:r>
    </w:p>
    <w:p>
      <w:pPr>
        <w:pStyle w:val="ListNumber"/>
      </w:pPr>
      <w:r>
        <w:t>Read the required material roles shown for the locked protocol.</w:t>
      </w:r>
    </w:p>
    <w:p>
      <w:pPr>
        <w:pStyle w:val="ListNumber"/>
      </w:pPr>
      <w:r>
        <w:t>Prepare or import the source material through the compatible tool.</w:t>
      </w:r>
    </w:p>
    <w:p>
      <w:pPr>
        <w:pStyle w:val="ListNumber"/>
      </w:pPr>
      <w:r>
        <w:t>Review rights and local authorization for every external asset.</w:t>
      </w:r>
    </w:p>
    <w:p>
      <w:pPr>
        <w:pStyle w:val="ListNumber"/>
      </w:pPr>
      <w:r>
        <w:t>Confirm file and directory identity including SHA 256 values and required import manifests.</w:t>
      </w:r>
    </w:p>
    <w:p>
      <w:pPr>
        <w:pStyle w:val="ListNumber"/>
      </w:pPr>
      <w:r>
        <w:t>Resolve missing or ambiguous files before hardware setup.</w:t>
      </w:r>
    </w:p>
    <w:p>
      <w:r>
        <w:t>A bundled demonstration can prove that a software pathway runs. A DEMO ONLY asset is not automatically eligible for participant collection or a scientific claim.</w:t>
      </w:r>
    </w:p>
    <w:p>
      <w:pPr>
        <w:pStyle w:val="Heading1"/>
      </w:pPr>
      <w:r>
        <w:t>Select and review hardware</w:t>
      </w:r>
    </w:p>
    <w:p>
      <w:r>
        <w:t>Connect and Check Equipment remains the hardware authority. Alpha 9 adds Hardware Forge v1 as a planning and integration layer. It catalogs 11 adapter families and 14 routes and can run Adapter Doctor checks or build a launch plan, but it cannot approve a participant profile confirm a session or arm acquisition.</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val="true"/>
        </w:trPr>
        <w:tc>
          <w:tcPr>
            <w:tcW w:type="dxa" w:w="2376"/>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center"/>
            </w:pPr>
            <w:r>
              <w:rPr>
                <w:rFonts w:ascii="Arial" w:hAnsi="Arial"/>
                <w:b/>
                <w:color w:val="FFFFFF"/>
                <w:sz w:val="17"/>
              </w:rPr>
              <w:t>Hardware action</w:t>
            </w:r>
          </w:p>
        </w:tc>
        <w:tc>
          <w:tcPr>
            <w:tcW w:type="dxa" w:w="3528"/>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center"/>
            </w:pPr>
            <w:r>
              <w:rPr>
                <w:rFonts w:ascii="Arial" w:hAnsi="Arial"/>
                <w:b/>
                <w:color w:val="FFFFFF"/>
                <w:sz w:val="17"/>
              </w:rPr>
              <w:t>What it establishes</w:t>
            </w:r>
          </w:p>
        </w:tc>
        <w:tc>
          <w:tcPr>
            <w:tcW w:type="dxa" w:w="3960"/>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center"/>
            </w:pPr>
            <w:r>
              <w:rPr>
                <w:rFonts w:ascii="Arial" w:hAnsi="Arial"/>
                <w:b/>
                <w:color w:val="FFFFFF"/>
                <w:sz w:val="17"/>
              </w:rPr>
              <w:t>What it does not establish</w:t>
            </w:r>
          </w:p>
        </w:tc>
      </w:tr>
      <w:tr>
        <w:trPr>
          <w:cantSplit w:val="true"/>
        </w:trPr>
        <w:tc>
          <w:tcPr>
            <w:tcW w:type="dxa" w:w="237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Catalog review</w:t>
            </w:r>
          </w:p>
        </w:tc>
        <w:tc>
          <w:tcPr>
            <w:tcW w:type="dxa" w:w="352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Known adapter route metadata and intended integration method</w:t>
            </w:r>
          </w:p>
        </w:tc>
        <w:tc>
          <w:tcPr>
            <w:tcW w:type="dxa" w:w="396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Installation physical compatibility or participant approval</w:t>
            </w:r>
          </w:p>
        </w:tc>
      </w:tr>
      <w:tr>
        <w:trPr>
          <w:cantSplit w:val="true"/>
        </w:trPr>
        <w:tc>
          <w:tcPr>
            <w:tcW w:type="dxa" w:w="2376"/>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Adapter Doctor</w:t>
            </w:r>
          </w:p>
        </w:tc>
        <w:tc>
          <w:tcPr>
            <w:tcW w:type="dxa" w:w="3528"/>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Presence of selected software dependencies and catalog consistency</w:t>
            </w:r>
          </w:p>
        </w:tc>
        <w:tc>
          <w:tcPr>
            <w:tcW w:type="dxa" w:w="3960"/>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Signal quality electrical safety or timing accuracy</w:t>
            </w:r>
          </w:p>
        </w:tc>
      </w:tr>
      <w:tr>
        <w:trPr>
          <w:cantSplit w:val="true"/>
        </w:trPr>
        <w:tc>
          <w:tcPr>
            <w:tcW w:type="dxa" w:w="237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Existing LSL discovery</w:t>
            </w:r>
          </w:p>
        </w:tc>
        <w:tc>
          <w:tcPr>
            <w:tcW w:type="dxa" w:w="352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Observed outlet identity shape and publisher metadata</w:t>
            </w:r>
          </w:p>
        </w:tc>
        <w:tc>
          <w:tcPr>
            <w:tcW w:type="dxa" w:w="396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Reviewed profile status or scientific suitability</w:t>
            </w:r>
          </w:p>
        </w:tc>
      </w:tr>
      <w:tr>
        <w:trPr>
          <w:cantSplit w:val="true"/>
        </w:trPr>
        <w:tc>
          <w:tcPr>
            <w:tcW w:type="dxa" w:w="2376"/>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Stream contract validation</w:t>
            </w:r>
          </w:p>
        </w:tc>
        <w:tc>
          <w:tcPr>
            <w:tcW w:type="dxa" w:w="3528"/>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Conformance to a versioned metadata and timing contract</w:t>
            </w:r>
          </w:p>
        </w:tc>
        <w:tc>
          <w:tcPr>
            <w:tcW w:type="dxa" w:w="3960"/>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Physiological validity or live continuity</w:t>
            </w:r>
          </w:p>
        </w:tc>
      </w:tr>
      <w:tr>
        <w:trPr>
          <w:cantSplit w:val="true"/>
        </w:trPr>
        <w:tc>
          <w:tcPr>
            <w:tcW w:type="dxa" w:w="237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Reviewed hardware profile</w:t>
            </w:r>
          </w:p>
        </w:tc>
        <w:tc>
          <w:tcPr>
            <w:tcW w:type="dxa" w:w="352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The exact admitted roles modules routes and profile hash</w:t>
            </w:r>
          </w:p>
        </w:tc>
        <w:tc>
          <w:tcPr>
            <w:tcW w:type="dxa" w:w="396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Current session stream health</w:t>
            </w:r>
          </w:p>
        </w:tc>
      </w:tr>
      <w:tr>
        <w:trPr>
          <w:cantSplit w:val="true"/>
        </w:trPr>
        <w:tc>
          <w:tcPr>
            <w:tcW w:type="dxa" w:w="2376"/>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Live preflight</w:t>
            </w:r>
          </w:p>
        </w:tc>
        <w:tc>
          <w:tcPr>
            <w:tcW w:type="dxa" w:w="3528"/>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Current run bound delivery identity rate timestamps and declared checks</w:t>
            </w:r>
          </w:p>
        </w:tc>
        <w:tc>
          <w:tcPr>
            <w:tcW w:type="dxa" w:w="3960"/>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Source physiology construct validity or calibration beyond the declared check</w:t>
            </w:r>
          </w:p>
        </w:tc>
      </w:tr>
    </w:tbl>
    <w:p>
      <w:pPr>
        <w:spacing w:after="0"/>
      </w:pPr>
    </w:p>
    <w:p>
      <w:pPr>
        <w:pStyle w:val="Heading2"/>
      </w:pPr>
      <w:r>
        <w:t>Use Generic Existing LSL</w:t>
      </w:r>
    </w:p>
    <w:p>
      <w:r>
        <w:t>Discover Existing LSL inventories live outlets and captures name type channel count nominal rate format source identity host session UID ordered channel metadata and simple publisher metadata when available. It can save a snapshot and create a DRAFT UNVERIFIED stream contract. Review and promotion remain separate governed work.</w:t>
      </w:r>
    </w:p>
    <w:p>
      <w:r>
        <w:t>A stream contract binds identity stream shape ordered channels timing device adapter quality privacy and verification state. Alpha 9 rejects zero matches and more than one match instead of guessing. Direct identifiers must not be embedded in source IDs channel labels or contract metadata.</w:t>
      </w:r>
    </w:p>
    <w:p>
      <w:pPr>
        <w:pStyle w:val="Heading1"/>
      </w:pPr>
      <w:r>
        <w:t>Start the equipment session</w:t>
      </w:r>
    </w:p>
    <w:p>
      <w:pPr>
        <w:pStyle w:val="ListNumber"/>
      </w:pPr>
      <w:r>
        <w:t>Select Start New Equipment Session. Record the displayed run UUID and evidence folder.</w:t>
      </w:r>
    </w:p>
    <w:p>
      <w:pPr>
        <w:pStyle w:val="ListNumber"/>
      </w:pPr>
      <w:r>
        <w:t>Start the selected bridges after the UUID exists so dynamic LSL source identities are bound to the active session.</w:t>
      </w:r>
    </w:p>
    <w:p>
      <w:pPr>
        <w:pStyle w:val="ListNumber"/>
      </w:pPr>
      <w:r>
        <w:t>Open LabRecorder and confirm that only the intended run bound outlets are selected.</w:t>
      </w:r>
    </w:p>
    <w:p>
      <w:pPr>
        <w:pStyle w:val="ListNumber"/>
      </w:pPr>
      <w:r>
        <w:t>Run the required live checks for the reviewed profile.</w:t>
      </w:r>
    </w:p>
    <w:p>
      <w:pPr>
        <w:pStyle w:val="ListNumber"/>
      </w:pPr>
      <w:r>
        <w:t>Run ALS Barcode Placement Test when the locked setup requires the physical optical witness.</w:t>
      </w:r>
    </w:p>
    <w:p>
      <w:pPr>
        <w:pStyle w:val="ListNumber"/>
      </w:pPr>
      <w:r>
        <w:t>Use the live monitor or contract bound observer when a longer diagnostic view is useful.</w:t>
      </w:r>
    </w:p>
    <w:p>
      <w:pPr>
        <w:pStyle w:val="Heading2"/>
      </w:pPr>
      <w:r>
        <w:t>Live equipment evidence</w:t>
      </w:r>
    </w:p>
    <w:p>
      <w:pPr>
        <w:pStyle w:val="ListBullet"/>
      </w:pPr>
      <w:r>
        <w:t>The full profile check verifies every declared stream source identity delivery rate timestamps gaps and declared device checks.</w:t>
      </w:r>
    </w:p>
    <w:p>
      <w:pPr>
        <w:pStyle w:val="ListBullet"/>
      </w:pPr>
      <w:r>
        <w:t>The detailed EEG and ALS check evaluates EEG channel health and ALS availability. The barcode placement test remains the controlled physical response gate.</w:t>
      </w:r>
    </w:p>
    <w:p>
      <w:pPr>
        <w:pStyle w:val="ListBullet"/>
      </w:pPr>
      <w:r>
        <w:t>The live stream monitor shows current engineering proxies such as EEG delivery rate channel variability RR derived heart measures Vernier force and ALS relative load. These displays do not create independent scientific validation.</w:t>
      </w:r>
    </w:p>
    <w:p>
      <w:pPr>
        <w:pStyle w:val="ListBullet"/>
      </w:pPr>
      <w:r>
        <w:t>The contract bound drift and synchronization observer measures rate drift jitter gaps timestamp regressions clock corrections disappearance and UID continuity. It is read only and never restarts a bridge.</w:t>
      </w:r>
    </w:p>
    <w:p>
      <w:pPr>
        <w:pStyle w:val="Heading1"/>
      </w:pPr>
      <w:r>
        <w:t>Participant and bench workflows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val="true"/>
        </w:trPr>
        <w:tc>
          <w:tcPr>
            <w:tcW w:type="dxa" w:w="2376"/>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center"/>
            </w:pPr>
            <w:r>
              <w:rPr>
                <w:rFonts w:ascii="Arial" w:hAnsi="Arial"/>
                <w:b/>
                <w:color w:val="FFFFFF"/>
                <w:sz w:val="17"/>
              </w:rPr>
              <w:t>Requirement</w:t>
            </w:r>
          </w:p>
        </w:tc>
        <w:tc>
          <w:tcPr>
            <w:tcW w:type="dxa" w:w="3671"/>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center"/>
            </w:pPr>
            <w:r>
              <w:rPr>
                <w:rFonts w:ascii="Arial" w:hAnsi="Arial"/>
                <w:b/>
                <w:color w:val="FFFFFF"/>
                <w:sz w:val="17"/>
              </w:rPr>
              <w:t>Participant session</w:t>
            </w:r>
          </w:p>
        </w:tc>
        <w:tc>
          <w:tcPr>
            <w:tcW w:type="dxa" w:w="3816"/>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center"/>
            </w:pPr>
            <w:r>
              <w:rPr>
                <w:rFonts w:ascii="Arial" w:hAnsi="Arial"/>
                <w:b/>
                <w:color w:val="FFFFFF"/>
                <w:sz w:val="17"/>
              </w:rPr>
              <w:t>Bench Test Mode</w:t>
            </w:r>
          </w:p>
        </w:tc>
      </w:tr>
      <w:tr>
        <w:trPr>
          <w:cantSplit w:val="true"/>
        </w:trPr>
        <w:tc>
          <w:tcPr>
            <w:tcW w:type="dxa" w:w="237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Participant</w:t>
            </w:r>
          </w:p>
        </w:tc>
        <w:tc>
          <w:tcPr>
            <w:tcW w:type="dxa" w:w="3671"/>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Permitted only under the applicable approved study process</w:t>
            </w:r>
          </w:p>
        </w:tc>
        <w:tc>
          <w:tcPr>
            <w:tcW w:type="dxa" w:w="381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No participant permitted</w:t>
            </w:r>
          </w:p>
        </w:tc>
      </w:tr>
      <w:tr>
        <w:trPr>
          <w:cantSplit w:val="true"/>
        </w:trPr>
        <w:tc>
          <w:tcPr>
            <w:tcW w:type="dxa" w:w="2376"/>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Pseudonym</w:t>
            </w:r>
          </w:p>
        </w:tc>
        <w:tc>
          <w:tcPr>
            <w:tcW w:type="dxa" w:w="3671"/>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Study assigned pseudonym that is not reserved for bench use</w:t>
            </w:r>
          </w:p>
        </w:tc>
        <w:tc>
          <w:tcPr>
            <w:tcW w:type="dxa" w:w="3816"/>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Generated BENCH run prefix identity</w:t>
            </w:r>
          </w:p>
        </w:tc>
      </w:tr>
      <w:tr>
        <w:trPr>
          <w:cantSplit w:val="true"/>
        </w:trPr>
        <w:tc>
          <w:tcPr>
            <w:tcW w:type="dxa" w:w="237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Hardware readiness</w:t>
            </w:r>
          </w:p>
        </w:tc>
        <w:tc>
          <w:tcPr>
            <w:tcW w:type="dxa" w:w="3671"/>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Required live gates remain fail closed</w:t>
            </w:r>
          </w:p>
        </w:tc>
        <w:tc>
          <w:tcPr>
            <w:tcW w:type="dxa" w:w="381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May be bypassed with a recorded CAUTION artifact</w:t>
            </w:r>
          </w:p>
        </w:tc>
      </w:tr>
      <w:tr>
        <w:trPr>
          <w:cantSplit w:val="true"/>
        </w:trPr>
        <w:tc>
          <w:tcPr>
            <w:tcW w:type="dxa" w:w="2376"/>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ALS display only</w:t>
            </w:r>
          </w:p>
        </w:tc>
        <w:tc>
          <w:tcPr>
            <w:tcW w:type="dxa" w:w="3671"/>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Cannot satisfy physical placement</w:t>
            </w:r>
          </w:p>
        </w:tc>
        <w:tc>
          <w:tcPr>
            <w:tcW w:type="dxa" w:w="3816"/>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May exercise the display path but remains BENCH DISPLAY ONLY</w:t>
            </w:r>
          </w:p>
        </w:tc>
      </w:tr>
      <w:tr>
        <w:trPr>
          <w:cantSplit w:val="true"/>
        </w:trPr>
        <w:tc>
          <w:tcPr>
            <w:tcW w:type="dxa" w:w="237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Missing protocol hardware roles</w:t>
            </w:r>
          </w:p>
        </w:tc>
        <w:tc>
          <w:tcPr>
            <w:tcW w:type="dxa" w:w="3671"/>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Blocks acquisition</w:t>
            </w:r>
          </w:p>
        </w:tc>
        <w:tc>
          <w:tcPr>
            <w:tcW w:type="dxa" w:w="381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May be listed and bypassed only by a hash valid nonparticipant bench lock</w:t>
            </w:r>
          </w:p>
        </w:tc>
      </w:tr>
      <w:tr>
        <w:trPr>
          <w:cantSplit w:val="true"/>
        </w:trPr>
        <w:tc>
          <w:tcPr>
            <w:tcW w:type="dxa" w:w="2376"/>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Protocol materials and lock integrity</w:t>
            </w:r>
          </w:p>
        </w:tc>
        <w:tc>
          <w:tcPr>
            <w:tcW w:type="dxa" w:w="3671"/>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Required</w:t>
            </w:r>
          </w:p>
        </w:tc>
        <w:tc>
          <w:tcPr>
            <w:tcW w:type="dxa" w:w="3816"/>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Required</w:t>
            </w:r>
          </w:p>
        </w:tc>
      </w:tr>
      <w:tr>
        <w:trPr>
          <w:cantSplit w:val="true"/>
        </w:trPr>
        <w:tc>
          <w:tcPr>
            <w:tcW w:type="dxa" w:w="237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Output eligibility</w:t>
            </w:r>
          </w:p>
        </w:tc>
        <w:tc>
          <w:tcPr>
            <w:tcW w:type="dxa" w:w="3671"/>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Depends on the complete reviewed session</w:t>
            </w:r>
          </w:p>
        </w:tc>
        <w:tc>
          <w:tcPr>
            <w:tcW w:type="dxa" w:w="381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40" w:lineRule="auto"/>
              <w:jc w:val="left"/>
            </w:pPr>
            <w:r>
              <w:rPr>
                <w:rFonts w:ascii="Arial" w:hAnsi="Arial"/>
                <w:color w:val="000000"/>
                <w:sz w:val="17"/>
              </w:rPr>
              <w:t>Permanently not participant data eligible</w:t>
            </w:r>
          </w:p>
        </w:tc>
      </w:tr>
    </w:tbl>
    <w:p>
      <w:pPr>
        <w:spacing w:after="0"/>
      </w:pPr>
    </w:p>
    <w:p>
      <w:r>
        <w:t>Bench Test Mode is for software and equipment development without a participant. It resets off when the Control Center restarts. Switching mode disarms the earlier lock. Failed or missing live evidence remains visible; the bypass does not convert it to a physical PASS.</w:t>
      </w:r>
    </w:p>
    <w:p>
      <w:pPr>
        <w:pStyle w:val="Heading1"/>
      </w:pPr>
      <w:r>
        <w:t>Confirm the session setup</w:t>
      </w:r>
    </w:p>
    <w:p>
      <w:pPr>
        <w:pStyle w:val="ListNumber"/>
      </w:pPr>
      <w:r>
        <w:t>Review the six Run Session status rows for protocol materials hardware profile live pre arm checks confirmed setup and ARM state.</w:t>
      </w:r>
    </w:p>
    <w:p>
      <w:pPr>
        <w:pStyle w:val="ListNumber"/>
      </w:pPr>
      <w:r>
        <w:t>Resolve every participant blocking item. In Bench Test Mode confirm that the permanent nonparticipant classification and recorded reason are correct.</w:t>
      </w:r>
    </w:p>
    <w:p>
      <w:pPr>
        <w:pStyle w:val="ListNumber"/>
      </w:pPr>
      <w:r>
        <w:t>Select Confirm Session Setup. The Control Center freezes the selected identities paths hashes run UUID pseudonym policy and evidence into the session lock.</w:t>
      </w:r>
    </w:p>
    <w:p>
      <w:pPr>
        <w:pStyle w:val="ListNumber"/>
      </w:pPr>
      <w:r>
        <w:t>Open Confirmed Session Setup and inspect the lock before arming.</w:t>
      </w:r>
    </w:p>
    <w:p>
      <w:pPr>
        <w:pStyle w:val="ListNumber"/>
      </w:pPr>
      <w:r>
        <w:t>If any upstream selection changes create a fresh confirmation rather than relying on stale evidence.</w:t>
      </w:r>
    </w:p>
    <w:p>
      <w:pPr>
        <w:pStyle w:val="Heading1"/>
      </w:pPr>
      <w:r>
        <w:t>Arm and launch the protocol</w:t>
      </w:r>
    </w:p>
    <w:p>
      <w:r>
        <w:t>Mark Ready to Run advances only the exact confirmed lock. Launch Locked Protocol Runner with the PsychoPy Python interpreter for the canonical acquisition path. The Control Center claims the shared log root owner creates a one use process bound lease advances the state from ARM to ACQUIRE and passes authority only to the exact approved child process.</w:t>
      </w:r>
    </w:p>
    <w:p>
      <w:pPr>
        <w:pStyle w:val="ListBullet"/>
      </w:pPr>
      <w:r>
        <w:t>Do not press Run in a separately opened PsychoPy Coder window. Debug modes receive no acquisition authority.</w:t>
      </w:r>
    </w:p>
    <w:p>
      <w:pPr>
        <w:pStyle w:val="ListBullet"/>
      </w:pPr>
      <w:r>
        <w:t>Do not launch a second Control Center against the same active log root during acquisition.</w:t>
      </w:r>
    </w:p>
    <w:p>
      <w:pPr>
        <w:pStyle w:val="ListBullet"/>
      </w:pPr>
      <w:r>
        <w:t>Do not reuse Restart for a locked runner.</w:t>
      </w:r>
    </w:p>
    <w:p>
      <w:pPr>
        <w:pStyle w:val="ListBullet"/>
      </w:pPr>
      <w:r>
        <w:t>Save LabRecorder output into the active run directory and monitor expected markers and streams.</w:t>
      </w:r>
    </w:p>
    <w:p>
      <w:pPr>
        <w:pStyle w:val="ListBullet"/>
      </w:pPr>
      <w:r>
        <w:t>Use the protocol stop procedure if a participant or apparatus concern requires termination.</w:t>
      </w:r>
    </w:p>
    <w:p>
      <w:pPr>
        <w:pStyle w:val="Heading1"/>
      </w:pPr>
      <w:r>
        <w:t>Finalize and recover</w:t>
      </w:r>
    </w:p>
    <w:p>
      <w:r>
        <w:t>Normal completion writes and hashes the event JSON event CSV and run state before FINALIZE and closes the terminal lease. If the runner started but did not finalize use the explicit Finalize Interrupted Run path only after reviewing the incomplete evidence and confirming that the exact process is inactive. Interrupted finalization remains incomplete and never represents a successful run.</w:t>
      </w:r>
    </w:p>
    <w:p>
      <w:r>
        <w:t>An acquisition UUID is single use after a runner lease or ACQUIRE transition exists. For another attempt select Start Another Equipment Session repeat the required checks confirm a new setup and arm the new UUID.</w:t>
      </w:r>
    </w:p>
    <w:p>
      <w:pPr>
        <w:pStyle w:val="Heading1"/>
      </w:pPr>
      <w:r>
        <w:t>Record quality control</w:t>
      </w:r>
    </w:p>
    <w:p>
      <w:pPr>
        <w:pStyle w:val="ListNumber"/>
      </w:pPr>
      <w:r>
        <w:t>Review event stream recording and run state completeness.</w:t>
      </w:r>
    </w:p>
    <w:p>
      <w:pPr>
        <w:pStyle w:val="ListNumber"/>
      </w:pPr>
      <w:r>
        <w:t>Record the selected QC artifact through the governed action so its path byte size and hash are preserved.</w:t>
      </w:r>
    </w:p>
    <w:p>
      <w:pPr>
        <w:pStyle w:val="ListNumber"/>
      </w:pPr>
      <w:r>
        <w:t>Keep exclusions missingness and nonestimable values explicit. Do not convert missing physiology to zero or favorable evidence.</w:t>
      </w:r>
    </w:p>
    <w:p>
      <w:pPr>
        <w:pStyle w:val="ListNumber"/>
      </w:pPr>
      <w:r>
        <w:t>Advance only the next permitted post run gate.</w:t>
      </w:r>
    </w:p>
    <w:p>
      <w:pPr>
        <w:pStyle w:val="Heading1"/>
      </w:pPr>
      <w:r>
        <w:t>Plan and run analysis</w:t>
      </w:r>
    </w:p>
    <w:p>
      <w:r>
        <w:t>Review Results separates Plan and Dependency Graph Direct Tools and Review and Results Bundle. The orchestrator evaluates protocol modalities events conditions sampling timing software dependencies and exact code identities. Ineligible modules are hidden by default and a click time preflight is repeated before launch.</w:t>
      </w:r>
    </w:p>
    <w:p>
      <w:pPr>
        <w:pStyle w:val="ListBullet"/>
      </w:pPr>
      <w:r>
        <w:t>Lock a confirmatory analysis plan before reviewing outcomes.</w:t>
      </w:r>
    </w:p>
    <w:p>
      <w:pPr>
        <w:pStyle w:val="ListBullet"/>
      </w:pPr>
      <w:r>
        <w:t>Run the next dependency ready node rather than an undifferentiated Run Everything action.</w:t>
      </w:r>
    </w:p>
    <w:p>
      <w:pPr>
        <w:pStyle w:val="ListBullet"/>
      </w:pPr>
      <w:r>
        <w:t>Treat later additions as POST HOC EXPLORATORY with no primary conclusion authority.</w:t>
      </w:r>
    </w:p>
    <w:p>
      <w:pPr>
        <w:pStyle w:val="ListBullet"/>
      </w:pPr>
      <w:r>
        <w:t>Use Direct Tools only with an explicit understanding that manual launch does not add the output to the locked plan.</w:t>
      </w:r>
    </w:p>
    <w:p>
      <w:pPr>
        <w:pStyle w:val="Heading1"/>
      </w:pPr>
      <w:r>
        <w:t>Review and build the local results bundle</w:t>
      </w:r>
    </w:p>
    <w:p>
      <w:r>
        <w:t>After analysis outputs and outcome review are recorded the Results Bundle Builder creates a local review package with redacted provenance the immutable analysis plan exclusions copied allowlisted derived tables reports figures a readable review report a machine readable inventory checksums and known limitations.</w:t>
      </w:r>
    </w:p>
    <w:p>
      <w:r>
        <w:t>The Alpha 9 builder has no upload authority. It excludes raw biosignal formats including XDF EDF BDF FIF SET CNT and EEG. Privacy licensing claim boundary and publication review remain separate. The future PRAYCG DATA design described in the companion vision document is not implemented by this local builder.</w:t>
      </w:r>
    </w:p>
    <w:p>
      <w:r>
        <w:br w:type="page"/>
      </w:r>
    </w:p>
    <w:p>
      <w:pPr>
        <w:pStyle w:val="Heading1"/>
      </w:pPr>
      <w:r>
        <w:t>End of session checklist</w:t>
      </w:r>
    </w:p>
    <w:p>
      <w:pPr>
        <w:pStyle w:val="ListBullet"/>
      </w:pPr>
      <w:r>
        <w:t>The run is finalized or explicitly recorded as interrupted and incomplete.</w:t>
      </w:r>
    </w:p>
    <w:p>
      <w:pPr>
        <w:pStyle w:val="ListBullet"/>
      </w:pPr>
      <w:r>
        <w:t>LabRecorder and other acquisition applications are stopped cleanly.</w:t>
      </w:r>
    </w:p>
    <w:p>
      <w:pPr>
        <w:pStyle w:val="ListBullet"/>
      </w:pPr>
      <w:r>
        <w:t>The active run directory contains the expected logs markers state and recording references.</w:t>
      </w:r>
    </w:p>
    <w:p>
      <w:pPr>
        <w:pStyle w:val="ListBullet"/>
      </w:pPr>
      <w:r>
        <w:t>QC exclusions and missing evidence are recorded.</w:t>
      </w:r>
    </w:p>
    <w:p>
      <w:pPr>
        <w:pStyle w:val="ListBullet"/>
      </w:pPr>
      <w:r>
        <w:t>The analysis plan and executed module versions are preserved.</w:t>
      </w:r>
    </w:p>
    <w:p>
      <w:pPr>
        <w:pStyle w:val="ListBullet"/>
      </w:pPr>
      <w:r>
        <w:t>The local results bundle has a complete checksum inventory and remains NOT APPROVED for publication until a separate review occurs.</w:t>
      </w:r>
    </w:p>
    <w:p>
      <w:pPr>
        <w:pStyle w:val="ListBullet"/>
      </w:pPr>
      <w:r>
        <w:t>A new attempt will use a new equipment session and UUID.</w:t>
      </w:r>
    </w:p>
    <w:sectPr w:rsidR="00FC693F" w:rsidRPr="0006063C" w:rsidSect="00034616">
      <w:headerReference w:type="default" r:id="rId9"/>
      <w:footerReference w:type="default" r:id="rId10"/>
      <w:pgSz w:w="12240" w:h="15840"/>
      <w:pgMar w:top="1080" w:right="1181" w:bottom="1584" w:left="1181"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Arial" w:hAnsi="Arial"/>
        <w:color w:val="5A5A5A"/>
        <w:sz w:val="17"/>
      </w:rPr>
      <w:t xml:space="preserve">PRAYCG Control Center Alpha 9    Page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color w:val="000000"/>
        <w:sz w:val="17"/>
      </w:rPr>
      <w:t>PRAYCG Alpha 9 Workflow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Arial" w:hAnsi="Arial"/>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Arial" w:hAnsi="Arial"/>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rial" w:hAnsi="Arial"/>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umentSubtitle">
    <w:name w:val="Document Subtitle"/>
    <w:pPr>
      <w:spacing w:after="400"/>
    </w:pPr>
    <w:rPr>
      <w:rFonts w:ascii="Arial" w:hAnsi="Arial"/>
      <w:color w:val="3C3C3C"/>
      <w:sz w:val="28"/>
    </w:rPr>
  </w:style>
  <w:style w:type="paragraph" w:customStyle="1" w:styleId="SmallMetadata">
    <w:name w:val="Small Metadata"/>
    <w:pPr>
      <w:spacing w:after="60"/>
    </w:pPr>
    <w:rPr>
      <w:rFonts w:ascii="Arial" w:hAnsi="Arial"/>
      <w:color w:val="5A5A5A"/>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PRAYCG ControlCenter Alpha 9 Workflow Guide</dc:title>
  <dc:subject>PRAYCG Control Center Alpha 9 documentation</dc:subject>
  <dc:creator>PRAYCG Project</dc:creator>
  <cp:keywords>PRAYCG neuroscience LSL reproducibility Alpha 9</cp:keywords>
  <dc:description>generated by python-docx</dc:description>
  <cp:lastModifiedBy/>
  <cp:revision>1</cp:revision>
  <dcterms:created xsi:type="dcterms:W3CDTF">2013-12-23T23:15:00Z</dcterms:created>
  <dcterms:modified xsi:type="dcterms:W3CDTF">2013-12-23T23:15:00Z</dcterms:modified>
  <cp:category/>
</cp:coreProperties>
</file>