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PRAYCG Control Center Future Ecosystem Vision</w:t>
      </w:r>
    </w:p>
    <w:p>
      <w:pPr>
        <w:pStyle w:val="DocumentSubtitle"/>
        <w:jc w:val="left"/>
      </w:pPr>
      <w:r>
        <w:t>A local first framework for reproducible neuroscience studies</w:t>
      </w:r>
    </w:p>
    <w:p>
      <w:pPr>
        <w:pStyle w:val="SmallMetadata"/>
      </w:pPr>
      <w:r>
        <w:t>Release 1.0.0 alpha 9.0.0</w:t>
      </w:r>
    </w:p>
    <w:p>
      <w:pPr>
        <w:pStyle w:val="SmallMetadata"/>
      </w:pPr>
      <w:r>
        <w:t>Prepared 15 September 2026</w:t>
      </w:r>
    </w:p>
    <w:p>
      <w:pPr>
        <w:pStyle w:val="SmallMetadata"/>
      </w:pPr>
      <w:r>
        <w:t>Audience  Researchers operators developers and reviewers</w:t>
      </w:r>
    </w:p>
    <w:p/>
    <w:p>
      <w:pPr>
        <w:spacing w:before="480" w:after="240"/>
      </w:pPr>
      <w:r>
        <w:rPr>
          <w:b/>
          <w:sz w:val="25"/>
        </w:rPr>
        <w:t>This document formalizes the intended future direction of PRAYCG and defines the contracts governance and publication boundaries needed to guide a study from initial concept through reproducible release.</w:t>
      </w:r>
    </w:p>
    <w:p>
      <w:pPr>
        <w:spacing w:before="160" w:after="240"/>
      </w:pPr>
      <w:r>
        <w:t>PRAYCG is open alpha software for local research workflow development. Software checks and file integrity do not establish physical hardware safety, signal validity, participant protection, scientific validity, clinical utility, or reproducibility on another apparatus.</w:t>
      </w:r>
    </w:p>
    <w:p>
      <w:r>
        <w:br w:type="page"/>
      </w:r>
    </w:p>
    <w:p>
      <w:pPr>
        <w:pStyle w:val="Heading1"/>
      </w:pPr>
      <w:r>
        <w:t>Document map</w:t>
      </w:r>
    </w:p>
    <w:p>
      <w:r>
        <w:t>Use this map to find the part of the document that matches the task at hand.</w:t>
      </w:r>
    </w:p>
    <w:p>
      <w:pPr>
        <w:pStyle w:val="ListBullet"/>
      </w:pPr>
      <w:r>
        <w:t>Purpose users and operating principles</w:t>
      </w:r>
    </w:p>
    <w:p>
      <w:pPr>
        <w:pStyle w:val="ListBullet"/>
      </w:pPr>
      <w:r>
        <w:t>Target study lifecycle and research object model</w:t>
      </w:r>
    </w:p>
    <w:p>
      <w:pPr>
        <w:pStyle w:val="ListBullet"/>
      </w:pPr>
      <w:r>
        <w:t>Protocol stimulus hardware and acquisition architecture</w:t>
      </w:r>
    </w:p>
    <w:p>
      <w:pPr>
        <w:pStyle w:val="ListBullet"/>
      </w:pPr>
      <w:r>
        <w:t>Analysis visualization and offline interpretation</w:t>
      </w:r>
    </w:p>
    <w:p>
      <w:pPr>
        <w:pStyle w:val="ListBullet"/>
      </w:pPr>
      <w:r>
        <w:t>Research bundles and the PRAYCG DATA catalog</w:t>
      </w:r>
    </w:p>
    <w:p>
      <w:pPr>
        <w:pStyle w:val="ListBullet"/>
      </w:pPr>
      <w:r>
        <w:t>Governance roadmap and measures of success</w:t>
      </w:r>
    </w:p>
    <w:p>
      <w:pPr>
        <w:pStyle w:val="Heading1"/>
      </w:pPr>
      <w:r>
        <w:t>Vision statement</w:t>
      </w:r>
    </w:p>
    <w:p>
      <w:r>
        <w:t>PRAYCG is an open local first neuroscience ecosystem that guides a study from initial concept through reproducible publication. It provides a continuous path from workspace creation protocol selection and stimulus fingerprinting through hardware configuration synchronized acquisition protocol execution analysis visualization and offline interpretation.</w:t>
      </w:r>
    </w:p>
    <w:p>
      <w:r>
        <w:t>Every protocol stimulus hardware profile software component data stream and analytical decision should be versioned fingerprinted and preserved. The resulting study should be inspectable as a chain of declared inputs decisions events transformations and outputs so another person can audit the work reproduce the analysis extend it or rerun the acquisition under a clearly identified configuration.</w:t>
      </w:r>
    </w:p>
    <w:p>
      <w:r>
        <w:t>PRAYCG is intended to provide a shared technical language for institutional laboratories private companies independent researchers biohackers and curious individuals. Running a workflow does not make an experiment scientifically valid. The system should make assumptions methods timing provenance limitations and results visible enough for informed evaluation.</w:t>
      </w:r>
    </w:p>
    <w:p>
      <w:pPr>
        <w:pStyle w:val="Heading1"/>
      </w:pPr>
      <w:r>
        <w:t>Purpose and intended users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0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User group</w:t>
            </w:r>
          </w:p>
        </w:tc>
        <w:tc>
          <w:tcPr>
            <w:tcW w:type="dxa" w:w="4031"/>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Need PRAYCG should address</w:t>
            </w:r>
          </w:p>
        </w:tc>
        <w:tc>
          <w:tcPr>
            <w:tcW w:type="dxa" w:w="3671"/>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Shared evidence</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Institutional laboratory</w:t>
            </w:r>
          </w:p>
        </w:tc>
        <w:tc>
          <w:tcPr>
            <w:tcW w:type="dxa" w:w="40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Governed protocols equipment evidence team review and reproducible handoff</w:t>
            </w:r>
          </w:p>
        </w:tc>
        <w:tc>
          <w:tcPr>
            <w:tcW w:type="dxa" w:w="367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Versioned study package audit trail and approved analysis plan</w:t>
            </w:r>
          </w:p>
        </w:tc>
      </w:tr>
      <w:tr>
        <w:trPr>
          <w:cantSplit w:val="true"/>
        </w:trPr>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Private company</w:t>
            </w:r>
          </w:p>
        </w:tc>
        <w:tc>
          <w:tcPr>
            <w:tcW w:type="dxa" w:w="403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Local control proprietary workflow boundaries and comparable validation records</w:t>
            </w:r>
          </w:p>
        </w:tc>
        <w:tc>
          <w:tcPr>
            <w:tcW w:type="dxa" w:w="367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Explicit contracts software inventory and claim limits</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Independent researcher</w:t>
            </w:r>
          </w:p>
        </w:tc>
        <w:tc>
          <w:tcPr>
            <w:tcW w:type="dxa" w:w="40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Accessible protocol construction heterogeneous hardware and reproducible analysis</w:t>
            </w:r>
          </w:p>
        </w:tc>
        <w:tc>
          <w:tcPr>
            <w:tcW w:type="dxa" w:w="367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Portable manifests hashes and local review bundle</w:t>
            </w:r>
          </w:p>
        </w:tc>
      </w:tr>
      <w:tr>
        <w:trPr>
          <w:cantSplit w:val="true"/>
        </w:trPr>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Biohacker</w:t>
            </w:r>
          </w:p>
        </w:tc>
        <w:tc>
          <w:tcPr>
            <w:tcW w:type="dxa" w:w="403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Safe bounded experimentation without hidden automation</w:t>
            </w:r>
          </w:p>
        </w:tc>
        <w:tc>
          <w:tcPr>
            <w:tcW w:type="dxa" w:w="367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Bench classification device cautions and transparent eligibility</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Curious individual</w:t>
            </w:r>
          </w:p>
        </w:tc>
        <w:tc>
          <w:tcPr>
            <w:tcW w:type="dxa" w:w="40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 guided way to explore a testable idea without overstating the result</w:t>
            </w:r>
          </w:p>
        </w:tc>
        <w:tc>
          <w:tcPr>
            <w:tcW w:type="dxa" w:w="367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Plain language steps limitations and reusable public methods</w:t>
            </w:r>
          </w:p>
        </w:tc>
      </w:tr>
      <w:tr>
        <w:trPr>
          <w:cantSplit w:val="true"/>
        </w:trPr>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External reviewer</w:t>
            </w:r>
          </w:p>
        </w:tc>
        <w:tc>
          <w:tcPr>
            <w:tcW w:type="dxa" w:w="403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Enough structure to inspect or reproduce the work independently</w:t>
            </w:r>
          </w:p>
        </w:tc>
        <w:tc>
          <w:tcPr>
            <w:tcW w:type="dxa" w:w="367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Complete provenance machine readable inventories and declared missingness</w:t>
            </w:r>
          </w:p>
        </w:tc>
      </w:tr>
    </w:tbl>
    <w:p>
      <w:pPr>
        <w:spacing w:after="0"/>
      </w:pPr>
    </w:p>
    <w:p>
      <w:pPr>
        <w:pStyle w:val="Heading1"/>
      </w:pPr>
      <w:r>
        <w:t>Operating principles</w:t>
      </w:r>
    </w:p>
    <w:p>
      <w:pPr>
        <w:pStyle w:val="ListBullet"/>
      </w:pPr>
      <w:r>
        <w:t>Local first operation keeps design acquisition raw data and analysis usable without dependence on a central cloud service.</w:t>
      </w:r>
    </w:p>
    <w:p>
      <w:pPr>
        <w:pStyle w:val="ListBullet"/>
      </w:pPr>
      <w:r>
        <w:t>Open contracts define interoperability at protocol stimulus hardware stream event analysis and bundle boundaries.</w:t>
      </w:r>
    </w:p>
    <w:p>
      <w:pPr>
        <w:pStyle w:val="ListBullet"/>
      </w:pPr>
      <w:r>
        <w:t>Authority remains separated. Discovery does not approve selection does not arm and software execution does not establish scientific validity.</w:t>
      </w:r>
    </w:p>
    <w:p>
      <w:pPr>
        <w:pStyle w:val="ListBullet"/>
      </w:pPr>
      <w:r>
        <w:t>Identity is explicit. Files directories generated recipes streams devices software and decisions receive stable versioned identities and hashes.</w:t>
      </w:r>
    </w:p>
    <w:p>
      <w:pPr>
        <w:pStyle w:val="ListBullet"/>
      </w:pPr>
      <w:r>
        <w:t>Missing ambiguous and invalid evidence remains visible. The system does not silently choose among duplicates or replace unavailable measurements with favorable values.</w:t>
      </w:r>
    </w:p>
    <w:p>
      <w:pPr>
        <w:pStyle w:val="ListBullet"/>
      </w:pPr>
      <w:r>
        <w:t>Privacy is designed into storage export and publication rather than added after analysis.</w:t>
      </w:r>
    </w:p>
    <w:p>
      <w:pPr>
        <w:pStyle w:val="ListBullet"/>
      </w:pPr>
      <w:r>
        <w:t>The system should remain useful at different levels of laboratory sophistication while keeping the same evidence vocabulary.</w:t>
      </w:r>
    </w:p>
    <w:p>
      <w:pPr>
        <w:pStyle w:val="ListBullet"/>
      </w:pPr>
      <w:r>
        <w:t>A published bundle must state what another person can reproduce from the included material and what still requires unavailable hardware media permissions or human subjects approval.</w:t>
      </w:r>
    </w:p>
    <w:p>
      <w:pPr>
        <w:pStyle w:val="Heading1"/>
      </w:pPr>
      <w:r>
        <w:t>Target study lifecycle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7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Lifecycle phase</w:t>
            </w:r>
          </w:p>
        </w:tc>
        <w:tc>
          <w:tcPr>
            <w:tcW w:type="dxa" w:w="41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Future capability</w:t>
            </w:r>
          </w:p>
        </w:tc>
        <w:tc>
          <w:tcPr>
            <w:tcW w:type="dxa" w:w="38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Required preserved record</w:t>
            </w:r>
          </w:p>
        </w:tc>
      </w:tr>
      <w:tr>
        <w:trPr>
          <w:cantSplit w:val="true"/>
        </w:trP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Concept</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Capture the question theory hypotheses endpoints constraints and unresolved decisions</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Study brief decision log and preregistration state</w:t>
            </w:r>
          </w:p>
        </w:tc>
      </w:tr>
      <w:tr>
        <w:trPr>
          <w:cantSplit w:val="true"/>
        </w:trPr>
        <w:tc>
          <w:tcPr>
            <w:tcW w:type="dxa" w:w="17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Workspace</w:t>
            </w:r>
          </w:p>
        </w:tc>
        <w:tc>
          <w:tcPr>
            <w:tcW w:type="dxa" w:w="41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Create a durable study identity roles storage policy and privacy tier</w:t>
            </w:r>
          </w:p>
        </w:tc>
        <w:tc>
          <w:tcPr>
            <w:tcW w:type="dxa" w:w="38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Study manifest UUID governance and location inventory</w:t>
            </w:r>
          </w:p>
        </w:tc>
      </w:tr>
      <w:tr>
        <w:trPr>
          <w:cantSplit w:val="true"/>
        </w:trP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Protocol</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Select fork or author a reviewed protocol</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Manifest runner engine parameters timeline and claim boundary</w:t>
            </w:r>
          </w:p>
        </w:tc>
      </w:tr>
      <w:tr>
        <w:trPr>
          <w:cantSplit w:val="true"/>
        </w:trPr>
        <w:tc>
          <w:tcPr>
            <w:tcW w:type="dxa" w:w="17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Stimulus</w:t>
            </w:r>
          </w:p>
        </w:tc>
        <w:tc>
          <w:tcPr>
            <w:tcW w:type="dxa" w:w="41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Import generate validate transform and fingerprint materials</w:t>
            </w:r>
          </w:p>
        </w:tc>
        <w:tc>
          <w:tcPr>
            <w:tcW w:type="dxa" w:w="38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Source rights recipe derivatives hashes and presentation contract</w:t>
            </w:r>
          </w:p>
        </w:tc>
      </w:tr>
      <w:tr>
        <w:trPr>
          <w:cantSplit w:val="true"/>
        </w:trP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Hardware</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Compose consumer or laboratory devices through admitted adapters</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Device adapter route calibration safety and stream contracts</w:t>
            </w:r>
          </w:p>
        </w:tc>
      </w:tr>
      <w:tr>
        <w:trPr>
          <w:cantSplit w:val="true"/>
        </w:trPr>
        <w:tc>
          <w:tcPr>
            <w:tcW w:type="dxa" w:w="17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Acquisition</w:t>
            </w:r>
          </w:p>
        </w:tc>
        <w:tc>
          <w:tcPr>
            <w:tcW w:type="dxa" w:w="41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Verify synchronized live delivery and run the locked session</w:t>
            </w:r>
          </w:p>
        </w:tc>
        <w:tc>
          <w:tcPr>
            <w:tcW w:type="dxa" w:w="38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Session lock stream metadata clock evidence events raw recording and run state</w:t>
            </w:r>
          </w:p>
        </w:tc>
      </w:tr>
      <w:tr>
        <w:trPr>
          <w:cantSplit w:val="true"/>
        </w:trP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Quality control</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Evaluate integrity timing coverage artifacts and exclusions</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Machine results operator review and exclusion ledger</w:t>
            </w:r>
          </w:p>
        </w:tc>
      </w:tr>
      <w:tr>
        <w:trPr>
          <w:cantSplit w:val="true"/>
        </w:trPr>
        <w:tc>
          <w:tcPr>
            <w:tcW w:type="dxa" w:w="17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Analysis</w:t>
            </w:r>
          </w:p>
        </w:tc>
        <w:tc>
          <w:tcPr>
            <w:tcW w:type="dxa" w:w="41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Lock and execute a dependency aware plan</w:t>
            </w:r>
          </w:p>
        </w:tc>
        <w:tc>
          <w:tcPr>
            <w:tcW w:type="dxa" w:w="38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Code environment parameters inputs outputs missingness and multiplicity family</w:t>
            </w:r>
          </w:p>
        </w:tc>
      </w:tr>
      <w:tr>
        <w:trPr>
          <w:cantSplit w:val="true"/>
        </w:trP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Interpretation</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Create technical research and public safe readings without exceeding evidence</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Evidence ledger claim ceiling uncertainty and alternative explanations</w:t>
            </w:r>
          </w:p>
        </w:tc>
      </w:tr>
      <w:tr>
        <w:trPr>
          <w:cantSplit w:val="true"/>
        </w:trPr>
        <w:tc>
          <w:tcPr>
            <w:tcW w:type="dxa" w:w="17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Publication</w:t>
            </w:r>
          </w:p>
        </w:tc>
        <w:tc>
          <w:tcPr>
            <w:tcW w:type="dxa" w:w="41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Build privacy reviewed research bundles and publish catalog metadata</w:t>
            </w:r>
          </w:p>
        </w:tc>
        <w:tc>
          <w:tcPr>
            <w:tcW w:type="dxa" w:w="38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Bundle manifest checksums license consent tier and review decisions</w:t>
            </w:r>
          </w:p>
        </w:tc>
      </w:tr>
      <w:tr>
        <w:trPr>
          <w:cantSplit w:val="true"/>
        </w:trP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Reproduction</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Recompute reanalyze or rerun under a derived workspace</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Relationship to source bundle deviations results and replication status</w:t>
            </w:r>
          </w:p>
        </w:tc>
      </w:tr>
    </w:tbl>
    <w:p>
      <w:pPr>
        <w:spacing w:after="0"/>
      </w:pPr>
    </w:p>
    <w:p>
      <w:pPr>
        <w:pStyle w:val="Heading1"/>
      </w:pPr>
      <w:r>
        <w:t>Canonical research objects</w:t>
      </w:r>
    </w:p>
    <w:p>
      <w:r>
        <w:t>The future ecosystem should exchange typed research objects instead of relying on folder names and informal instructions. Every object needs a schema version stable identifier content hash lifecycle state authority declaration provenance and human readable summary.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0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Object</w:t>
            </w:r>
          </w:p>
        </w:tc>
        <w:tc>
          <w:tcPr>
            <w:tcW w:type="dxa" w:w="38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Minimum identity</w:t>
            </w:r>
          </w:p>
        </w:tc>
        <w:tc>
          <w:tcPr>
            <w:tcW w:type="dxa" w:w="381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Key relationships</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Study Workspace</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Study UUID schema privacy tier and owner policy</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References sessions protocols analysis plans and bundles</w:t>
            </w:r>
          </w:p>
        </w:tc>
      </w:tr>
      <w:tr>
        <w:trPr>
          <w:cantSplit w:val="true"/>
        </w:trPr>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Protocol Module</w:t>
            </w:r>
          </w:p>
        </w:tc>
        <w:tc>
          <w:tcPr>
            <w:tcW w:type="dxa" w:w="38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Protocol ID version manifest runner engine and compiled timeline hashes</w:t>
            </w:r>
          </w:p>
        </w:tc>
        <w:tc>
          <w:tcPr>
            <w:tcW w:type="dxa" w:w="38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References stimuli hardware roles events responses and endpoints</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Stimulus Package</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Stimulus ID source and derivative hashes rights status and presentation rules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Satisfies protocol material roles</w:t>
            </w:r>
          </w:p>
        </w:tc>
      </w:tr>
      <w:tr>
        <w:trPr>
          <w:cantSplit w:val="true"/>
        </w:trPr>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Hardware Profile</w:t>
            </w:r>
          </w:p>
        </w:tc>
        <w:tc>
          <w:tcPr>
            <w:tcW w:type="dxa" w:w="38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Profile ID reviewed modules routes device identities and safety state</w:t>
            </w:r>
          </w:p>
        </w:tc>
        <w:tc>
          <w:tcPr>
            <w:tcW w:type="dxa" w:w="38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Satisfies protocol semantic roles</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Stream Contract</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Name type shape ordered channels units source policy timing and privacy</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Binds adapter route to observed LSL stream</w:t>
            </w:r>
          </w:p>
        </w:tc>
      </w:tr>
      <w:tr>
        <w:trPr>
          <w:cantSplit w:val="true"/>
        </w:trPr>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Session Lock</w:t>
            </w:r>
          </w:p>
        </w:tc>
        <w:tc>
          <w:tcPr>
            <w:tcW w:type="dxa" w:w="38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Run UUID exact protocol materials profile policy and preflight hashes</w:t>
            </w:r>
          </w:p>
        </w:tc>
        <w:tc>
          <w:tcPr>
            <w:tcW w:type="dxa" w:w="38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Authorizes one acquisition attempt</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Analysis Plan</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Plan ID module graph parameters multiplicity and authority</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Consumes reviewed run evidence</w:t>
            </w:r>
          </w:p>
        </w:tc>
      </w:tr>
      <w:tr>
        <w:trPr>
          <w:cantSplit w:val="true"/>
        </w:trPr>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Research Bundle</w:t>
            </w:r>
          </w:p>
        </w:tc>
        <w:tc>
          <w:tcPr>
            <w:tcW w:type="dxa" w:w="38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Bundle ID version inventory checksums review and license</w:t>
            </w:r>
          </w:p>
        </w:tc>
        <w:tc>
          <w:tcPr>
            <w:tcW w:type="dxa" w:w="38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Packages a declared publication tier</w:t>
            </w:r>
          </w:p>
        </w:tc>
      </w:tr>
      <w:tr>
        <w:trPr>
          <w:cantSplit w:val="true"/>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Replication Record</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Derived study ID source bundle ID deviations and outcome</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Connects reruns and independent analyses</w:t>
            </w:r>
          </w:p>
        </w:tc>
      </w:tr>
    </w:tbl>
    <w:p>
      <w:pPr>
        <w:spacing w:after="0"/>
      </w:pPr>
    </w:p>
    <w:p>
      <w:pPr>
        <w:pStyle w:val="Heading1"/>
      </w:pPr>
      <w:r>
        <w:t>Protocol and stimulus ecosystem</w:t>
      </w:r>
    </w:p>
    <w:p>
      <w:r>
        <w:t>Protocol creation should begin with a structured design brief and end with an admitted declarative module whose participant experience responses timing markers safety rules stopping conditions analysis handoff and claim boundary can be inspected before execution. AI may help draft documents code and tests but cannot admit its own output or grant runtime authority.</w:t>
      </w:r>
    </w:p>
    <w:p>
      <w:r>
        <w:t>Stimulus handling should preserve both source identity and every transformation. A generated stimulus should record its recipe seed software version and render settings. An imported stimulus should record its rights review source hash and expected presentation properties. Fingerprinting should extend beyond byte identity to declared duration dimensions audio policy color or luminance assumptions and protocol specific validation when those properties matter.</w:t>
      </w:r>
    </w:p>
    <w:p>
      <w:pPr>
        <w:pStyle w:val="Heading1"/>
      </w:pPr>
      <w:r>
        <w:t>Hardware Forge and plug and play acquisition</w:t>
      </w:r>
    </w:p>
    <w:p>
      <w:r>
        <w:t>The Hardware Forge should make common EEG EMG ECG EDA PPG respiration eye tracking and wearable heart devices usable through a consistent admission path. Plug and play should mean that the user can discover a supported route install or select its adapter verify a complete stream contract run device specific checks and assemble a reviewed profile without editing acquisition code. It should not mean that any discovered stream is automatically safe or scientifically adequate.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Admission state</w:t>
            </w:r>
          </w:p>
        </w:tc>
        <w:tc>
          <w:tcPr>
            <w:tcW w:type="dxa" w:w="44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Evidence required</w:t>
            </w:r>
          </w:p>
        </w:tc>
        <w:tc>
          <w:tcPr>
            <w:tcW w:type="dxa" w:w="309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Permitted use</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Catalog only</w:t>
            </w:r>
          </w:p>
        </w:tc>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Documented device route license and expected contract</w:t>
            </w:r>
          </w:p>
        </w:tc>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Planning and discovery</w:t>
            </w:r>
          </w:p>
        </w:tc>
      </w:tr>
      <w:tr>
        <w:trPr>
          <w:cantSplit w:val="true"/>
        </w:trPr>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Simulator verified</w:t>
            </w:r>
          </w:p>
        </w:tc>
        <w:tc>
          <w:tcPr>
            <w:tcW w:type="dxa" w:w="44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Deterministic synthetic transport and metadata tests</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Software development without physical claims</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Bench verified</w:t>
            </w:r>
          </w:p>
        </w:tc>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Physical device delivery stability units timing and failure behavior</w:t>
            </w:r>
          </w:p>
        </w:tc>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Equipment development without participant approval</w:t>
            </w:r>
          </w:p>
        </w:tc>
      </w:tr>
      <w:tr>
        <w:trPr>
          <w:cantSplit w:val="true"/>
        </w:trPr>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Human connected approved</w:t>
            </w:r>
          </w:p>
        </w:tc>
        <w:tc>
          <w:tcPr>
            <w:tcW w:type="dxa" w:w="44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Applicable safety review controlled connection evidence and governed operating procedure</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Participant use within the reviewed protocol and institution</w:t>
            </w:r>
          </w:p>
        </w:tc>
      </w:tr>
    </w:tbl>
    <w:p>
      <w:pPr>
        <w:spacing w:after="0"/>
      </w:pPr>
    </w:p>
    <w:p>
      <w:pPr>
        <w:pStyle w:val="ListBullet"/>
      </w:pPr>
      <w:r>
        <w:t>Prefer validated LSL output as the interoperability boundary for external bridges rather than copying every upstream project into PRAYCG.</w:t>
      </w:r>
    </w:p>
    <w:p>
      <w:pPr>
        <w:pStyle w:val="ListBullet"/>
      </w:pPr>
      <w:r>
        <w:t>Require complete ordered channel labels types and units and reject ambiguous outlet matches.</w:t>
      </w:r>
    </w:p>
    <w:p>
      <w:pPr>
        <w:pStyle w:val="ListBullet"/>
      </w:pPr>
      <w:r>
        <w:t>Record nominal and observed rate clock correction drift jitter gaps timestamp regressions and source UID continuity.</w:t>
      </w:r>
    </w:p>
    <w:p>
      <w:pPr>
        <w:pStyle w:val="ListBullet"/>
      </w:pPr>
      <w:r>
        <w:t>Separate transport health from contact quality calibration physiological plausibility and device safety.</w:t>
      </w:r>
    </w:p>
    <w:p>
      <w:pPr>
        <w:pStyle w:val="ListBullet"/>
      </w:pPr>
      <w:r>
        <w:t>Make adapter installation licensing operating mode and data privacy visible before profile approval.</w:t>
      </w:r>
    </w:p>
    <w:p>
      <w:pPr>
        <w:pStyle w:val="Heading1"/>
      </w:pPr>
      <w:r>
        <w:t>Synchronized acquisition and protocol execution</w:t>
      </w:r>
    </w:p>
    <w:p>
      <w:r>
        <w:t>The session lock should be the reproducible boundary between preparation and execution. It should contain the exact protocol compiled timeline stimuli hardware profile stream contracts participant pseudonym session policy live evidence software environment and expected outputs. One lock should authorize one acquisition attempt through a process bound one use lease.</w:t>
      </w:r>
    </w:p>
    <w:p>
      <w:r>
        <w:t>Timing evidence should identify which boundary it measures. Software display flips audio requests LSL timestamps photodiode transitions device clocks and recorder timestamps are different observations. The system should preserve their relationship uncertainty and calibration rather than collapsing them into one unqualified onset time.</w:t>
      </w:r>
    </w:p>
    <w:p>
      <w:pPr>
        <w:pStyle w:val="Heading1"/>
      </w:pPr>
      <w:r>
        <w:t>Analysis visualization and interpretation</w:t>
      </w:r>
    </w:p>
    <w:p>
      <w:r>
        <w:t>Analysis should be planned as a versioned dependency graph with explicit eligibility inputs outputs preprocessing parameters quality thresholds missing data rules multiplicity families and conclusion authority. The graph should allow independent tools while preventing stale partial output from being mistaken for a current primary result.</w:t>
      </w:r>
    </w:p>
    <w:p>
      <w:pPr>
        <w:pStyle w:val="ListBullet"/>
      </w:pPr>
      <w:r>
        <w:t>Visualizations should be reproducible outputs generated from versioned data and parameters rather than manually assembled illustrations.</w:t>
      </w:r>
    </w:p>
    <w:p>
      <w:pPr>
        <w:pStyle w:val="ListBullet"/>
      </w:pPr>
      <w:r>
        <w:t>Visualizer videos should carry the source bundle ID software version selected signals scaling policy event mapping and render parameters.</w:t>
      </w:r>
    </w:p>
    <w:p>
      <w:pPr>
        <w:pStyle w:val="ListBullet"/>
      </w:pPr>
      <w:r>
        <w:t>Offline interpretation should build an evidence ledger before prose and distinguish observations quality failures descriptive findings confirmatory tests and speculation.</w:t>
      </w:r>
    </w:p>
    <w:p>
      <w:pPr>
        <w:pStyle w:val="ListBullet"/>
      </w:pPr>
      <w:r>
        <w:t>Automated reports should state unavailable evidence and claim ceilings in the report itself.</w:t>
      </w:r>
    </w:p>
    <w:p>
      <w:pPr>
        <w:pStyle w:val="ListBullet"/>
      </w:pPr>
      <w:r>
        <w:t>Independent reanalysis should preserve the source bundle and create a derived plan output inventory and interpretation rather than overwriting the original record.</w:t>
      </w:r>
    </w:p>
    <w:p>
      <w:pPr>
        <w:pStyle w:val="Heading1"/>
      </w:pPr>
      <w:r>
        <w:t>Research bundle model</w:t>
      </w:r>
    </w:p>
    <w:p>
      <w:r>
        <w:t>Completed studies should support several bundle tiers because the complete local record and the public record often have different privacy and licensing limits. A bundle must never imply that excluded raw data can be reconstructed or that a public summary is a complete reproducibility package.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16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Bundle tier</w:t>
            </w:r>
          </w:p>
        </w:tc>
        <w:tc>
          <w:tcPr>
            <w:tcW w:type="dxa" w:w="489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Possible contents</w:t>
            </w:r>
          </w:p>
        </w:tc>
        <w:tc>
          <w:tcPr>
            <w:tcW w:type="dxa" w:w="273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Release condition</w:t>
            </w:r>
          </w:p>
        </w:tc>
      </w:tr>
      <w:tr>
        <w:trPr>
          <w:cantSplit w:val="true"/>
        </w:trPr>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Private complete</w:t>
            </w:r>
          </w:p>
        </w:tc>
        <w:tc>
          <w:tcPr>
            <w:tcW w:type="dxa" w:w="48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Raw recordings protocols stimuli where licensed acquisition evidence code environments outputs reports and visualizations</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Local or controlled access under the study governance plan</w:t>
            </w:r>
          </w:p>
        </w:tc>
      </w:tr>
      <w:tr>
        <w:trPr>
          <w:cantSplit w:val="true"/>
        </w:trPr>
        <w:tc>
          <w:tcPr>
            <w:tcW w:type="dxa" w:w="216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Controlled research</w:t>
            </w:r>
          </w:p>
        </w:tc>
        <w:tc>
          <w:tcPr>
            <w:tcW w:type="dxa" w:w="48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Pseudonymized raw or minimally processed data plus full methods and analysis</w:t>
            </w:r>
          </w:p>
        </w:tc>
        <w:tc>
          <w:tcPr>
            <w:tcW w:type="dxa" w:w="27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Consent ethics privacy reidentification and access review</w:t>
            </w:r>
          </w:p>
        </w:tc>
      </w:tr>
      <w:tr>
        <w:trPr>
          <w:cantSplit w:val="true"/>
        </w:trPr>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Public reproducibility</w:t>
            </w:r>
          </w:p>
        </w:tc>
        <w:tc>
          <w:tcPr>
            <w:tcW w:type="dxa" w:w="48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Public safe raw data only when explicitly approved otherwise standardized derivatives methods code provenance reports and checksums</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Privacy licensing consent and claim review</w:t>
            </w:r>
          </w:p>
        </w:tc>
      </w:tr>
      <w:tr>
        <w:trPr>
          <w:cantSplit w:val="true"/>
        </w:trPr>
        <w:tc>
          <w:tcPr>
            <w:tcW w:type="dxa" w:w="216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Public methods</w:t>
            </w:r>
          </w:p>
        </w:tc>
        <w:tc>
          <w:tcPr>
            <w:tcW w:type="dxa" w:w="48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Protocols schemas synthetic examples adapters and reusable analysis code without participant data</w:t>
            </w:r>
          </w:p>
        </w:tc>
        <w:tc>
          <w:tcPr>
            <w:tcW w:type="dxa" w:w="27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License and public package review</w:t>
            </w:r>
          </w:p>
        </w:tc>
      </w:tr>
    </w:tbl>
    <w:p>
      <w:pPr>
        <w:spacing w:after="0"/>
      </w:pPr>
    </w:p>
    <w:p>
      <w:r>
        <w:t>The current Alpha 9 Results Bundle Builder corresponds to a local review bundle. It excludes raw biosignal files and has no network or publication authority. Future raw data bundling must be introduced as a separately reviewed capability with consent aware privacy controls and must not weaken the current default exclusion.</w:t>
      </w:r>
    </w:p>
    <w:p>
      <w:pPr>
        <w:pStyle w:val="Heading1"/>
      </w:pPr>
      <w:r>
        <w:t>PRAYCG DATA catalog</w:t>
      </w:r>
    </w:p>
    <w:p>
      <w:r>
        <w:t>PRAYCG DATA should be a catalog of immutable versioned research bundles and their relationships. It should help people find methods inspect evidence verify checksums download permitted materials reproduce an analysis register a rerun or publish an independent interpretation. The catalog should not execute unreviewed code grant scientific endorsement or require central custody of private raw data.</w:t>
      </w:r>
    </w:p>
    <w:p>
      <w:pPr>
        <w:pStyle w:val="ListBullet"/>
      </w:pPr>
      <w:r>
        <w:t>Each listing receives a stable bundle identifier version content digest and visible supersession history.</w:t>
      </w:r>
    </w:p>
    <w:p>
      <w:pPr>
        <w:pStyle w:val="ListBullet"/>
      </w:pPr>
      <w:r>
        <w:t>Search fields include protocol task population modalities devices stream contracts stimulus class endpoint families software and licensing.</w:t>
      </w:r>
    </w:p>
    <w:p>
      <w:pPr>
        <w:pStyle w:val="ListBullet"/>
      </w:pPr>
      <w:r>
        <w:t>The listing states which files are public controlled unavailable or represented by a cryptographic inventory only.</w:t>
      </w:r>
    </w:p>
    <w:p>
      <w:pPr>
        <w:pStyle w:val="ListBullet"/>
      </w:pPr>
      <w:r>
        <w:t>Independent reproductions reruns and analyses link to the source bundle and declare every deviation.</w:t>
      </w:r>
    </w:p>
    <w:p>
      <w:pPr>
        <w:pStyle w:val="ListBullet"/>
      </w:pPr>
      <w:r>
        <w:t>Validation badges describe completed checks such as schema integrity checksum verification or container replay. They must not be presented as scientific endorsement.</w:t>
      </w:r>
    </w:p>
    <w:p>
      <w:pPr>
        <w:pStyle w:val="ListBullet"/>
      </w:pPr>
      <w:r>
        <w:t>Retraction correction and supersession records remain visible and do not silently replace prior versions.</w:t>
      </w:r>
    </w:p>
    <w:p>
      <w:pPr>
        <w:pStyle w:val="ListBullet"/>
      </w:pPr>
      <w:r>
        <w:t>Publication requires an explicit privacy licensing consent and claim boundary review separate from software completion.</w:t>
      </w:r>
    </w:p>
    <w:p>
      <w:r>
        <w:br w:type="page"/>
      </w:r>
    </w:p>
    <w:p>
      <w:pPr>
        <w:pStyle w:val="Heading1"/>
      </w:pPr>
      <w:r>
        <w:t>Governance and trust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Decision</w:t>
            </w:r>
          </w:p>
        </w:tc>
        <w:tc>
          <w:tcPr>
            <w:tcW w:type="dxa" w:w="46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Required reviewer perspective</w:t>
            </w:r>
          </w:p>
        </w:tc>
        <w:tc>
          <w:tcPr>
            <w:tcW w:type="dxa" w:w="2951"/>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Recorded outcome</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Protocol admission</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Methods safety assets software and analysis</w:t>
            </w:r>
          </w:p>
        </w:tc>
        <w:tc>
          <w:tcPr>
            <w:tcW w:type="dxa" w:w="295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Approved rejected or revision required with versioned rationale</w:t>
            </w:r>
          </w:p>
        </w:tc>
      </w:tr>
      <w:tr>
        <w:trPr>
          <w:cantSplit w:val="true"/>
        </w:trPr>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Hardware route promotion</w:t>
            </w:r>
          </w:p>
        </w:tc>
        <w:tc>
          <w:tcPr>
            <w:tcW w:type="dxa" w:w="460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Transport metadata device safety calibration and operating procedure</w:t>
            </w:r>
          </w:p>
        </w:tc>
        <w:tc>
          <w:tcPr>
            <w:tcW w:type="dxa" w:w="295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Admission state and exact evidence</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Analysis promotion</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Statistical method software tests validity and claim authority</w:t>
            </w:r>
          </w:p>
        </w:tc>
        <w:tc>
          <w:tcPr>
            <w:tcW w:type="dxa" w:w="295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Exploratory secondary or confirmatory role</w:t>
            </w:r>
          </w:p>
        </w:tc>
      </w:tr>
      <w:tr>
        <w:trPr>
          <w:cantSplit w:val="true"/>
        </w:trPr>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Bundle publication</w:t>
            </w:r>
          </w:p>
        </w:tc>
        <w:tc>
          <w:tcPr>
            <w:tcW w:type="dxa" w:w="460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Privacy consent licensing provenance and claims</w:t>
            </w:r>
          </w:p>
        </w:tc>
        <w:tc>
          <w:tcPr>
            <w:tcW w:type="dxa" w:w="295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Publication tier restrictions and reviewer decisions</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Replication link</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Identity match declared deviations and independent outcome</w:t>
            </w:r>
          </w:p>
        </w:tc>
        <w:tc>
          <w:tcPr>
            <w:tcW w:type="dxa" w:w="295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Relationship type and evidence inventory</w:t>
            </w:r>
          </w:p>
        </w:tc>
      </w:tr>
    </w:tbl>
    <w:p>
      <w:pPr>
        <w:spacing w:after="0"/>
      </w:pPr>
    </w:p>
    <w:p>
      <w:pPr>
        <w:pStyle w:val="Heading1"/>
      </w:pPr>
      <w:r>
        <w:t>Development roadmap</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Phase</w:t>
            </w:r>
          </w:p>
        </w:tc>
        <w:tc>
          <w:tcPr>
            <w:tcW w:type="dxa" w:w="496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Primary deliverable</w:t>
            </w:r>
          </w:p>
        </w:tc>
        <w:tc>
          <w:tcPr>
            <w:tcW w:type="dxa" w:w="28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Completion evidence</w:t>
            </w:r>
          </w:p>
        </w:tc>
      </w:tr>
      <w:tr>
        <w:trPr>
          <w:cantSplit w:val="true"/>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Foundation</w:t>
            </w:r>
          </w:p>
        </w:tc>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Canonical object schemas contracts local workspace and authority model</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Cross module validation and stable migrations</w:t>
            </w:r>
          </w:p>
        </w:tc>
      </w:tr>
      <w:tr>
        <w:trPr>
          <w:cantSplit w:val="true"/>
        </w:trP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Hardware expansion</w:t>
            </w:r>
          </w:p>
        </w:tc>
        <w:tc>
          <w:tcPr>
            <w:tcW w:type="dxa" w:w="496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Adapter kits stream contracts device tests and profile promotion workflow</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Bench and human connected evidence by route</w:t>
            </w:r>
          </w:p>
        </w:tc>
      </w:tr>
      <w:tr>
        <w:trPr>
          <w:cantSplit w:val="true"/>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Study packaging</w:t>
            </w:r>
          </w:p>
        </w:tc>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Tiered complete and public bundle specifications</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Privacy licensing consent and replay audits</w:t>
            </w:r>
          </w:p>
        </w:tc>
      </w:tr>
      <w:tr>
        <w:trPr>
          <w:cantSplit w:val="true"/>
        </w:trP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Reproducible compute</w:t>
            </w:r>
          </w:p>
        </w:tc>
        <w:tc>
          <w:tcPr>
            <w:tcW w:type="dxa" w:w="496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Portable analysis environments deterministic visualizations and offline interpretation</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Independent replay on a second machine</w:t>
            </w:r>
          </w:p>
        </w:tc>
      </w:tr>
      <w:tr>
        <w:trPr>
          <w:cantSplit w:val="true"/>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DATA catalog</w:t>
            </w:r>
          </w:p>
        </w:tc>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Signed immutable listings discovery relationships and controlled access hooks</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Publication review audit and external bundle verification</w:t>
            </w:r>
          </w:p>
        </w:tc>
      </w:tr>
      <w:tr>
        <w:trPr>
          <w:cantSplit w:val="true"/>
        </w:trP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Community governance</w:t>
            </w:r>
          </w:p>
        </w:tc>
        <w:tc>
          <w:tcPr>
            <w:tcW w:type="dxa" w:w="496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Transparent admission review versioning issue and correction processes</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Published policies reviewer records and maintained compatibility</w:t>
            </w:r>
          </w:p>
        </w:tc>
      </w:tr>
    </w:tbl>
    <w:p>
      <w:pPr>
        <w:spacing w:after="0"/>
      </w:pPr>
    </w:p>
    <w:p>
      <w:pPr>
        <w:pStyle w:val="Heading1"/>
      </w:pPr>
      <w:r>
        <w:t>Measures of success</w:t>
      </w:r>
    </w:p>
    <w:p>
      <w:pPr>
        <w:pStyle w:val="ListBullet"/>
      </w:pPr>
      <w:r>
        <w:t>A new operator can create a workspace and complete a bench rehearsal without editing source code.</w:t>
      </w:r>
    </w:p>
    <w:p>
      <w:pPr>
        <w:pStyle w:val="ListBullet"/>
      </w:pPr>
      <w:r>
        <w:t>A supported device can move from discovery to a reviewed profile through documented evidence and no hidden override.</w:t>
      </w:r>
    </w:p>
    <w:p>
      <w:pPr>
        <w:pStyle w:val="ListBullet"/>
      </w:pPr>
      <w:r>
        <w:t>A reviewer can trace every reported result to a locked plan exact inputs code environment and quality decision.</w:t>
      </w:r>
    </w:p>
    <w:p>
      <w:pPr>
        <w:pStyle w:val="ListBullet"/>
      </w:pPr>
      <w:r>
        <w:t>A second machine can verify a bundle inventory and rerun the permitted analysis with declared deviations.</w:t>
      </w:r>
    </w:p>
    <w:p>
      <w:pPr>
        <w:pStyle w:val="ListBullet"/>
      </w:pPr>
      <w:r>
        <w:t>A public listing makes privacy licensing missing assets and claim limits visible before download.</w:t>
      </w:r>
    </w:p>
    <w:p>
      <w:pPr>
        <w:pStyle w:val="ListBullet"/>
      </w:pPr>
      <w:r>
        <w:t>A failed replication or null result can be published with the same structure and visibility as a positive result.</w:t>
      </w:r>
    </w:p>
    <w:p>
      <w:pPr>
        <w:pStyle w:val="Heading1"/>
      </w:pPr>
      <w:r>
        <w:t>Scientific and ethical boundary</w:t>
      </w:r>
    </w:p>
    <w:p>
      <w:r>
        <w:t>PRAYCG should standardize how a study is described executed preserved and reviewed. It cannot replace domain expertise ethics review informed consent hardware safety assessment statistical judgment peer review or replication. A reproducible mistake remains a mistake and a complete evidence package can still support an uncertain or null conclusion. The ecosystem succeeds when it makes those facts easier to see.</w:t>
      </w:r>
    </w:p>
    <w:sectPr w:rsidR="00FC693F" w:rsidRPr="0006063C" w:rsidSect="00034616">
      <w:headerReference w:type="default" r:id="rId9"/>
      <w:footerReference w:type="default" r:id="rId10"/>
      <w:pgSz w:w="12240" w:h="15840"/>
      <w:pgMar w:top="1080" w:right="1181" w:bottom="1584" w:left="1181"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A5A5A"/>
        <w:sz w:val="17"/>
      </w:rPr>
      <w:t xml:space="preserve">PRAYCG Control Center Alpha 9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000000"/>
        <w:sz w:val="17"/>
      </w:rPr>
      <w:t>PRAYCG Future Ecosystem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400"/>
    </w:pPr>
    <w:rPr>
      <w:rFonts w:ascii="Arial" w:hAnsi="Arial"/>
      <w:color w:val="3C3C3C"/>
      <w:sz w:val="28"/>
    </w:rPr>
  </w:style>
  <w:style w:type="paragraph" w:customStyle="1" w:styleId="SmallMetadata">
    <w:name w:val="Small Metadata"/>
    <w:pPr>
      <w:spacing w:after="60"/>
    </w:pPr>
    <w:rPr>
      <w:rFonts w:ascii="Arial" w:hAnsi="Arial"/>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PRAYCG ControlCenter Future Ecosystem Vision</dc:title>
  <dc:subject>PRAYCG Control Center Alpha 9 documentation</dc:subject>
  <dc:creator>PRAYCG Project</dc:creator>
  <cp:keywords>PRAYCG neuroscience LSL reproducibility Alpha 9</cp:keywords>
  <dc:description>generated by python-docx</dc:description>
  <cp:lastModifiedBy/>
  <cp:revision>1</cp:revision>
  <dcterms:created xsi:type="dcterms:W3CDTF">2013-12-23T23:15:00Z</dcterms:created>
  <dcterms:modified xsi:type="dcterms:W3CDTF">2013-12-23T23:15:00Z</dcterms:modified>
  <cp:category/>
</cp:coreProperties>
</file>