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PRAYCG NUPI v0.1 Report</w:t>
      </w:r>
    </w:p>
    <w:p>
      <w:pPr>
        <w:jc w:val="center"/>
      </w:pPr>
      <w:r>
        <w:rPr>
          <w:i/>
          <w:sz w:val="20"/>
        </w:rPr>
        <w:t>Narrative Update Polarity Index: Arrival, Contact, and Field of Dreams</w:t>
      </w:r>
    </w:p>
    <w:p>
      <w:r>
        <w:t>Document status: exploratory analysis report. NUPI is a proxy-level polarity classifier, not a literal thermodynamic, clinical, moral, or consciousness measure.</w:t>
      </w:r>
    </w:p>
    <w:p>
      <w:pPr>
        <w:pStyle w:val="Heading1"/>
      </w:pPr>
      <w:r>
        <w:t>Executive conclusion</w:t>
      </w:r>
    </w:p>
    <w:p>
      <w:r>
        <w:t>NUPI v0.1 evaluates narrative-update polarity along two axes: Accommodative Load Index (ALI) and Resolutive Recovery Index (RDI). ALI estimates how much a story appears to demand model expansion or semantic work. RDI estimates whether the after-state shows regulatory recovery, reflective semantic echo, and self-reported afterglow. NUPI is computed as RDI minus ALI only when an after-state physiology layer is available.</w:t>
      </w:r>
    </w:p>
    <w:p>
      <w:pPr>
        <w:pStyle w:val="IntenseQuote"/>
      </w:pPr>
      <w:r>
        <w:rPr>
          <w:b/>
        </w:rPr>
        <w:t>Bottom line: Contact is high-load-with-recovery, Field of Dreams is resolutive-recovery, and Arrival is recognition-dominant but polarity-unresolved because it lacks a PRAYCG2.0-style Baseline2 layer and did not pass the strict gates.</w:t>
      </w:r>
    </w:p>
    <w:p>
      <w:pPr>
        <w:pStyle w:val="Heading2"/>
      </w:pPr>
      <w:r>
        <w:t>Run-level NUPI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shd w:fill="D9EAF7"/>
          </w:tcPr>
          <w:p>
            <w:r>
              <w:t>run</w:t>
            </w:r>
          </w:p>
        </w:tc>
        <w:tc>
          <w:tcPr>
            <w:tcW w:type="dxa" w:w="1704"/>
            <w:shd w:fill="D9EAF7"/>
          </w:tcPr>
          <w:p>
            <w:r>
              <w:t>ALI_accommodative_load</w:t>
            </w:r>
          </w:p>
        </w:tc>
        <w:tc>
          <w:tcPr>
            <w:tcW w:type="dxa" w:w="1704"/>
            <w:shd w:fill="D9EAF7"/>
          </w:tcPr>
          <w:p>
            <w:r>
              <w:t>RDI_resolutive_recovery</w:t>
            </w:r>
          </w:p>
        </w:tc>
        <w:tc>
          <w:tcPr>
            <w:tcW w:type="dxa" w:w="1704"/>
            <w:shd w:fill="D9EAF7"/>
          </w:tcPr>
          <w:p>
            <w:r>
              <w:t>RDI_afterstate_proxy</w:t>
            </w:r>
          </w:p>
        </w:tc>
        <w:tc>
          <w:tcPr>
            <w:tcW w:type="dxa" w:w="1704"/>
            <w:shd w:fill="D9EAF7"/>
          </w:tcPr>
          <w:p>
            <w:r>
              <w:t>NUPI</w:t>
            </w:r>
          </w:p>
        </w:tc>
        <w:tc>
          <w:tcPr>
            <w:tcW w:type="dxa" w:w="1704"/>
            <w:shd w:fill="D9EAF7"/>
          </w:tcPr>
          <w:p>
            <w:r>
              <w:t>polarity_class</w:t>
            </w:r>
          </w:p>
        </w:tc>
      </w:tr>
      <w:tr>
        <w:tc>
          <w:tcPr>
            <w:tcW w:type="dxa" w:w="1704"/>
            <w:vAlign w:val="top"/>
          </w:tcPr>
          <w:p>
            <w:r>
              <w:t>Arrival</w:t>
            </w:r>
          </w:p>
        </w:tc>
        <w:tc>
          <w:tcPr>
            <w:tcW w:type="dxa" w:w="1704"/>
            <w:vAlign w:val="top"/>
          </w:tcPr>
          <w:p>
            <w:r>
              <w:t>0.382</w:t>
            </w:r>
          </w:p>
        </w:tc>
        <w:tc>
          <w:tcPr>
            <w:tcW w:type="dxa" w:w="1704"/>
            <w:vAlign w:val="top"/>
          </w:tcPr>
          <w:p>
            <w:r/>
          </w:p>
        </w:tc>
        <w:tc>
          <w:tcPr>
            <w:tcW w:type="dxa" w:w="1704"/>
            <w:vAlign w:val="top"/>
          </w:tcPr>
          <w:p>
            <w:r>
              <w:t>0.911</w:t>
            </w:r>
          </w:p>
        </w:tc>
        <w:tc>
          <w:tcPr>
            <w:tcW w:type="dxa" w:w="1704"/>
            <w:vAlign w:val="top"/>
          </w:tcPr>
          <w:p>
            <w:r/>
          </w:p>
        </w:tc>
        <w:tc>
          <w:tcPr>
            <w:tcW w:type="dxa" w:w="1704"/>
            <w:vAlign w:val="top"/>
          </w:tcPr>
          <w:p>
            <w:r>
              <w:t>POLARITY_UNRESOLVED_NO_BASELINE2</w:t>
            </w:r>
          </w:p>
        </w:tc>
      </w:tr>
      <w:tr>
        <w:tc>
          <w:tcPr>
            <w:tcW w:type="dxa" w:w="1704"/>
            <w:vAlign w:val="top"/>
          </w:tcPr>
          <w:p>
            <w:r>
              <w:t>Contact</w:t>
            </w:r>
          </w:p>
        </w:tc>
        <w:tc>
          <w:tcPr>
            <w:tcW w:type="dxa" w:w="1704"/>
            <w:vAlign w:val="top"/>
          </w:tcPr>
          <w:p>
            <w:r>
              <w:t>0.658</w:t>
            </w:r>
          </w:p>
        </w:tc>
        <w:tc>
          <w:tcPr>
            <w:tcW w:type="dxa" w:w="1704"/>
            <w:vAlign w:val="top"/>
          </w:tcPr>
          <w:p>
            <w:r>
              <w:t>0.820</w:t>
            </w:r>
          </w:p>
        </w:tc>
        <w:tc>
          <w:tcPr>
            <w:tcW w:type="dxa" w:w="1704"/>
            <w:vAlign w:val="top"/>
          </w:tcPr>
          <w:p>
            <w:r>
              <w:t>0.807</w:t>
            </w:r>
          </w:p>
        </w:tc>
        <w:tc>
          <w:tcPr>
            <w:tcW w:type="dxa" w:w="1704"/>
            <w:vAlign w:val="top"/>
          </w:tcPr>
          <w:p>
            <w:r>
              <w:t>0.162</w:t>
            </w:r>
          </w:p>
        </w:tc>
        <w:tc>
          <w:tcPr>
            <w:tcW w:type="dxa" w:w="1704"/>
            <w:vAlign w:val="top"/>
          </w:tcPr>
          <w:p>
            <w:r>
              <w:t>HIGH_LOAD_WITH_RECOVERY</w:t>
            </w:r>
          </w:p>
        </w:tc>
      </w:tr>
      <w:tr>
        <w:tc>
          <w:tcPr>
            <w:tcW w:type="dxa" w:w="1704"/>
            <w:vAlign w:val="top"/>
          </w:tcPr>
          <w:p>
            <w:r>
              <w:t>Field</w:t>
            </w:r>
          </w:p>
        </w:tc>
        <w:tc>
          <w:tcPr>
            <w:tcW w:type="dxa" w:w="1704"/>
            <w:vAlign w:val="top"/>
          </w:tcPr>
          <w:p>
            <w:r>
              <w:t>0.335</w:t>
            </w:r>
          </w:p>
        </w:tc>
        <w:tc>
          <w:tcPr>
            <w:tcW w:type="dxa" w:w="1704"/>
            <w:vAlign w:val="top"/>
          </w:tcPr>
          <w:p>
            <w:r>
              <w:t>0.711</w:t>
            </w:r>
          </w:p>
        </w:tc>
        <w:tc>
          <w:tcPr>
            <w:tcW w:type="dxa" w:w="1704"/>
            <w:vAlign w:val="top"/>
          </w:tcPr>
          <w:p>
            <w:r>
              <w:t>0.835</w:t>
            </w:r>
          </w:p>
        </w:tc>
        <w:tc>
          <w:tcPr>
            <w:tcW w:type="dxa" w:w="1704"/>
            <w:vAlign w:val="top"/>
          </w:tcPr>
          <w:p>
            <w:r>
              <w:t>0.376</w:t>
            </w:r>
          </w:p>
        </w:tc>
        <w:tc>
          <w:tcPr>
            <w:tcW w:type="dxa" w:w="1704"/>
            <w:vAlign w:val="top"/>
          </w:tcPr>
          <w:p>
            <w:r>
              <w:t>RESOLUTIVE_RECOVERY</w:t>
            </w:r>
          </w:p>
        </w:tc>
      </w:tr>
    </w:tbl>
    <w:p>
      <w:pPr>
        <w:pStyle w:val="Heading1"/>
      </w:pPr>
      <w:r>
        <w:t>Formal definitions</w:t>
      </w:r>
    </w:p>
    <w:p>
      <w:r>
        <w:t>ALI = mean(semantic intensity, Target specificity, complexity perturbation, TTI score, primary endpoint pass score).</w:t>
      </w:r>
    </w:p>
    <w:p>
      <w:r>
        <w:t>RDI = mean(Baseline2 regulation, Baseline2 semantic echo, EET afterstate echo, self-report echo).</w:t>
      </w:r>
    </w:p>
    <w:p>
      <w:r>
        <w:t>NUPI = RDI - ALI. Positive values imply recovery tilt; negative values imply load tilt. If no Baseline2 or comparable after-state physiology exists, NUPI is not graded.</w:t>
      </w:r>
    </w:p>
    <w:p>
      <w:pPr>
        <w:pStyle w:val="Heading1"/>
      </w:pPr>
      <w:r>
        <w:t>Run interpretation</w:t>
      </w:r>
    </w:p>
    <w:p>
      <w:pPr>
        <w:pStyle w:val="Heading2"/>
      </w:pPr>
      <w:r>
        <w:t>Arrival</w:t>
      </w:r>
    </w:p>
    <w:p>
      <w:r>
        <w:t>Arrival remains a recognition-dominant/familiar schema-reactivation case. It shows Target-dominant CII and positive self-report, but strict BIT/A-MRED-style endpoints are negative and there is no final reflective Baseline2 physiology layer. NUPI therefore refuses to force a polarity classification.</w:t>
      </w:r>
    </w:p>
    <w:p>
      <w:pPr>
        <w:pStyle w:val="Heading2"/>
      </w:pPr>
      <w:r>
        <w:t>Contact</w:t>
      </w:r>
    </w:p>
    <w:p>
      <w:r>
        <w:t>Contact has the strongest semantic intensity and Target specificity across the three runs. It also shows strong Baseline2 regulatory recovery. The NUPI result therefore contradicts an overly simple metabolic-crater story: Contact appears to be a high-load, high-recovery update profile.</w:t>
      </w:r>
    </w:p>
    <w:p>
      <w:pPr>
        <w:pStyle w:val="Heading2"/>
      </w:pPr>
      <w:r>
        <w:t>Field of Dreams</w:t>
      </w:r>
    </w:p>
    <w:p>
      <w:r>
        <w:t>Field of Dreams is lower-amplitude than Contact in immediate semantic intensity, but stronger in reflective afterglow, Target echo, and Baseline2 recovery. NUPI classifies it as a resolutive-recovery candidate: meaning as closure/regulatory dividend rather than meaning as peak shock.</w:t>
      </w:r>
    </w:p>
    <w:p>
      <w:pPr>
        <w:pStyle w:val="Heading2"/>
      </w:pPr>
      <w:r>
        <w:t>Raw component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rPr>
          <w:tblHeader w:val="true"/>
        </w:trPr>
        <w:tc>
          <w:tcPr>
            <w:tcW w:type="dxa" w:w="1022"/>
            <w:shd w:fill="D9EAF7"/>
          </w:tcPr>
          <w:p>
            <w:r>
              <w:t>run</w:t>
            </w:r>
          </w:p>
        </w:tc>
        <w:tc>
          <w:tcPr>
            <w:tcW w:type="dxa" w:w="1022"/>
            <w:shd w:fill="D9EAF7"/>
          </w:tcPr>
          <w:p>
            <w:r>
              <w:t>target_CII_mean</w:t>
            </w:r>
          </w:p>
        </w:tc>
        <w:tc>
          <w:tcPr>
            <w:tcW w:type="dxa" w:w="1022"/>
            <w:shd w:fill="D9EAF7"/>
          </w:tcPr>
          <w:p>
            <w:r>
              <w:t>target_specific_CII_mean</w:t>
            </w:r>
          </w:p>
        </w:tc>
        <w:tc>
          <w:tcPr>
            <w:tcW w:type="dxa" w:w="1022"/>
            <w:shd w:fill="D9EAF7"/>
          </w:tcPr>
          <w:p>
            <w:r>
              <w:t>target_MR_mean</w:t>
            </w:r>
          </w:p>
        </w:tc>
        <w:tc>
          <w:tcPr>
            <w:tcW w:type="dxa" w:w="1022"/>
            <w:shd w:fill="D9EAF7"/>
          </w:tcPr>
          <w:p>
            <w:r>
              <w:t>target_ENC_mean</w:t>
            </w:r>
          </w:p>
        </w:tc>
        <w:tc>
          <w:tcPr>
            <w:tcW w:type="dxa" w:w="1022"/>
            <w:shd w:fill="D9EAF7"/>
          </w:tcPr>
          <w:p>
            <w:r>
              <w:t>tti_global</w:t>
            </w:r>
          </w:p>
        </w:tc>
        <w:tc>
          <w:tcPr>
            <w:tcW w:type="dxa" w:w="1022"/>
            <w:shd w:fill="D9EAF7"/>
          </w:tcPr>
          <w:p>
            <w:r>
              <w:t>b2_regulation_score</w:t>
            </w:r>
          </w:p>
        </w:tc>
        <w:tc>
          <w:tcPr>
            <w:tcW w:type="dxa" w:w="1022"/>
            <w:shd w:fill="D9EAF7"/>
          </w:tcPr>
          <w:p>
            <w:r>
              <w:t>b2_semantic_echo_score</w:t>
            </w:r>
          </w:p>
        </w:tc>
        <w:tc>
          <w:tcPr>
            <w:tcW w:type="dxa" w:w="1022"/>
            <w:shd w:fill="D9EAF7"/>
          </w:tcPr>
          <w:p>
            <w:r>
              <w:t>eet_baseline2_max</w:t>
            </w:r>
          </w:p>
        </w:tc>
        <w:tc>
          <w:tcPr>
            <w:tcW w:type="dxa" w:w="1022"/>
            <w:shd w:fill="D9EAF7"/>
          </w:tcPr>
          <w:p>
            <w:r>
              <w:t>eet_afterstate_max</w:t>
            </w:r>
          </w:p>
        </w:tc>
      </w:tr>
      <w:tr>
        <w:tc>
          <w:tcPr>
            <w:tcW w:type="dxa" w:w="1022"/>
            <w:vAlign w:val="top"/>
          </w:tcPr>
          <w:p>
            <w:r>
              <w:t>Arrival</w:t>
            </w:r>
          </w:p>
        </w:tc>
        <w:tc>
          <w:tcPr>
            <w:tcW w:type="dxa" w:w="1022"/>
            <w:vAlign w:val="top"/>
          </w:tcPr>
          <w:p>
            <w:r>
              <w:t>0.304</w:t>
            </w:r>
          </w:p>
        </w:tc>
        <w:tc>
          <w:tcPr>
            <w:tcW w:type="dxa" w:w="1022"/>
            <w:vAlign w:val="top"/>
          </w:tcPr>
          <w:p>
            <w:r>
              <w:t>0.299</w:t>
            </w:r>
          </w:p>
        </w:tc>
        <w:tc>
          <w:tcPr>
            <w:tcW w:type="dxa" w:w="1022"/>
            <w:vAlign w:val="top"/>
          </w:tcPr>
          <w:p>
            <w:r>
              <w:t>0.432</w:t>
            </w:r>
          </w:p>
        </w:tc>
        <w:tc>
          <w:tcPr>
            <w:tcW w:type="dxa" w:w="1022"/>
            <w:vAlign w:val="top"/>
          </w:tcPr>
          <w:p>
            <w:r>
              <w:t>0.187</w:t>
            </w:r>
          </w:p>
        </w:tc>
        <w:tc>
          <w:tcPr>
            <w:tcW w:type="dxa" w:w="1022"/>
            <w:vAlign w:val="top"/>
          </w:tcPr>
          <w:p>
            <w:r>
              <w:t>0.533</w:t>
            </w:r>
          </w:p>
        </w:tc>
        <w:tc>
          <w:tcPr>
            <w:tcW w:type="dxa" w:w="1022"/>
            <w:vAlign w:val="top"/>
          </w:tcPr>
          <w:p>
            <w:r/>
          </w:p>
        </w:tc>
        <w:tc>
          <w:tcPr>
            <w:tcW w:type="dxa" w:w="1022"/>
            <w:vAlign w:val="top"/>
          </w:tcPr>
          <w:p>
            <w:r/>
          </w:p>
        </w:tc>
        <w:tc>
          <w:tcPr>
            <w:tcW w:type="dxa" w:w="1022"/>
            <w:vAlign w:val="top"/>
          </w:tcPr>
          <w:p>
            <w:r/>
          </w:p>
        </w:tc>
        <w:tc>
          <w:tcPr>
            <w:tcW w:type="dxa" w:w="1022"/>
            <w:vAlign w:val="top"/>
          </w:tcPr>
          <w:p>
            <w:r>
              <w:t>0.976</w:t>
            </w:r>
          </w:p>
        </w:tc>
      </w:tr>
      <w:tr>
        <w:tc>
          <w:tcPr>
            <w:tcW w:type="dxa" w:w="1022"/>
            <w:vAlign w:val="top"/>
          </w:tcPr>
          <w:p>
            <w:r>
              <w:t>Contact</w:t>
            </w:r>
          </w:p>
        </w:tc>
        <w:tc>
          <w:tcPr>
            <w:tcW w:type="dxa" w:w="1022"/>
            <w:vAlign w:val="top"/>
          </w:tcPr>
          <w:p>
            <w:r>
              <w:t>0.893</w:t>
            </w:r>
          </w:p>
        </w:tc>
        <w:tc>
          <w:tcPr>
            <w:tcW w:type="dxa" w:w="1022"/>
            <w:vAlign w:val="top"/>
          </w:tcPr>
          <w:p>
            <w:r>
              <w:t>0.868</w:t>
            </w:r>
          </w:p>
        </w:tc>
        <w:tc>
          <w:tcPr>
            <w:tcW w:type="dxa" w:w="1022"/>
            <w:vAlign w:val="top"/>
          </w:tcPr>
          <w:p>
            <w:r>
              <w:t>1.108</w:t>
            </w:r>
          </w:p>
        </w:tc>
        <w:tc>
          <w:tcPr>
            <w:tcW w:type="dxa" w:w="1022"/>
            <w:vAlign w:val="top"/>
          </w:tcPr>
          <w:p>
            <w:r>
              <w:t>1.009</w:t>
            </w:r>
          </w:p>
        </w:tc>
        <w:tc>
          <w:tcPr>
            <w:tcW w:type="dxa" w:w="1022"/>
            <w:vAlign w:val="top"/>
          </w:tcPr>
          <w:p>
            <w:r>
              <w:t>0.745</w:t>
            </w:r>
          </w:p>
        </w:tc>
        <w:tc>
          <w:tcPr>
            <w:tcW w:type="dxa" w:w="1022"/>
            <w:vAlign w:val="top"/>
          </w:tcPr>
          <w:p>
            <w:r>
              <w:t>1.000</w:t>
            </w:r>
          </w:p>
        </w:tc>
        <w:tc>
          <w:tcPr>
            <w:tcW w:type="dxa" w:w="1022"/>
            <w:vAlign w:val="top"/>
          </w:tcPr>
          <w:p>
            <w:r>
              <w:t>0.667</w:t>
            </w:r>
          </w:p>
        </w:tc>
        <w:tc>
          <w:tcPr>
            <w:tcW w:type="dxa" w:w="1022"/>
            <w:vAlign w:val="top"/>
          </w:tcPr>
          <w:p>
            <w:r>
              <w:t>0.830</w:t>
            </w:r>
          </w:p>
        </w:tc>
        <w:tc>
          <w:tcPr>
            <w:tcW w:type="dxa" w:w="1022"/>
            <w:vAlign w:val="top"/>
          </w:tcPr>
          <w:p>
            <w:r>
              <w:t>0.957</w:t>
            </w:r>
          </w:p>
        </w:tc>
      </w:tr>
      <w:tr>
        <w:tc>
          <w:tcPr>
            <w:tcW w:type="dxa" w:w="1022"/>
            <w:vAlign w:val="top"/>
          </w:tcPr>
          <w:p>
            <w:r>
              <w:t>Field</w:t>
            </w:r>
          </w:p>
        </w:tc>
        <w:tc>
          <w:tcPr>
            <w:tcW w:type="dxa" w:w="1022"/>
            <w:vAlign w:val="top"/>
          </w:tcPr>
          <w:p>
            <w:r>
              <w:t>0.063</w:t>
            </w:r>
          </w:p>
        </w:tc>
        <w:tc>
          <w:tcPr>
            <w:tcW w:type="dxa" w:w="1022"/>
            <w:vAlign w:val="top"/>
          </w:tcPr>
          <w:p>
            <w:r>
              <w:t>0.053</w:t>
            </w:r>
          </w:p>
        </w:tc>
        <w:tc>
          <w:tcPr>
            <w:tcW w:type="dxa" w:w="1022"/>
            <w:vAlign w:val="top"/>
          </w:tcPr>
          <w:p>
            <w:r>
              <w:t>0.396</w:t>
            </w:r>
          </w:p>
        </w:tc>
        <w:tc>
          <w:tcPr>
            <w:tcW w:type="dxa" w:w="1022"/>
            <w:vAlign w:val="top"/>
          </w:tcPr>
          <w:p>
            <w:r>
              <w:t>0.210</w:t>
            </w:r>
          </w:p>
        </w:tc>
        <w:tc>
          <w:tcPr>
            <w:tcW w:type="dxa" w:w="1022"/>
            <w:vAlign w:val="top"/>
          </w:tcPr>
          <w:p>
            <w:r>
              <w:t>0.568</w:t>
            </w:r>
          </w:p>
        </w:tc>
        <w:tc>
          <w:tcPr>
            <w:tcW w:type="dxa" w:w="1022"/>
            <w:vAlign w:val="top"/>
          </w:tcPr>
          <w:p>
            <w:r>
              <w:t>0.565</w:t>
            </w:r>
          </w:p>
        </w:tc>
        <w:tc>
          <w:tcPr>
            <w:tcW w:type="dxa" w:w="1022"/>
            <w:vAlign w:val="top"/>
          </w:tcPr>
          <w:p>
            <w:r>
              <w:t>0.609</w:t>
            </w:r>
          </w:p>
        </w:tc>
        <w:tc>
          <w:tcPr>
            <w:tcW w:type="dxa" w:w="1022"/>
            <w:vAlign w:val="top"/>
          </w:tcPr>
          <w:p>
            <w:r>
              <w:t>0.499</w:t>
            </w:r>
          </w:p>
        </w:tc>
        <w:tc>
          <w:tcPr>
            <w:tcW w:type="dxa" w:w="1022"/>
            <w:vAlign w:val="top"/>
          </w:tcPr>
          <w:p>
            <w:r>
              <w:t>0.925</w:t>
            </w:r>
          </w:p>
        </w:tc>
      </w:tr>
    </w:tbl>
    <w:p>
      <w:pPr>
        <w:pStyle w:val="Heading1"/>
      </w:pPr>
      <w:r>
        <w:t>Boundaries and falsifiers</w:t>
      </w:r>
    </w:p>
    <w:p>
      <w:r>
        <w:t>NUPI is exploratory. It becomes stronger only when anchors are frame-verified, ALS timing passes across branches, full StimulusFingerprint/CET-R regressors are available, and artifact/EOG/EMG controls survive. NUPI weakens if Control or Override show the same after-state profile, if residual stimulus regressors explain the effect, if Baseline2 is contaminated by report burden or fatigue, or if self-report contradicts the intended state.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