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Framework Integration Register v0.5</w:t>
      </w:r>
    </w:p>
    <w:p>
      <w:pPr>
        <w:jc w:val="center"/>
      </w:pPr>
      <w:r>
        <w:rPr>
          <w:i/>
          <w:sz w:val="20"/>
        </w:rPr>
        <w:t>NUPI - Narrative Update Polarity Index</w:t>
      </w:r>
    </w:p>
    <w:p>
      <w:r>
        <w:t>Document status: framework update register. This addendum formalizes NUPI as a secondary/exploratory interpretive layer inside PRAYCG/Topo-OSM. It does not replace A-MRED as the suggested primary endpoint.</w:t>
      </w:r>
    </w:p>
    <w:p>
      <w:pPr>
        <w:pStyle w:val="Heading1"/>
      </w:pPr>
      <w:r>
        <w:t>Core theory</w:t>
      </w:r>
    </w:p>
    <w:p>
      <w:r>
        <w:t>Narratives may differ not only in intensity, but in update polarity. Some meanings impose accommodative load: the system must expand, destabilize, or rebuild its predictive model. Other meanings produce resolutive recovery: the system closes an open loop and recovers regulatory capacity. NUPI estimates this polarity using available PRAYCG outputs.</w:t>
      </w:r>
    </w:p>
    <w:p>
      <w:pPr>
        <w:pStyle w:val="Heading1"/>
      </w:pPr>
      <w:r>
        <w:t>Formula</w:t>
      </w:r>
    </w:p>
    <w:p>
      <w:r>
        <w:t>ALI = mean(semantic intensity, Target specificity, complexity perturbation, TTI, primary endpoint pass score).</w:t>
      </w:r>
    </w:p>
    <w:p>
      <w:r>
        <w:t>RDI = mean(Baseline2 regulation, Baseline2 semantic echo, EET afterstate echo, self-report echo).</w:t>
      </w:r>
    </w:p>
    <w:p>
      <w:r>
        <w:t>NUPI = RDI - ALI.</w:t>
      </w:r>
    </w:p>
    <w:p>
      <w:pPr>
        <w:pStyle w:val="Heading1"/>
      </w:pPr>
      <w:r>
        <w:t>Module placement</w:t>
      </w:r>
    </w:p>
    <w:p>
      <w:pPr>
        <w:pStyle w:val="Heading2"/>
      </w:pPr>
      <w:r>
        <w:t>Updated module tier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t>Tier</w:t>
            </w:r>
          </w:p>
        </w:tc>
        <w:tc>
          <w:tcPr>
            <w:tcW w:type="dxa" w:w="3408"/>
            <w:shd w:fill="D9EAF7"/>
          </w:tcPr>
          <w:p>
            <w:r>
              <w:t>Modules</w:t>
            </w:r>
          </w:p>
        </w:tc>
        <w:tc>
          <w:tcPr>
            <w:tcW w:type="dxa" w:w="3408"/>
            <w:shd w:fill="D9EAF7"/>
          </w:tcPr>
          <w:p>
            <w:r>
              <w:t>Role</w:t>
            </w:r>
          </w:p>
        </w:tc>
      </w:tr>
      <w:tr>
        <w:tc>
          <w:tcPr>
            <w:tcW w:type="dxa" w:w="3408"/>
            <w:vAlign w:val="top"/>
          </w:tcPr>
          <w:p>
            <w:r>
              <w:t>Primary recommended</w:t>
            </w:r>
          </w:p>
        </w:tc>
        <w:tc>
          <w:tcPr>
            <w:tcW w:type="dxa" w:w="3408"/>
            <w:vAlign w:val="top"/>
          </w:tcPr>
          <w:p>
            <w:r>
              <w:t>Timing/QC + CET-R + artifact/confound gates -&gt; A-MRED</w:t>
            </w:r>
          </w:p>
        </w:tc>
        <w:tc>
          <w:tcPr>
            <w:tcW w:type="dxa" w:w="3408"/>
            <w:vAlign w:val="top"/>
          </w:tcPr>
          <w:p>
            <w:r>
              <w:t>Confirmatory candidate path</w:t>
            </w:r>
          </w:p>
        </w:tc>
      </w:tr>
      <w:tr>
        <w:tc>
          <w:tcPr>
            <w:tcW w:type="dxa" w:w="3408"/>
            <w:vAlign w:val="top"/>
          </w:tcPr>
          <w:p>
            <w:r>
              <w:t>Secondary summaries</w:t>
            </w:r>
          </w:p>
        </w:tc>
        <w:tc>
          <w:tcPr>
            <w:tcW w:type="dxa" w:w="3408"/>
            <w:vAlign w:val="top"/>
          </w:tcPr>
          <w:p>
            <w:r>
              <w:t>NIP/BIT/CII/IAQ, TTI, NUPI</w:t>
            </w:r>
          </w:p>
        </w:tc>
        <w:tc>
          <w:tcPr>
            <w:tcW w:type="dxa" w:w="3408"/>
            <w:vAlign w:val="top"/>
          </w:tcPr>
          <w:p>
            <w:r>
              <w:t>Summarize immersion, extraction, and update polarity</w:t>
            </w:r>
          </w:p>
        </w:tc>
      </w:tr>
      <w:tr>
        <w:tc>
          <w:tcPr>
            <w:tcW w:type="dxa" w:w="3408"/>
            <w:vAlign w:val="top"/>
          </w:tcPr>
          <w:p>
            <w:r>
              <w:t>Exploratory convergence</w:t>
            </w:r>
          </w:p>
        </w:tc>
        <w:tc>
          <w:tcPr>
            <w:tcW w:type="dxa" w:w="3408"/>
            <w:vAlign w:val="top"/>
          </w:tcPr>
          <w:p>
            <w:r>
              <w:t>KHT-topo, NAST, EET, MRED-ITP/ACG/OCU, OCM/RSM/CVB/Squint</w:t>
            </w:r>
          </w:p>
        </w:tc>
        <w:tc>
          <w:tcPr>
            <w:tcW w:type="dxa" w:w="3408"/>
            <w:vAlign w:val="top"/>
          </w:tcPr>
          <w:p>
            <w:r>
              <w:t>Mechanistic interpretation and falsification support</w:t>
            </w:r>
          </w:p>
        </w:tc>
      </w:tr>
    </w:tbl>
    <w:p>
      <w:pPr>
        <w:pStyle w:val="Heading1"/>
      </w:pPr>
      <w:r>
        <w:t>Claim boundary</w:t>
      </w:r>
    </w:p>
    <w:p>
      <w:r>
        <w:t>NUPI does not measure heat, energy expenditure, ATP consumption, literal entropy, clinical restoration, or moral value. It classifies the shape of available proxy evidence. The proper claim is: PRAYCG may distinguish different narrative-update profiles under controlled conditions.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