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PRAYCG Master Comprehensive Analysis Suite</w:t>
      </w:r>
    </w:p>
    <w:p>
      <w:pPr>
        <w:jc w:val="center"/>
      </w:pPr>
      <w:r>
        <w:rPr>
          <w:i/>
          <w:sz w:val="24"/>
        </w:rPr>
        <w:t>Elaborated module explanation report for v1.5.5</w:t>
      </w:r>
    </w:p>
    <w:p>
      <w:pPr>
        <w:jc w:val="center"/>
      </w:pPr>
      <w:r>
        <w:rPr>
          <w:color w:val="646464"/>
          <w:sz w:val="18"/>
        </w:rPr>
        <w:t>Open-source methods handout - module behavior, outputs, interpretation, and claim boundaries</w:t>
      </w:r>
    </w:p>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Core orientation</w:t>
            </w:r>
          </w:p>
        </w:tc>
      </w:tr>
      <w:tr>
        <w:tc>
          <w:tcPr>
            <w:tcW w:type="dxa" w:w="10224"/>
            <w:shd w:fill="EAF3F8"/>
            <w:vAlign w:val="top"/>
          </w:tcPr>
          <w:p>
            <w:pPr>
              <w:spacing w:after="40"/>
            </w:pPr>
            <w:r/>
            <w:r>
              <w:rPr>
                <w:b w:val="0"/>
              </w:rPr>
              <w:t>The Master Comprehensive Suite is a research workbench, not a single test. The recommended public/confirmatory path is boxed: Timing/QC + StimulusFingerprint/CET-R + artifact/confound gates -&gt; A-MRED and MRED-Peak/Resolution. Everything else should be treated as a secondary summary or exploratory convergence layer unless explicitly preregistered as an endpoint.</w:t>
            </w:r>
          </w:p>
        </w:tc>
      </w:tr>
    </w:tbl>
    <w:p/>
    <w:p>
      <w:pPr>
        <w:pStyle w:val="Heading1"/>
      </w:pPr>
      <w:r>
        <w:t>Executive 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pPr>
              <w:spacing w:after="20"/>
            </w:pPr>
            <w:r>
              <w:rPr>
                <w:sz w:val="17"/>
              </w:rPr>
            </w:r>
            <w:r>
              <w:rPr>
                <w:b/>
                <w:color w:val="FFFFFF"/>
                <w:sz w:val="17"/>
              </w:rPr>
              <w:t>Question</w:t>
            </w:r>
          </w:p>
        </w:tc>
        <w:tc>
          <w:tcPr>
            <w:tcW w:type="dxa" w:w="3408"/>
            <w:shd w:fill="1F4E79"/>
          </w:tcPr>
          <w:p>
            <w:pPr>
              <w:spacing w:after="20"/>
            </w:pPr>
            <w:r>
              <w:rPr>
                <w:sz w:val="17"/>
              </w:rPr>
            </w:r>
            <w:r>
              <w:rPr>
                <w:b/>
                <w:color w:val="FFFFFF"/>
                <w:sz w:val="17"/>
              </w:rPr>
              <w:t>Primary module family</w:t>
            </w:r>
          </w:p>
        </w:tc>
        <w:tc>
          <w:tcPr>
            <w:tcW w:type="dxa" w:w="3408"/>
            <w:shd w:fill="1F4E79"/>
          </w:tcPr>
          <w:p>
            <w:pPr>
              <w:spacing w:after="20"/>
            </w:pPr>
            <w:r>
              <w:rPr>
                <w:sz w:val="17"/>
              </w:rPr>
            </w:r>
            <w:r>
              <w:rPr>
                <w:b/>
                <w:color w:val="FFFFFF"/>
                <w:sz w:val="17"/>
              </w:rPr>
              <w:t>Why this matters</w:t>
            </w:r>
          </w:p>
        </w:tc>
      </w:tr>
      <w:tr>
        <w:tc>
          <w:tcPr>
            <w:tcW w:type="dxa" w:w="3408"/>
          </w:tcPr>
          <w:p>
            <w:pPr>
              <w:spacing w:after="20"/>
            </w:pPr>
            <w:r>
              <w:rPr>
                <w:sz w:val="17"/>
              </w:rPr>
            </w:r>
            <w:r>
              <w:rPr>
                <w:b w:val="0"/>
                <w:sz w:val="17"/>
              </w:rPr>
              <w:t>Did the run happen cleanly?</w:t>
            </w:r>
          </w:p>
        </w:tc>
        <w:tc>
          <w:tcPr>
            <w:tcW w:type="dxa" w:w="3408"/>
          </w:tcPr>
          <w:p>
            <w:pPr>
              <w:spacing w:after="20"/>
            </w:pPr>
            <w:r>
              <w:rPr>
                <w:sz w:val="17"/>
              </w:rPr>
            </w:r>
            <w:r>
              <w:rPr>
                <w:b w:val="0"/>
                <w:sz w:val="17"/>
              </w:rPr>
              <w:t>Run metadata, stream inventory, ALS, channel map, artifact/confound gates</w:t>
            </w:r>
          </w:p>
        </w:tc>
        <w:tc>
          <w:tcPr>
            <w:tcW w:type="dxa" w:w="3408"/>
          </w:tcPr>
          <w:p>
            <w:pPr>
              <w:spacing w:after="20"/>
            </w:pPr>
            <w:r>
              <w:rPr>
                <w:sz w:val="17"/>
              </w:rPr>
            </w:r>
            <w:r>
              <w:rPr>
                <w:b w:val="0"/>
                <w:sz w:val="17"/>
              </w:rPr>
              <w:t>No analysis module can rescue a run with broken timing, missing streams, or dominant artifact.</w:t>
            </w:r>
          </w:p>
        </w:tc>
      </w:tr>
      <w:tr>
        <w:tc>
          <w:tcPr>
            <w:tcW w:type="dxa" w:w="3408"/>
          </w:tcPr>
          <w:p>
            <w:pPr>
              <w:spacing w:after="20"/>
            </w:pPr>
            <w:r>
              <w:rPr>
                <w:sz w:val="17"/>
              </w:rPr>
            </w:r>
            <w:r>
              <w:rPr>
                <w:b w:val="0"/>
                <w:sz w:val="17"/>
              </w:rPr>
              <w:t>Did the Target event pass?</w:t>
            </w:r>
          </w:p>
        </w:tc>
        <w:tc>
          <w:tcPr>
            <w:tcW w:type="dxa" w:w="3408"/>
          </w:tcPr>
          <w:p>
            <w:pPr>
              <w:spacing w:after="20"/>
            </w:pPr>
            <w:r>
              <w:rPr>
                <w:sz w:val="17"/>
              </w:rPr>
            </w:r>
            <w:r>
              <w:rPr>
                <w:b w:val="0"/>
                <w:sz w:val="17"/>
              </w:rPr>
              <w:t>A-MRED / MRED-Peak</w:t>
            </w:r>
          </w:p>
        </w:tc>
        <w:tc>
          <w:tcPr>
            <w:tcW w:type="dxa" w:w="3408"/>
          </w:tcPr>
          <w:p>
            <w:pPr>
              <w:spacing w:after="20"/>
            </w:pPr>
            <w:r>
              <w:rPr>
                <w:sz w:val="17"/>
              </w:rPr>
            </w:r>
            <w:r>
              <w:rPr>
                <w:b w:val="0"/>
                <w:sz w:val="17"/>
              </w:rPr>
              <w:t>This is the clearest current endpoint for acute meaning-recognition plus delayed integration.</w:t>
            </w:r>
          </w:p>
        </w:tc>
      </w:tr>
      <w:tr>
        <w:tc>
          <w:tcPr>
            <w:tcW w:type="dxa" w:w="3408"/>
          </w:tcPr>
          <w:p>
            <w:pPr>
              <w:spacing w:after="20"/>
            </w:pPr>
            <w:r>
              <w:rPr>
                <w:sz w:val="17"/>
              </w:rPr>
            </w:r>
            <w:r>
              <w:rPr>
                <w:b w:val="0"/>
                <w:sz w:val="17"/>
              </w:rPr>
              <w:t>Was the response more like closure than shock?</w:t>
            </w:r>
          </w:p>
        </w:tc>
        <w:tc>
          <w:tcPr>
            <w:tcW w:type="dxa" w:w="3408"/>
          </w:tcPr>
          <w:p>
            <w:pPr>
              <w:spacing w:after="20"/>
            </w:pPr>
            <w:r>
              <w:rPr>
                <w:sz w:val="17"/>
              </w:rPr>
            </w:r>
            <w:r>
              <w:rPr>
                <w:b w:val="0"/>
                <w:sz w:val="17"/>
              </w:rPr>
              <w:t>MRED-Resolution / NUPI / Baseline2 / EET</w:t>
            </w:r>
          </w:p>
        </w:tc>
        <w:tc>
          <w:tcPr>
            <w:tcW w:type="dxa" w:w="3408"/>
          </w:tcPr>
          <w:p>
            <w:pPr>
              <w:spacing w:after="20"/>
            </w:pPr>
            <w:r>
              <w:rPr>
                <w:sz w:val="17"/>
              </w:rPr>
            </w:r>
            <w:r>
              <w:rPr>
                <w:b w:val="0"/>
                <w:sz w:val="17"/>
              </w:rPr>
              <w:t>Some stimuli may produce reflective recovery rather than a sharp peak.</w:t>
            </w:r>
          </w:p>
        </w:tc>
      </w:tr>
      <w:tr>
        <w:tc>
          <w:tcPr>
            <w:tcW w:type="dxa" w:w="3408"/>
          </w:tcPr>
          <w:p>
            <w:pPr>
              <w:spacing w:after="20"/>
            </w:pPr>
            <w:r>
              <w:rPr>
                <w:sz w:val="17"/>
              </w:rPr>
            </w:r>
            <w:r>
              <w:rPr>
                <w:b w:val="0"/>
                <w:sz w:val="17"/>
              </w:rPr>
              <w:t>Could it just be the movie/cues?</w:t>
            </w:r>
          </w:p>
        </w:tc>
        <w:tc>
          <w:tcPr>
            <w:tcW w:type="dxa" w:w="3408"/>
          </w:tcPr>
          <w:p>
            <w:pPr>
              <w:spacing w:after="20"/>
            </w:pPr>
            <w:r>
              <w:rPr>
                <w:sz w:val="17"/>
              </w:rPr>
            </w:r>
            <w:r>
              <w:rPr>
                <w:b w:val="0"/>
                <w:sz w:val="17"/>
              </w:rPr>
              <w:t>StimulusFingerprint / CET / CET-R</w:t>
            </w:r>
          </w:p>
        </w:tc>
        <w:tc>
          <w:tcPr>
            <w:tcW w:type="dxa" w:w="3408"/>
          </w:tcPr>
          <w:p>
            <w:pPr>
              <w:spacing w:after="20"/>
            </w:pPr>
            <w:r>
              <w:rPr>
                <w:sz w:val="17"/>
              </w:rPr>
            </w:r>
            <w:r>
              <w:rPr>
                <w:b w:val="0"/>
                <w:sz w:val="17"/>
              </w:rPr>
              <w:t>These modules test whether low-level exogenous structure explains the effect.</w:t>
            </w:r>
          </w:p>
        </w:tc>
      </w:tr>
      <w:tr>
        <w:tc>
          <w:tcPr>
            <w:tcW w:type="dxa" w:w="3408"/>
          </w:tcPr>
          <w:p>
            <w:pPr>
              <w:spacing w:after="20"/>
            </w:pPr>
            <w:r>
              <w:rPr>
                <w:sz w:val="17"/>
              </w:rPr>
            </w:r>
            <w:r>
              <w:rPr>
                <w:b w:val="0"/>
                <w:sz w:val="17"/>
              </w:rPr>
              <w:t>Could it just be task burden?</w:t>
            </w:r>
          </w:p>
        </w:tc>
        <w:tc>
          <w:tcPr>
            <w:tcW w:type="dxa" w:w="3408"/>
          </w:tcPr>
          <w:p>
            <w:pPr>
              <w:spacing w:after="20"/>
            </w:pPr>
            <w:r>
              <w:rPr>
                <w:sz w:val="17"/>
              </w:rPr>
            </w:r>
            <w:r>
              <w:rPr>
                <w:b w:val="0"/>
                <w:sz w:val="17"/>
              </w:rPr>
              <w:t>OCM025 / RSM / CVB / SquintProxy / TTI</w:t>
            </w:r>
          </w:p>
        </w:tc>
        <w:tc>
          <w:tcPr>
            <w:tcW w:type="dxa" w:w="3408"/>
          </w:tcPr>
          <w:p>
            <w:pPr>
              <w:spacing w:after="20"/>
            </w:pPr>
            <w:r>
              <w:rPr>
                <w:sz w:val="17"/>
              </w:rPr>
            </w:r>
            <w:r>
              <w:rPr>
                <w:b w:val="0"/>
                <w:sz w:val="17"/>
              </w:rPr>
              <w:t>The Override condition must be modeled as its own cognitive machine.</w:t>
            </w:r>
          </w:p>
        </w:tc>
      </w:tr>
      <w:tr>
        <w:tc>
          <w:tcPr>
            <w:tcW w:type="dxa" w:w="3408"/>
          </w:tcPr>
          <w:p>
            <w:pPr>
              <w:spacing w:after="20"/>
            </w:pPr>
            <w:r>
              <w:rPr>
                <w:sz w:val="17"/>
              </w:rPr>
            </w:r>
            <w:r>
              <w:rPr>
                <w:b w:val="0"/>
                <w:sz w:val="17"/>
              </w:rPr>
              <w:t>How should a non-expert read the output?</w:t>
            </w:r>
          </w:p>
        </w:tc>
        <w:tc>
          <w:tcPr>
            <w:tcW w:type="dxa" w:w="3408"/>
          </w:tcPr>
          <w:p>
            <w:pPr>
              <w:spacing w:after="20"/>
            </w:pPr>
            <w:r>
              <w:rPr>
                <w:sz w:val="17"/>
              </w:rPr>
            </w:r>
            <w:r>
              <w:rPr>
                <w:b w:val="0"/>
                <w:sz w:val="17"/>
              </w:rPr>
              <w:t>Offline Interpretive Report Generator</w:t>
            </w:r>
          </w:p>
        </w:tc>
        <w:tc>
          <w:tcPr>
            <w:tcW w:type="dxa" w:w="3408"/>
          </w:tcPr>
          <w:p>
            <w:pPr>
              <w:spacing w:after="20"/>
            </w:pPr>
            <w:r>
              <w:rPr>
                <w:sz w:val="17"/>
              </w:rPr>
            </w:r>
            <w:r>
              <w:rPr>
                <w:b w:val="0"/>
                <w:sz w:val="17"/>
              </w:rPr>
              <w:t>Produces deterministic local explanation without requiring internet access or an AI assistant.</w:t>
            </w:r>
          </w:p>
        </w:tc>
      </w:tr>
    </w:tbl>
    <w:p/>
    <w:p>
      <w:pPr>
        <w:pStyle w:val="Heading1"/>
      </w:pPr>
      <w:r>
        <w:t>Module families and how they connect</w:t>
      </w:r>
    </w:p>
    <w:p>
      <w:r>
        <w:t>The suite should be read as a chain. MediaPrep defines the external stimulus; the runner records what was loaded and what the participant reported; the Master Suite builds the feature table; the primary endpoint modules compress that table into A-MRED and MRED-Peak/Resolution; secondary modules summarize immersion, extraction, polarity, and afterstate; exploratory modules test convergence or failure modes. A positive interpretation requires convergence across the chain, not a single attractive graph.</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Do not do this</w:t>
            </w:r>
          </w:p>
        </w:tc>
      </w:tr>
      <w:tr>
        <w:tc>
          <w:tcPr>
            <w:tcW w:type="dxa" w:w="10224"/>
            <w:shd w:fill="EAF3F8"/>
            <w:vAlign w:val="top"/>
          </w:tcPr>
          <w:p>
            <w:pPr>
              <w:spacing w:after="40"/>
            </w:pPr>
            <w:r/>
            <w:r>
              <w:rPr>
                <w:b w:val="0"/>
              </w:rPr>
              <w:t>Do not interpret a gamma spike alone as meaning. Do not interpret a blink as memory encoding. Do not interpret EET as replay. Do not interpret NUPI as thermodynamic heat. Do not interpret self-report as proof. Each module has a narrow job.</w:t>
            </w:r>
          </w:p>
        </w:tc>
      </w:tr>
    </w:tbl>
    <w:p/>
    <w:p>
      <w:pPr>
        <w:pStyle w:val="Heading1"/>
      </w:pPr>
      <w:r>
        <w:t>1. Run metadata and media identity</w:t>
      </w:r>
    </w:p>
    <w:p>
      <w:r>
        <w:t>Tier: Primary QC</w:t>
      </w:r>
    </w:p>
    <w:p>
      <w:r>
        <w:t>Verifies participant/session labels, protocol version, branch videos, cue schedule, anchor file, hash identity, and configured durations.</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Runner event log, run_config_media_selection.json, media hashes, cue schedule summary.</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Parse setup markers and sidecar JSON. Confirm Target/Override hash match. Record cue count, expected sum, baseline/washout durations, anchor-file status, channel-map status, and PRAYCG version.</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run_identity_summary.csv, module registry rows, interpretation JSON fields.</w:t>
      </w:r>
    </w:p>
    <w:p>
      <w:r>
        <w:t>These outputs usually live in the Master Suite output folder under tables/. Visualizer-specific sidecars are separate and should not be confused with canonical analysis tables.</w:t>
      </w:r>
    </w:p>
    <w:p>
      <w:pPr>
        <w:pStyle w:val="Heading2"/>
      </w:pPr>
      <w:r>
        <w:t>How to interpret it</w:t>
      </w:r>
    </w:p>
    <w:p>
      <w:r>
        <w:t>A valid run should show the selected media and cue schedule unambiguously. Target and Override should be hash-identical when the task differs only by instruction.</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Missing config, Target/Override mismatch, unrecorded anchor file, absent cue schedule, or unknown protocol version downgrades claims.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 Stream inventory and timebase reconstruction</w:t>
      </w:r>
    </w:p>
    <w:p>
      <w:r>
        <w:t>Tier: Primary QC</w:t>
      </w:r>
    </w:p>
    <w:p>
      <w:r>
        <w:t>Determines which LSL streams are present and whether physiology can be aligned to event markers.</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XDF streams, StasisMarkers, OpenBCIStatusMarkers, sample timestamps.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Inventory stream names, sample rates, channel counts, durations, time gaps, and marker intervals. When raw timestamps are unreliable, reconstruct the OpenBCI timebase using sample-index and status markers.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stream_inventory_corrected.csv, phase_coverage.csv.</w:t>
      </w:r>
    </w:p>
    <w:p>
      <w:r>
        <w:t>These outputs usually live in the Master Suite output folder under tables/. Visualizer-specific sidecars are separate and should not be confused with canonical analysis tables.</w:t>
      </w:r>
    </w:p>
    <w:p>
      <w:pPr>
        <w:pStyle w:val="Heading2"/>
      </w:pPr>
      <w:r>
        <w:t>How to interpret it</w:t>
      </w:r>
    </w:p>
    <w:p>
      <w:r>
        <w:t>Successful reconstruction supports phase-sliced features even when raw XDF timestamps are imperfect.</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Missing EEG stream, major dropout, unsolved timebase inconsistency, or poor phase coverage prevents strong interpretation.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3. ALS/PT19 display-timing QC</w:t>
      </w:r>
    </w:p>
    <w:p>
      <w:r>
        <w:t>Tier: Primary QC</w:t>
      </w:r>
    </w:p>
    <w:p>
      <w:r>
        <w:t>Checks whether physical screen transitions were detected at Control, Target, and Override starts.</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ALS_PT19_Timing stream or OpenBCI analog AUX, branch start markers, cue/media timing manifest.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Detect black-white-black or timing-square pulses around branch-start markers. Estimate onset offset, duration, clipping, and pulse presence.</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als_start_pulse_qc.csv, ALS timing summary.</w:t>
      </w:r>
    </w:p>
    <w:p>
      <w:r>
        <w:t>These outputs usually live in the Master Suite output folder under tables/. Visualizer-specific sidecars are separate and should not be confused with canonical analysis tables.</w:t>
      </w:r>
    </w:p>
    <w:p>
      <w:pPr>
        <w:pStyle w:val="Heading2"/>
      </w:pPr>
      <w:r>
        <w:t>How to interpret it</w:t>
      </w:r>
    </w:p>
    <w:p>
      <w:r>
        <w:t>A clean pass strengthens display-onset alignment. ALS belongs to external input u(t), not biology.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Missed or ambiguous pulses downgrade anchor timing and endpoint claim grade.</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4. Channel map and ROI audit</w:t>
      </w:r>
    </w:p>
    <w:p>
      <w:r>
        <w:t>Tier: Primary QC</w:t>
      </w:r>
    </w:p>
    <w:p>
      <w:r>
        <w:t>Checks whether channel-to-electrode mapping is confirmed before ROI-based interpretation.</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channel_map.csv, event markers, run configuration.</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Parse PRAYCG16 channel map markers and confidence flags. Mark ROI use as allowed, cautioned, or blocked.</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channel_map_summary.csv or module registry field.</w:t>
      </w:r>
    </w:p>
    <w:p>
      <w:r>
        <w:t>These outputs usually live in the Master Suite output folder under tables/. Visualizer-specific sidecars are separate and should not be confused with canonical analysis tables.</w:t>
      </w:r>
    </w:p>
    <w:p>
      <w:pPr>
        <w:pStyle w:val="Heading2"/>
      </w:pPr>
      <w:r>
        <w:t>How to interpret it</w:t>
      </w:r>
    </w:p>
    <w:p>
      <w:r>
        <w:t>LOCKED channel map allows frontal/parietal/occipital/temporal ROI labels to be used cautiously.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Unconfirmed channel map blocks ROI-specific claims even if global features can still be analyzed.</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5. Feature table generation</w:t>
      </w:r>
    </w:p>
    <w:p>
      <w:r>
        <w:t>Tier: Primary engine</w:t>
      </w:r>
    </w:p>
    <w:p>
      <w:r>
        <w:t>Creates the time-resolved table used by all downstream modules.</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Cleaned/filtered EEG, event markers, HR/RR, respiration, ALS, artifact channels, StimulusFingerprint regressors where available.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Slice by phase, compute sliding-window features, spectral bands, ROI summaries, artifact sentinels, autonomic summaries, and condition labels. Typically writes 1 s rows; OCM025 uses 0.25 s cue windows.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*_time_resolved_feature_frame.csv.</w:t>
      </w:r>
    </w:p>
    <w:p>
      <w:r>
        <w:t>These outputs usually live in the Master Suite output folder under tables/. Visualizer-specific sidecars are separate and should not be confused with canonical analysis tables.</w:t>
      </w:r>
    </w:p>
    <w:p>
      <w:pPr>
        <w:pStyle w:val="Heading2"/>
      </w:pPr>
      <w:r>
        <w:t>How to interpret it</w:t>
      </w:r>
    </w:p>
    <w:p>
      <w:r>
        <w:t>This is the canonical physiology feature table. Visualizer *_features_used.csv is only the subset used for a render.</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Missing feature table means most downstream modules cannot run.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6. ArtifactScore</w:t>
      </w:r>
    </w:p>
    <w:p>
      <w:r>
        <w:t>Tier: Primary gate</w:t>
      </w:r>
    </w:p>
    <w:p>
      <w:r>
        <w:t>Quantifies windows where EEG features may be contaminated by blink, jaw, motion, flatline, or high-frequency noise.</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EEG channels, Fp1/Fp2/frontal channels, high-frequency sentinel bands, peak-to-peak amplitude.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Combine normalized peak-to-peak, line/high-frequency sentinel activity, ocular/frontal outlier features, and dropout/flatline checks. Penalize or veto contaminated windows.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artifact_score columns, artifact tables, module veto flags.</w:t>
      </w:r>
    </w:p>
    <w:p>
      <w:r>
        <w:t>These outputs usually live in the Master Suite output folder under tables/. Visualizer-specific sidecars are separate and should not be confused with canonical analysis tables.</w:t>
      </w:r>
    </w:p>
    <w:p>
      <w:pPr>
        <w:pStyle w:val="Heading2"/>
      </w:pPr>
      <w:r>
        <w:t>How to interpret it</w:t>
      </w:r>
    </w:p>
    <w:p>
      <w:r>
        <w:t>ArtifactScore has veto power. A gamma/theta event that is artifact-driven is not an endpoint.</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High artifact in candidate windows converts biological interpretation into artifact/confound caution.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7. StimulusFingerprint v1.8</w:t>
      </w:r>
    </w:p>
    <w:p>
      <w:r>
        <w:t>Tier: Primary guardrail</w:t>
      </w:r>
    </w:p>
    <w:p>
      <w:r>
        <w:t>Extracts exogenous stimulus regressors from the final rendered media.</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Control/Target/Override MP4s, cue schedule JSON, locked anchor JSON if available.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luminance, visual change, histogram delta, cut events, flash proxy, audio RMS/envelope derivative, cue trains, cue phase, ALS/start-pulse regressors, and anchor stimulus vectors.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qc/stimulus_exogenous_regressor_frame_all_conditions.csv, cet_regressors_all_conditions.csv, stimulus_rhythm_summary_all_conditions.csv.</w:t>
      </w:r>
    </w:p>
    <w:p>
      <w:r>
        <w:t>These outputs usually live in the Master Suite output folder under tables/. Visualizer-specific sidecars are separate and should not be confused with canonical analysis tables.</w:t>
      </w:r>
    </w:p>
    <w:p>
      <w:pPr>
        <w:pStyle w:val="Heading2"/>
      </w:pPr>
      <w:r>
        <w:t>How to interpret it</w:t>
      </w:r>
    </w:p>
    <w:p>
      <w:r>
        <w:t>This lets CET-R test whether physiology is explained by stimulus rhythm, cue rhythm, luminance, cuts, motion, or audio envelope.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Missing Target/Override regressors makes CET-R partial. Human QC is still required for control audio unintelligibility.</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stimulus-regressor check did or did not explain the observed pattern. This is a guardrail, not a proof of meaning.</w:t>
            </w:r>
          </w:p>
        </w:tc>
      </w:tr>
    </w:tbl>
    <w:p/>
    <w:p>
      <w:pPr>
        <w:pStyle w:val="Heading1"/>
      </w:pPr>
      <w:r>
        <w:t>8. CET - Cinematic Entrainment Tracking</w:t>
      </w:r>
    </w:p>
    <w:p>
      <w:r>
        <w:t>Tier: Primary guardrail / exploratory</w:t>
      </w:r>
    </w:p>
    <w:p>
      <w:r>
        <w:t>Estimates how much EEG/NIP-like features track external film/cue/audio/visual rhythm.</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StimulusFingerprint regressors and feature table.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Fit stimulus-side regressors to physiology features within each branch. Evaluate train and blocked-cross-validation R2.</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cet_residualization_model_summary.csv, cet_cue_tracking_summary.csv.</w:t>
      </w:r>
    </w:p>
    <w:p>
      <w:r>
        <w:t>These outputs usually live in the Master Suite output folder under tables/. Visualizer-specific sidecars are separate and should not be confused with canonical analysis tables.</w:t>
      </w:r>
    </w:p>
    <w:p>
      <w:pPr>
        <w:pStyle w:val="Heading2"/>
      </w:pPr>
      <w:r>
        <w:t>How to interpret it</w:t>
      </w:r>
    </w:p>
    <w:p>
      <w:r>
        <w:t>High generalizable R2 means apparent effects may be stimulus tracking. Low/negative blocked-CV suggests stimulus regressors do not explain the module pattern.</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Weak regressors, missing audio/video features, or overfit models prevent strong conclusions.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stimulus-regressor check did or did not explain the observed pattern. This is a guardrail, not a proof of meaning.</w:t>
            </w:r>
          </w:p>
        </w:tc>
      </w:tr>
    </w:tbl>
    <w:p/>
    <w:p>
      <w:pPr>
        <w:pStyle w:val="Heading1"/>
      </w:pPr>
      <w:r>
        <w:t>9. CET-R - Residualized meaning metrics</w:t>
      </w:r>
    </w:p>
    <w:p>
      <w:r>
        <w:t>Tier: Primary guardrail</w:t>
      </w:r>
    </w:p>
    <w:p>
      <w:r>
        <w:t>Re-tests NIP/MRED/TTI after regressing out external media rhythms.</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Feature table, CII/NIP/MRED metrics, StimulusFingerprint regressors.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Model features as functions of exogenous regressors, compute residuals, then recompute anchor integrals/contrasts.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cet_residualized_cii_anchor_integrals.csv, residualized summaries.</w:t>
      </w:r>
    </w:p>
    <w:p>
      <w:r>
        <w:t>These outputs usually live in the Master Suite output folder under tables/. Visualizer-specific sidecars are separate and should not be confused with canonical analysis tables.</w:t>
      </w:r>
    </w:p>
    <w:p>
      <w:pPr>
        <w:pStyle w:val="Heading2"/>
      </w:pPr>
      <w:r>
        <w:t>How to interpret it</w:t>
      </w:r>
    </w:p>
    <w:p>
      <w:r>
        <w:t>If Target remains greater than Control/Override after CET-R, the result is less likely to be reducible to raw stimulus rhythm.</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If effects vanish after residualization, meaning-specific interpretation weakens.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stimulus-regressor check did or did not explain the observed pattern. This is a guardrail, not a proof of meaning.</w:t>
            </w:r>
          </w:p>
        </w:tc>
      </w:tr>
    </w:tbl>
    <w:p/>
    <w:p>
      <w:pPr>
        <w:pStyle w:val="Heading1"/>
      </w:pPr>
      <w:r>
        <w:t>10. GammaScalpel</w:t>
      </w:r>
    </w:p>
    <w:p>
      <w:r>
        <w:t>Tier: Feature extraction / secondary</w:t>
      </w:r>
    </w:p>
    <w:p>
      <w:r>
        <w:t>Separates lower-gamma candidate activity into narrower bands and context labels instead of treating gamma as meaning.</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EEG feature windows, ROI labels, artifact scores, condition labels.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Subdivide lower gamma, e.g. 30-35, 35-40, 40-45 Hz, compare Target/Control/Override, separate power from phase-locking, apply artifact and visual/task penalties.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gammascalpel_microband_phase_summary.csv, MeaningGamma/TaskGamma components.</w:t>
      </w:r>
    </w:p>
    <w:p>
      <w:r>
        <w:t>These outputs usually live in the Master Suite output folder under tables/. Visualizer-specific sidecars are separate and should not be confused with canonical analysis tables.</w:t>
      </w:r>
    </w:p>
    <w:p>
      <w:pPr>
        <w:pStyle w:val="Heading2"/>
      </w:pPr>
      <w:r>
        <w:t>How to interpret it</w:t>
      </w:r>
    </w:p>
    <w:p>
      <w:r>
        <w:t>Gamma is an artifact-sensitive candidate work-signal proxy, not a biomarker. It contributes to MR only if gates survive.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EMG/ocular/artifact, cue/task load, or visual features can explain gamma-like changes.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contributed an artifact-sensitive recognition/work-signal proxy. It is not a standalone meaning biomarker.</w:t>
            </w:r>
          </w:p>
        </w:tc>
      </w:tr>
    </w:tbl>
    <w:p/>
    <w:p>
      <w:pPr>
        <w:pStyle w:val="Heading1"/>
      </w:pPr>
      <w:r>
        <w:t>11. Temporal Semantic Proxy (TSP)</w:t>
      </w:r>
    </w:p>
    <w:p>
      <w:r>
        <w:t>Tier: Feature extraction / secondary</w:t>
      </w:r>
    </w:p>
    <w:p>
      <w:r>
        <w:t>A composite proxy for scene-timed semantic recognition pressure.</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MeaningGamma proxy, taper/peak features, artifact penalties, condition labels, anchor windows.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Score temporally localized recognition-like events using meaning-weighted gamma/TSP components, taper detection, and artifact-corrected normalization.</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TSP columns, TSP event candidates, visual overlays.</w:t>
      </w:r>
    </w:p>
    <w:p>
      <w:r>
        <w:t>These outputs usually live in the Master Suite output folder under tables/. Visualizer-specific sidecars are separate and should not be confused with canonical analysis tables.</w:t>
      </w:r>
    </w:p>
    <w:p>
      <w:pPr>
        <w:pStyle w:val="Heading2"/>
      </w:pPr>
      <w:r>
        <w:t>How to interpret it</w:t>
      </w:r>
    </w:p>
    <w:p>
      <w:r>
        <w:t>TSP marks candidate semantic strike timing. It is not proof of comprehension or memory.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TSP can be driven by visual salience, audio, task, or artifact if not controlled.</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contributed an artifact-sensitive recognition/work-signal proxy. It is not a standalone meaning biomarker.</w:t>
            </w:r>
          </w:p>
        </w:tc>
      </w:tr>
    </w:tbl>
    <w:p/>
    <w:p>
      <w:pPr>
        <w:pStyle w:val="Heading1"/>
      </w:pPr>
      <w:r>
        <w:t>12. CandidateLocal KHT-topo</w:t>
      </w:r>
    </w:p>
    <w:p>
      <w:r>
        <w:t>Tier: Exploratory convergence</w:t>
      </w:r>
    </w:p>
    <w:p>
      <w:r>
        <w:t>Tests local reciprocal coupling between observed work-signal features and inferred network-state topology proxies.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Feature table, candidate events, theta/meaning/TSP windows.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Fit event-local reciprocal loop models using recognition features and delayed integration/topology features; compute K_HT-topo and percentiles.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candidate_local_kht_topo_mred_event_table.csv, kht visual overlays.</w:t>
      </w:r>
    </w:p>
    <w:p>
      <w:r>
        <w:t>These outputs usually live in the Master Suite output folder under tables/. Visualizer-specific sidecars are separate and should not be confused with canonical analysis tables.</w:t>
      </w:r>
    </w:p>
    <w:p>
      <w:pPr>
        <w:pStyle w:val="Heading2"/>
      </w:pPr>
      <w:r>
        <w:t>How to interpret it</w:t>
      </w:r>
    </w:p>
    <w:p>
      <w:r>
        <w:t>K_HT-topo is a human-scale coupling proxy. It is not K_OSM and not cellular proof.</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High K without delayed theta/carryover or condition specificity is insufficient.</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13. MRED - Meaning Recognition / Encoding Dissociation</w:t>
      </w:r>
    </w:p>
    <w:p>
      <w:r>
        <w:t>Tier: Primary conceptual endpoint</w:t>
      </w:r>
    </w:p>
    <w:p>
      <w:r>
        <w:t>Separates meaning recognition (MR) from encoding/integration (ENC).</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TSP, MeaningGamma, KHT-topo, theta handoff, topology/afterstate proxies, artifact and condition labels.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MR and ENC scores at anchors/candidates. Classify quadrants such as MR_HIGH_ENC_HIGH or MR_HIGH_ENC_LOW.</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mred_event_table.csv, candidate_local_kht_topo_mred_event_table.csv.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MRED is the conceptual core: recognition can appear without clear integration, and integration-like changes may be nonsemantic unless Target-specific.</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No Control/Override specificity, high artifact, or no delayed window weakens classification.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14. A-MRED - Anchor-Locked MRED</w:t>
      </w:r>
    </w:p>
    <w:p>
      <w:r>
        <w:t>Tier: Boxed primary path</w:t>
      </w:r>
    </w:p>
    <w:p>
      <w:r>
        <w:t>Compresses the suite into a cleaner primary endpoint for future studies.</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Locked anchor JSON, feature table, MRED table, Control/Target/Override contrasts, QC gates, CET-R where available.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For each predeclared anchor, require Target MR and ENC above thresholds and greater than Control and Override, with QC pass.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amred_anchor_endpoint_table.csv, amred_primary_endpoint_summary.csv, amred_visual_overlay.csv.</w:t>
      </w:r>
    </w:p>
    <w:p>
      <w:r>
        <w:t>These outputs usually live in the Master Suite output folder under tables/. Visualizer-specific sidecars are separate and should not be confused with canonical analysis tables.</w:t>
      </w:r>
    </w:p>
    <w:p>
      <w:pPr>
        <w:pStyle w:val="Heading2"/>
      </w:pPr>
      <w:r>
        <w:t>How to interpret it</w:t>
      </w:r>
    </w:p>
    <w:p>
      <w:r>
        <w:t>A-MRED pass is the strongest current endpoint category. Strict use requires frame-verified locked anchors and clean timing.</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Estimated anchors, weak ALS, missing Control/Override, or timing sensitivity produce pilot-positive, not confirmatory, results.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A predeclared anchor showed a Target-favoring candidate pattern under the specified gates. Strict confirmation still requires locked, frame-verified anchors, clean timing, artifact controls, and replication.</w:t>
            </w:r>
          </w:p>
        </w:tc>
      </w:tr>
    </w:tbl>
    <w:p/>
    <w:p>
      <w:pPr>
        <w:pStyle w:val="Heading1"/>
      </w:pPr>
      <w:r>
        <w:t>15. MRED-Peak</w:t>
      </w:r>
    </w:p>
    <w:p>
      <w:r>
        <w:t>Tier: Boxed primary path / endpoint subtype</w:t>
      </w:r>
    </w:p>
    <w:p>
      <w:r>
        <w:t>Identifies acute anchor-locked meaning shock or recognition-plus-integration events.</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A-MRED, BIT, MRED scores, CII margins, KHT/MR/ENC tables.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Combine target MR, target ENC, strict gates, CII margins, and QC flags into a peak score and gate label.</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mred_peak_resolution_anchor_table.csv, top_mred_peak_candidates.csv.</w:t>
      </w:r>
    </w:p>
    <w:p>
      <w:r>
        <w:t>These outputs usually live in the Master Suite output folder under tables/. Visualizer-specific sidecars are separate and should not be confused with canonical analysis tables.</w:t>
      </w:r>
    </w:p>
    <w:p>
      <w:pPr>
        <w:pStyle w:val="Heading2"/>
      </w:pPr>
      <w:r>
        <w:t>How to interpret it</w:t>
      </w:r>
    </w:p>
    <w:p>
      <w:r>
        <w:t>Best for Contact-style acute recognition events. A strict peak pass still requires anchor/timing confidence.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Peak candidates without strict lock stay exploratory.</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A predeclared anchor showed a Target-favoring candidate pattern under the specified gates. Strict confirmation still requires locked, frame-verified anchors, clean timing, artifact controls, and replication.</w:t>
            </w:r>
          </w:p>
        </w:tc>
      </w:tr>
    </w:tbl>
    <w:p/>
    <w:p>
      <w:pPr>
        <w:pStyle w:val="Heading1"/>
      </w:pPr>
      <w:r>
        <w:t>16. MRED-Resolution</w:t>
      </w:r>
    </w:p>
    <w:p>
      <w:r>
        <w:t>Tier: Secondary/endpoint subtype</w:t>
      </w:r>
    </w:p>
    <w:p>
      <w:r>
        <w:t>Identifies delayed reflective or regulatory recovery rather than a single acute peak.</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Baseline2 metrics, NUPI/RDI, EET, self-report echo, MRED/NIP scores.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Combine post-target recovery, TargetEchoedDuringBaseline2, EET afterstate echo, and RDI with anchor-level context.</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mred_peak_resolution_anchor_table.csv, top_mred_resolution_candidates.csv.</w:t>
      </w:r>
    </w:p>
    <w:p>
      <w:r>
        <w:t>These outputs usually live in the Master Suite output folder under tables/. Visualizer-specific sidecars are separate and should not be confused with canonical analysis tables.</w:t>
      </w:r>
    </w:p>
    <w:p>
      <w:pPr>
        <w:pStyle w:val="Heading2"/>
      </w:pPr>
      <w:r>
        <w:t>How to interpret it</w:t>
      </w:r>
    </w:p>
    <w:p>
      <w:r>
        <w:t>Best for Field-of-Dreams-style closure/recovery. It is a profile, not proof of healing.</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No Baseline2 means true resolution cannot be graded; proxy-only results are flagged.</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run showed a recovery- or resolution-like profile in the available proxies. This is not a clinical or thermodynamic proof; it is an interpretable after-state profile.</w:t>
            </w:r>
          </w:p>
        </w:tc>
      </w:tr>
    </w:tbl>
    <w:p/>
    <w:p>
      <w:pPr>
        <w:pStyle w:val="Heading1"/>
      </w:pPr>
      <w:r>
        <w:t>17. NIP - Narrative Immersion Proxy</w:t>
      </w:r>
    </w:p>
    <w:p>
      <w:r>
        <w:t>Tier: Secondary</w:t>
      </w:r>
    </w:p>
    <w:p>
      <w:r>
        <w:t>Translates attention + resonance into macroscopic PRAYCG proxies.</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MeaningGamma/TSP/NAST for semantic attention; theta/KHT/topology/API for integration; artifact/confounds.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A_sem and R_int components; multiply/compose into immersion density.</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nip_component_timeseries.csv.</w:t>
      </w:r>
    </w:p>
    <w:p>
      <w:r>
        <w:t>These outputs usually live in the Master Suite output folder under tables/. Visualizer-specific sidecars are separate and should not be confused with canonical analysis tables.</w:t>
      </w:r>
    </w:p>
    <w:p>
      <w:pPr>
        <w:pStyle w:val="Heading2"/>
      </w:pPr>
      <w:r>
        <w:t>How to interpret it</w:t>
      </w:r>
    </w:p>
    <w:p>
      <w:r>
        <w:t>NIP estimates attention-plus-integration immersion proxy, not dopamine/oxytocin or literal immersion chemistry.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High sensory drive or artifact can mimic attention; high recognition without integration should not be called full immersion.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18. BIT - Bivariate Immersion Threshold</w:t>
      </w:r>
    </w:p>
    <w:p>
      <w:r>
        <w:t>Tier: Secondary</w:t>
      </w:r>
    </w:p>
    <w:p>
      <w:r>
        <w:t>Ensures immersion is not a mere average of attention and resonance.</w:t>
      </w:r>
    </w:p>
    <w:p>
      <w:pPr>
        <w:pStyle w:val="Heading2"/>
      </w:pPr>
      <w:r>
        <w:t>What the module is trying to prevent</w:t>
      </w:r>
    </w:p>
    <w:p>
      <w:r>
        <w:t>This module exists primarily to prevent a false-positive interpretation. It asks whether the run, timing, stimulus, or signal quality is strong enough to allow any downstream claim. If this layer fails, the correct output is not a weaker positive result; it is a downgraded or non-interpretable run.</w:t>
      </w:r>
    </w:p>
    <w:p>
      <w:pPr>
        <w:pStyle w:val="Heading2"/>
      </w:pPr>
      <w:r>
        <w:t>Inputs and assumptions</w:t>
      </w:r>
    </w:p>
    <w:p>
      <w:r>
        <w:t>NIP components, MRED quadrants, artifact and condition gates.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Boolean gate requiring semantic attention and integration/resonance to exceed thresholds simultaneously, with condition specificity.</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bit_event_table.csv.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BIT pass approximates a strict MR_HIGH_ENC_HIGH immersion candidate.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High attention but low integration fails BIT by design.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19. CII - Continuous Immersion Index</w:t>
      </w:r>
    </w:p>
    <w:p>
      <w:r>
        <w:t>Tier: Secondary</w:t>
      </w:r>
    </w:p>
    <w:p>
      <w:r>
        <w:t>Scores scene-level immersion density over anchor windows.</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NIP time series and anchor windows.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Integrate/average positive semantic-attention multiplied by integration proxy across a window, duration-normalized.</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cii_anchor_integrals.csv.</w:t>
      </w:r>
    </w:p>
    <w:p>
      <w:r>
        <w:t>These outputs usually live in the Master Suite output folder under tables/. Visualizer-specific sidecars are separate and should not be confused with canonical analysis tables.</w:t>
      </w:r>
    </w:p>
    <w:p>
      <w:pPr>
        <w:pStyle w:val="Heading2"/>
      </w:pPr>
      <w:r>
        <w:t>How to interpret it</w:t>
      </w:r>
    </w:p>
    <w:p>
      <w:r>
        <w:t>Useful for sustained scenes, not just spikes. Longer windows must be normalized.</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Can be inflated by duration, sensory rhythm, or artifacts if CET-R and QC are missing.</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20. IAQ / ITQ - Immersion Attenuation</w:t>
      </w:r>
    </w:p>
    <w:p>
      <w:r>
        <w:t>Tier: Secondary</w:t>
      </w:r>
    </w:p>
    <w:p>
      <w:r>
        <w:t>Estimates how much Override attenuates Target immersion proxy.</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Target and Override CII/NIP values for matched anchors.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Target-minus-Override difference or ratio-bounded attenuation.</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iaq_target_override_table.csv.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Positive IAQ means Target preserved more immersion proxy than Override. It is not a moral theft score.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If Override equals/exceeds Target, reception/extraction claim weakens or story breaks through task.</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21. TTI - Thermodynamic Theft Index</w:t>
      </w:r>
    </w:p>
    <w:p>
      <w:r>
        <w:t>Tier: Secondary</w:t>
      </w:r>
    </w:p>
    <w:p>
      <w:r>
        <w:t>Summarizes reception-vs-extraction tradeoff.</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MR, ENC, API-A/autonomic summaries, task/extraction metrics, artifact/visual penalties.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Weighted contrast: Target meaning/integration/regulation minus Override extraction/task load, penalized for artifacts and visual differences.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tti_global_summary.csv, tti_anchor_deltas.csv, tti_visual_overlay.csv.</w:t>
      </w:r>
    </w:p>
    <w:p>
      <w:r>
        <w:t>These outputs usually live in the Master Suite output folder under tables/. Visualizer-specific sidecars are separate and should not be confused with canonical analysis tables.</w:t>
      </w:r>
    </w:p>
    <w:p>
      <w:pPr>
        <w:pStyle w:val="Heading2"/>
      </w:pPr>
      <w:r>
        <w:t>How to interpret it</w:t>
      </w:r>
    </w:p>
    <w:p>
      <w:r>
        <w:t>Positive TTI means Target preserved more receptive meaning/integration while Override carried more extractive load.</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Not literal thermodynamics, morality, or clinical metric. Artifact or task confounds can dominate.</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22. NUPI - Narrative Update Polarity Index</w:t>
      </w:r>
    </w:p>
    <w:p>
      <w:r>
        <w:t>Tier: Secondary</w:t>
      </w:r>
    </w:p>
    <w:p>
      <w:r>
        <w:t>Classifies update profile as accommodative load versus resolutive recovery.</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ALI components, RDI components, Baseline2, NUPI anchors, self-report echo, EET.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ALI as semantic/update-load profile; compute RDI as regulatory-dividend/afterstate profile; NUPI = RDI - ALI.</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nupi_run_summary.csv, nupi_anchor_polarity_table.csv, nupi_visual_overlay.csv.</w:t>
      </w:r>
    </w:p>
    <w:p>
      <w:r>
        <w:t>These outputs usually live in the Master Suite output folder under tables/. Visualizer-specific sidecars are separate and should not be confused with canonical analysis tables.</w:t>
      </w:r>
    </w:p>
    <w:p>
      <w:pPr>
        <w:pStyle w:val="Heading2"/>
      </w:pPr>
      <w:r>
        <w:t>How to interpret it</w:t>
      </w:r>
    </w:p>
    <w:p>
      <w:r>
        <w:t>Distinguishes high-load-with-recovery from resolutive-recovery profiles. Does not measure heat/ATP/clinical healing.</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No Baseline2 or no afterstate physiology prevents reliable polarity grading.</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run showed a recovery- or resolution-like profile in the available proxies. This is not a clinical or thermodynamic proof; it is an interpretable after-state profile.</w:t>
            </w:r>
          </w:p>
        </w:tc>
      </w:tr>
    </w:tbl>
    <w:p/>
    <w:p>
      <w:pPr>
        <w:pStyle w:val="Heading1"/>
      </w:pPr>
      <w:r>
        <w:t>23. NAST - Narrative Absorption State Transition</w:t>
      </w:r>
    </w:p>
    <w:p>
      <w:r>
        <w:t>Tier: Exploratory / transition</w:t>
      </w:r>
    </w:p>
    <w:p>
      <w:r>
        <w:t>Detects branch-entry state transition into narrative absorption or task stance.</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Late washout windows, early branch windows, alpha, MeaningGamma, TSP, TaskGamma, theta.</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Compare pre-branch and early-branch features; quantify meaning/alpha/task transitions.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nast_phase_transition_table.csv.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Useful for onset dynamics. Target may show meaning/TSP increase; Override may show task-gamma increase.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Alpha is eye/attention sensitive; NAST alone is not a meaning endpoint.</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24. Topo-OSM NetworkState</w:t>
      </w:r>
    </w:p>
    <w:p>
      <w:r>
        <w:t>Tier: Exploratory interpretation</w:t>
      </w:r>
    </w:p>
    <w:p>
      <w:r>
        <w:t>Represents human-scale latent state as network-state topology proxy.</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Theta, gamma, alpha, TSP, API-A, respiration, artifact, branch summaries.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Build phase/branch vectors and transition distances rather than cellular hidden-Y claims.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topo_osm_phase_state_vectors.csv, topo_osm_visual_overlay.csv.</w:t>
      </w:r>
    </w:p>
    <w:p>
      <w:r>
        <w:t>These outputs usually live in the Master Suite output folder under tables/. Visualizer-specific sidecars are separate and should not be confused with canonical analysis tables.</w:t>
      </w:r>
    </w:p>
    <w:p>
      <w:pPr>
        <w:pStyle w:val="Heading2"/>
      </w:pPr>
      <w:r>
        <w:t>How to interpret it</w:t>
      </w:r>
    </w:p>
    <w:p>
      <w:r>
        <w:t>Human-scale Topo-OSM only: state geometry, not microtubules or biophotons.</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Too few channels, unconfirmed channel map, or artifact can make topology labels unreliable.</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25. EET - Endogenous Echo Tracking</w:t>
      </w:r>
    </w:p>
    <w:p>
      <w:r>
        <w:t>Tier: Exploratory convergence</w:t>
      </w:r>
    </w:p>
    <w:p>
      <w:r>
        <w:t>Tests whether scene-anchor state vectors resemble later washout/Baseline2 states.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Anchor feature vectors, washout/Baseline2 feature vectors, NIP/MRED/EET tables.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cosine/similarity or vector resemblance between anchor state and later afterstate windows.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eet_endogenous_echo_tracking.csv.</w:t>
      </w:r>
    </w:p>
    <w:p>
      <w:r>
        <w:t>These outputs usually live in the Master Suite output folder under tables/. Visualizer-specific sidecars are separate and should not be confused with canonical analysis tables.</w:t>
      </w:r>
    </w:p>
    <w:p>
      <w:pPr>
        <w:pStyle w:val="Heading2"/>
      </w:pPr>
      <w:r>
        <w:t>How to interpret it</w:t>
      </w:r>
    </w:p>
    <w:p>
      <w:r>
        <w:t>Suggests afterstate resemblance. It is not replay proof or memory proof.</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Similarity may reflect baseline drift, common arousal, artifact, or generic state persistence.</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The after-state resembled the anchor-state vector under the specified metric. This is not proof of replay or memory.</w:t>
            </w:r>
          </w:p>
        </w:tc>
      </w:tr>
    </w:tbl>
    <w:p/>
    <w:p>
      <w:pPr>
        <w:pStyle w:val="Heading1"/>
      </w:pPr>
      <w:r>
        <w:t>26. MRED-ITP - Information-Thermodynamic Proxy</w:t>
      </w:r>
    </w:p>
    <w:p>
      <w:r>
        <w:t>Tier: Exploratory convergence</w:t>
      </w:r>
    </w:p>
    <w:p>
      <w:r>
        <w:t>Adds complexity and ocular-release proxies around MRED events.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LZ-style complexity time series, blink/Fp1 proxy, MRED anchors, artifact.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complexity strike/settlement and blink suppression/release metrics, then summarize convergence with MRED.</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lz_complexity_timeseries.csv, acg_event_table.csv, blink_event_table.csv, ocu_event_table.csv, mred_itp_anchor_summary.csv.</w:t>
      </w:r>
    </w:p>
    <w:p>
      <w:r>
        <w:t>These outputs usually live in the Master Suite output folder under tables/. Visualizer-specific sidecars are separate and should not be confused with canonical analysis tables.</w:t>
      </w:r>
    </w:p>
    <w:p>
      <w:pPr>
        <w:pStyle w:val="Heading2"/>
      </w:pPr>
      <w:r>
        <w:t>How to interpret it</w:t>
      </w:r>
    </w:p>
    <w:p>
      <w:r>
        <w:t>A convergence layer only. Complexity is not thermodynamic entropy; blink release is not memory encoding proof.</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High artifact, lack of EOG/eye tracking, or modality-specific complexity effects limit interpretation.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supplied convergence or falsification evidence. It does not prove entropy reduction or memory encoding.</w:t>
            </w:r>
          </w:p>
        </w:tc>
      </w:tr>
    </w:tbl>
    <w:p/>
    <w:p>
      <w:pPr>
        <w:pStyle w:val="Heading1"/>
      </w:pPr>
      <w:r>
        <w:t>27. ACG - Algorithmic Complexity Gate</w:t>
      </w:r>
    </w:p>
    <w:p>
      <w:r>
        <w:t>Tier: Exploratory</w:t>
      </w:r>
    </w:p>
    <w:p>
      <w:r>
        <w:t>Looks for complexity perturbation and settlement around anchors.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Feature-state or raw EEG symbolic complexity windows.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Compare pre, peak, and post LZ-style complexity: strike = peak-pre; settle = post-peak.</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acg_event_table.csv, lz_complexity_timeseries.csv.</w:t>
      </w:r>
    </w:p>
    <w:p>
      <w:r>
        <w:t>These outputs usually live in the Master Suite output folder under tables/. Visualizer-specific sidecars are separate and should not be confused with canonical analysis tables.</w:t>
      </w:r>
    </w:p>
    <w:p>
      <w:pPr>
        <w:pStyle w:val="Heading2"/>
      </w:pPr>
      <w:r>
        <w:t>How to interpret it</w:t>
      </w:r>
    </w:p>
    <w:p>
      <w:r>
        <w:t>Structured complexity trajectory can support perturbation/settlement interpretation.</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Not literal entropy; artifact/noise can raise complexity; drowsiness/flatline can lower it.</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supplied convergence or falsification evidence. It does not prove entropy reduction or memory encoding.</w:t>
            </w:r>
          </w:p>
        </w:tc>
      </w:tr>
    </w:tbl>
    <w:p/>
    <w:p>
      <w:pPr>
        <w:pStyle w:val="Heading1"/>
      </w:pPr>
      <w:r>
        <w:t>28. OCU - Ocular-Cognitive Unloading</w:t>
      </w:r>
    </w:p>
    <w:p>
      <w:r>
        <w:t>Tier: Exploratory / ocular</w:t>
      </w:r>
    </w:p>
    <w:p>
      <w:r>
        <w:t>Tracks blink suppression and release around narrative anchors.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Fp1/frontal ocular proxy or EOG if available, anchor windows, artifact table.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Detect blink-like events, compute blink rate before/during/after anchor, quantify suppression/release.</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blink_event_table.csv, ocu_event_table.csv.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Possible event-boundary/attention-release marker. Stronger with EOG/eye tracking.</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Fp1 proxy confounds blink with squint, EMG, eye strain, fatigue, or electrode motion.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supplied convergence or falsification evidence. It does not prove entropy reduction or memory encoding.</w:t>
            </w:r>
          </w:p>
        </w:tc>
      </w:tr>
    </w:tbl>
    <w:p/>
    <w:p>
      <w:pPr>
        <w:pStyle w:val="Heading1"/>
      </w:pPr>
      <w:r>
        <w:t>29. OCM025 - Override Cue Microstate</w:t>
      </w:r>
    </w:p>
    <w:p>
      <w:r>
        <w:t>Tier: Override diagnostic</w:t>
      </w:r>
    </w:p>
    <w:p>
      <w:r>
        <w:t>Analyzes digit recognition and working-memory updates around number cues at 0.25 s resolution.</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Cue schedule, raw/feature windows, Override/Target/Control comparisons.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Segment cue epochs into pre-cue, digit recognition, working-memory update, and maintenance windows; compare to nulls.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ocm025_rsm_cvb_squint_cue_epoch_table.csv.</w:t>
      </w:r>
    </w:p>
    <w:p>
      <w:r>
        <w:t>These outputs usually live in the Master Suite output folder under tables/. Visualizer-specific sidecars are separate and should not be confused with canonical analysis tables.</w:t>
      </w:r>
    </w:p>
    <w:p>
      <w:pPr>
        <w:pStyle w:val="Heading2"/>
      </w:pPr>
      <w:r>
        <w:t>How to interpret it</w:t>
      </w:r>
    </w:p>
    <w:p>
      <w:r>
        <w:t>Tests whether Override task was physiologically engaged. Not a meaning endpoint.</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Poor cue visibility, missed cues, or artifacts can dominate.</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describes task, cue, or visual-burden structure in Override. It does not prove a private mental strategy.</w:t>
            </w:r>
          </w:p>
        </w:tc>
      </w:tr>
    </w:tbl>
    <w:p/>
    <w:p>
      <w:pPr>
        <w:pStyle w:val="Heading1"/>
      </w:pPr>
      <w:r>
        <w:t>30. RSM - Running Sum Microstate Model</w:t>
      </w:r>
    </w:p>
    <w:p>
      <w:r>
        <w:t>Tier: Override diagnostic</w:t>
      </w:r>
    </w:p>
    <w:p>
      <w:r>
        <w:t>Models arithmetic load, compute stall, deadline pressure, and latent guess risk.</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Cue values, running-sum trajectory, OCM025 features, task self-report.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carry difficulty, high-carry load, hard-9 patterns, theta maintenance, closure delay, and latent guess-risk proxies.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rsm_correlation_summary.csv, cue tables.</w:t>
      </w:r>
    </w:p>
    <w:p>
      <w:r>
        <w:t>These outputs usually live in the Master Suite output folder under tables/. Visualizer-specific sidecars are separate and should not be confused with canonical analysis tables.</w:t>
      </w:r>
    </w:p>
    <w:p>
      <w:pPr>
        <w:pStyle w:val="Heading2"/>
      </w:pPr>
      <w:r>
        <w:t>How to interpret it</w:t>
      </w:r>
    </w:p>
    <w:p>
      <w:r>
        <w:t>Identifies candidate burden/strategy windows, not proof of private strategy.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Requires accurate cue schedule and task report; cannot prove actual guessing.</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describes task, cue, or visual-burden structure in Override. It does not prove a private mental strategy.</w:t>
            </w:r>
          </w:p>
        </w:tc>
      </w:tr>
    </w:tbl>
    <w:p/>
    <w:p>
      <w:pPr>
        <w:pStyle w:val="Heading1"/>
      </w:pPr>
      <w:r>
        <w:t>31. CVB - Cue Visibility / Legibility Burden</w:t>
      </w:r>
    </w:p>
    <w:p>
      <w:r>
        <w:t>Tier: Override diagnostic</w:t>
      </w:r>
    </w:p>
    <w:p>
      <w:r>
        <w:t>Separates cue perception burden from arithmetic compute burden.</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Cue schedule, visual contrast/legibility metrics, OCM/RSM features, SquintProxy.</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Combine weak digit-recognition, high holding burden, low contrast/blur reports, and visual-search proxies.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cue legibility burden columns and candidate tables.</w:t>
      </w:r>
    </w:p>
    <w:p>
      <w:r>
        <w:t>These outputs usually live in the Master Suite output folder under tables/. Visualizer-specific sidecars are separate and should not be confused with canonical analysis tables.</w:t>
      </w:r>
    </w:p>
    <w:p>
      <w:pPr>
        <w:pStyle w:val="Heading2"/>
      </w:pPr>
      <w:r>
        <w:t>How to interpret it</w:t>
      </w:r>
    </w:p>
    <w:p>
      <w:r>
        <w:t>Flags possible hard-to-see cues. Particularly useful for Snack Attack and Her-like issues.</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Cannot confirm invisibility without frame-level visibility and/or eye tracking.</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describes task, cue, or visual-burden structure in Override. It does not prove a private mental strategy.</w:t>
            </w:r>
          </w:p>
        </w:tc>
      </w:tr>
    </w:tbl>
    <w:p/>
    <w:p>
      <w:pPr>
        <w:pStyle w:val="Heading1"/>
      </w:pPr>
      <w:r>
        <w:t>32. SquintProxy</w:t>
      </w:r>
    </w:p>
    <w:p>
      <w:r>
        <w:t>Tier: Artifact/covariate</w:t>
      </w:r>
    </w:p>
    <w:p>
      <w:r>
        <w:t>Uses frontal/Fp1-like artifact as possible visual strain sentinel.</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Fp1/frontal high-frequency, p2p, blink-like sentinels, self-report.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Score eye-strain/squint candidates separately from blink events and EEG endpoints.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squint_proxy candidates within RSM/CVB tables.</w:t>
      </w:r>
    </w:p>
    <w:p>
      <w:r>
        <w:t>These outputs usually live in the Master Suite output folder under tables/. Visualizer-specific sidecars are separate and should not be confused with canonical analysis tables.</w:t>
      </w:r>
    </w:p>
    <w:p>
      <w:pPr>
        <w:pStyle w:val="Heading2"/>
      </w:pPr>
      <w:r>
        <w:t>How to interpret it</w:t>
      </w:r>
    </w:p>
    <w:p>
      <w:r>
        <w:t>Useful as covariate only. EOG/eye tracking is needed for confirmation.</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Confounds with blink, EMG, brow tension, electrode movement, general effort.</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describes task, cue, or visual-burden structure in Override. It does not prove a private mental strategy.</w:t>
            </w:r>
          </w:p>
        </w:tc>
      </w:tr>
    </w:tbl>
    <w:p/>
    <w:p>
      <w:pPr>
        <w:pStyle w:val="Heading1"/>
      </w:pPr>
      <w:r>
        <w:t>33. API-A / Autonomic availability</w:t>
      </w:r>
    </w:p>
    <w:p>
      <w:r>
        <w:t>Tier: Secondary/covariate</w:t>
      </w:r>
    </w:p>
    <w:p>
      <w:r>
        <w:t>Summarizes regulated availability rather than simple arousal.</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HR, RMSSD/SDNN/pNN50, HR slope, respiration if available.</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Weighted z-score composite favoring lower HR, higher HRV, stable/regulated trends, and respiratory context.</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api_a columns, autonomic summaries.</w:t>
      </w:r>
    </w:p>
    <w:p>
      <w:r>
        <w:t>These outputs usually live in the Master Suite output folder under tables/. Visualizer-specific sidecars are separate and should not be confused with canonical analysis tables.</w:t>
      </w:r>
    </w:p>
    <w:p>
      <w:pPr>
        <w:pStyle w:val="Heading2"/>
      </w:pPr>
      <w:r>
        <w:t>How to interpret it</w:t>
      </w:r>
    </w:p>
    <w:p>
      <w:r>
        <w:t>Helps distinguish receptive regulation from strain, but not a clinical measure.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Requires reliable R-R/ECG; respiration/common drive can explain HRV.</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34. Baseline 1 vs Baseline 2</w:t>
      </w:r>
    </w:p>
    <w:p>
      <w:r>
        <w:t>Tier: Secondary afterstate</w:t>
      </w:r>
    </w:p>
    <w:p>
      <w:r>
        <w:t>Compares pre-run baseline to final reflection baseline.</w:t>
      </w:r>
    </w:p>
    <w:p>
      <w:pPr>
        <w:pStyle w:val="Heading2"/>
      </w:pPr>
      <w:r>
        <w:t>What the module is trying to prevent</w:t>
      </w:r>
    </w:p>
    <w:p>
      <w:r>
        <w:t>This module summarizes a pattern already estimated elsewhere. It is useful for comparing branches, runs, or anchor families, but it should not outrank the primary endpoint. It helps explain shape and direction, not final truth.</w:t>
      </w:r>
    </w:p>
    <w:p>
      <w:pPr>
        <w:pStyle w:val="Heading2"/>
      </w:pPr>
      <w:r>
        <w:t>Inputs and assumptions</w:t>
      </w:r>
    </w:p>
    <w:p>
      <w:r>
        <w:t>Baseline phase features, HR/HRV, respiration, NIP/TSP/TaskGamma, artifact.</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feature deltas and regulation/reflective-state indicators.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baseline1_vs_baseline2_summary.csv.</w:t>
      </w:r>
    </w:p>
    <w:p>
      <w:r>
        <w:t>These outputs usually live in the Master Suite output folder under tables/. Visualizer-specific sidecars are separate and should not be confused with canonical analysis tables.</w:t>
      </w:r>
    </w:p>
    <w:p>
      <w:pPr>
        <w:pStyle w:val="Heading2"/>
      </w:pPr>
      <w:r>
        <w:t>How to interpret it</w:t>
      </w:r>
    </w:p>
    <w:p>
      <w:r>
        <w:t>Supports afterglow/recovery interpretation when Baseline2 is cleaner, more regulated, or semantically active.</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Can be contaminated by fatigue, report burden, order effects, or artifact differences.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35. LSO/SPM Subtitle Override</w:t>
      </w:r>
    </w:p>
    <w:p>
      <w:r>
        <w:t>Tier: Optional exploratory</w:t>
      </w:r>
    </w:p>
    <w:p>
      <w:r>
        <w:t>Analyzes subtitle-only or subtitle-mediated override variants.</w:t>
      </w:r>
    </w:p>
    <w:p>
      <w:pPr>
        <w:pStyle w:val="Heading2"/>
      </w:pPr>
      <w:r>
        <w:t>What the module is trying to prevent</w:t>
      </w:r>
    </w:p>
    <w:p>
      <w:r>
        <w:t>This module is designed to generate, constrain, or falsify hypotheses. Its job is not to certify PRAYCG. It helps diagnose mechanisms, artifacts, timing issues, burden states, and alternative explanations.</w:t>
      </w:r>
    </w:p>
    <w:p>
      <w:pPr>
        <w:pStyle w:val="Heading2"/>
      </w:pPr>
      <w:r>
        <w:t>Inputs and assumptions</w:t>
      </w:r>
    </w:p>
    <w:p>
      <w:r>
        <w:t>Subtitle file, bounding boxes, optional gaze, feature table, MRED/NIP outputs.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Compute lexical extraction cost, subtitle phase mapping, semantic timing shift, and subtitle MRED patterns.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subtitle_line_event_table.csv, subtitle_phase_shift_table.csv, lso_visual_overlay.csv.</w:t>
      </w:r>
    </w:p>
    <w:p>
      <w:r>
        <w:t>These outputs usually live in the Master Suite output folder under tables/. Visualizer-specific sidecars are separate and should not be confused with canonical analysis tables.</w:t>
      </w:r>
    </w:p>
    <w:p>
      <w:pPr>
        <w:pStyle w:val="Heading2"/>
      </w:pPr>
      <w:r>
        <w:t>How to interpret it</w:t>
      </w:r>
    </w:p>
    <w:p>
      <w:r>
        <w:t>Tests route cost: semantic access through text versus natural audiovisual absorption.</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Without gaze, reading timing is estimated only. Audio+subtitle variants test a different condition.</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36. MasterSync Visualizer</w:t>
      </w:r>
    </w:p>
    <w:p>
      <w:r>
        <w:t>Tier: Visualization/audit</w:t>
      </w:r>
    </w:p>
    <w:p>
      <w:r>
        <w:t>Creates synchronized stimulus/data review videos with public/TSC or lab-diagnostic modes.</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Stimulus MP4, XDF or feature CSV, analysis output folder, overlay tables.</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Slice branch by markers, repair timebases when possible, robust-scale panels, show missing-data labels, render event overlays/cards.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analysis MP4, features_used.csv, events_used.csv, render_report.json.</w:t>
      </w:r>
    </w:p>
    <w:p>
      <w:r>
        <w:t>These outputs usually live in the Master Suite output folder under tables/. Visualizer-specific sidecars are separate and should not be confused with canonical analysis tables.</w:t>
      </w:r>
    </w:p>
    <w:p>
      <w:pPr>
        <w:pStyle w:val="Heading2"/>
      </w:pPr>
      <w:r>
        <w:t>How to interpret it</w:t>
      </w:r>
    </w:p>
    <w:p>
      <w:r>
        <w:t>Excellent for review and explanation. Does not certify endpoint validity.</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Bad feature table, missing panels, or uncorrected event timebase can mislead.</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37. Offline Interpretive Report Generator</w:t>
      </w:r>
    </w:p>
    <w:p>
      <w:r>
        <w:t>Tier: Reporting / usability</w:t>
      </w:r>
    </w:p>
    <w:p>
      <w:r>
        <w:t>Generates a local rule-based plain-English report from a Master Suite output folder.</w:t>
      </w:r>
    </w:p>
    <w:p>
      <w:pPr>
        <w:pStyle w:val="Heading2"/>
      </w:pPr>
      <w:r>
        <w:t>What the module is trying to prevent</w:t>
      </w:r>
    </w:p>
    <w:p>
      <w:r>
        <w:t>This module supports the core analysis chain. It should be interpreted only in relation to timing, artifact, Control, Override, and stimulus-regressor checks.</w:t>
      </w:r>
    </w:p>
    <w:p>
      <w:pPr>
        <w:pStyle w:val="Heading2"/>
      </w:pPr>
      <w:r>
        <w:t>Inputs and assumptions</w:t>
      </w:r>
    </w:p>
    <w:p>
      <w:r>
        <w:t>Analysis folder tables, optional auto-run MRED-Peak/Resolution.</w:t>
      </w:r>
    </w:p>
    <w:p>
      <w:r>
        <w:t>The assumptions are narrow: the input files must correspond to the same run, use the same branch timing, and preserve the condition labels expected by the suite. If the module is anchor-based, anchor IDs and rendered times must match the final rendered stimulus rather than a remembered source-video time.</w:t>
      </w:r>
    </w:p>
    <w:p>
      <w:pPr>
        <w:pStyle w:val="Heading2"/>
      </w:pPr>
      <w:r>
        <w:t>Algorithmic logic</w:t>
      </w:r>
    </w:p>
    <w:p>
      <w:r>
        <w:t>Detect available tables, summarize QC, A-MRED, MRED-Peak/Resolution, NIP/TTI/NUPI/CET/EET/ITP/OCM/RSM, and boundaries.</w:t>
      </w:r>
    </w:p>
    <w:p>
      <w:r>
        <w:t>In practice, the module reduces high-dimensional time series into branch-level, anchor-level, or cue-level summaries. The exact weights and thresholds are intended to be transparent and modifiable rather than hidden. For public replication, the lock-in file should freeze thresholds before analysis.</w:t>
      </w:r>
    </w:p>
    <w:p>
      <w:pPr>
        <w:pStyle w:val="Heading2"/>
      </w:pPr>
      <w:r>
        <w:t>Outputs and where to find them</w:t>
      </w:r>
    </w:p>
    <w:p>
      <w:r>
        <w:t>offline_interpretive_report.md/txt/json.</w:t>
      </w:r>
    </w:p>
    <w:p>
      <w:r>
        <w:t>These outputs usually live in the Master Suite output folder under tables/. Visualizer-specific sidecars are separate and should not be confused with canonical analysis tables.</w:t>
      </w:r>
    </w:p>
    <w:p>
      <w:pPr>
        <w:pStyle w:val="Heading2"/>
      </w:pPr>
      <w:r>
        <w:t>How to interpret it</w:t>
      </w:r>
    </w:p>
    <w:p>
      <w:r>
        <w:t>Helps GitHub/OSF users interpret outputs without uploading data to an AI assistant.</w:t>
      </w:r>
    </w:p>
    <w:p>
      <w:r>
        <w:t>The safest interpretation always asks three questions: Did Target exceed Control? Did Target exceed Override? Did artifact, timing, stimulus drive, or self-report contradict the interpretation?</w:t>
      </w:r>
    </w:p>
    <w:p>
      <w:pPr>
        <w:pStyle w:val="Heading2"/>
      </w:pPr>
      <w:r>
        <w:t>How it can fail</w:t>
      </w:r>
    </w:p>
    <w:p>
      <w:r>
        <w:t>Rule-based, not flexible scientific reasoning. It cannot rescue bad inputs or discover unmodeled confounds.</w:t>
      </w:r>
    </w:p>
    <w:p>
      <w:pPr>
        <w:pStyle w:val="Heading2"/>
      </w:pPr>
      <w:r>
        <w:t>Safe public wording</w:t>
      </w:r>
    </w:p>
    <w:tbl>
      <w:tblPr>
        <w:tblStyle w:val="TableGrid"/>
        <w:tblW w:type="auto" w:w="0"/>
        <w:jc w:val="center"/>
        <w:tblLook w:firstColumn="1" w:firstRow="1" w:lastColumn="0" w:lastRow="0" w:noHBand="0" w:noVBand="1" w:val="04A0"/>
      </w:tblPr>
      <w:tblGrid>
        <w:gridCol w:w="10224"/>
      </w:tblGrid>
      <w:tr>
        <w:tc>
          <w:tcPr>
            <w:tcW w:type="dxa" w:w="10224"/>
            <w:shd w:fill="D9EAF7"/>
            <w:vAlign w:val="top"/>
          </w:tcPr>
          <w:p>
            <w:pPr>
              <w:spacing w:after="40"/>
            </w:pPr>
            <w:r/>
            <w:r>
              <w:rPr>
                <w:b/>
                <w:color w:val="1F4E79"/>
              </w:rPr>
              <w:t>Recommended wording</w:t>
            </w:r>
          </w:p>
        </w:tc>
      </w:tr>
      <w:tr>
        <w:tc>
          <w:tcPr>
            <w:tcW w:type="dxa" w:w="10224"/>
            <w:shd w:fill="F3F7EE"/>
            <w:vAlign w:val="top"/>
          </w:tcPr>
          <w:p>
            <w:pPr>
              <w:spacing w:after="40"/>
            </w:pPr>
            <w:r/>
            <w:r>
              <w:rPr>
                <w:b w:val="0"/>
              </w:rPr>
              <w:t>This module supports the analysis chain. It should be read as a bounded measurement or QC layer, not a standalone claim.</w:t>
            </w:r>
          </w:p>
        </w:tc>
      </w:tr>
    </w:tbl>
    <w:p/>
    <w:p>
      <w:pPr>
        <w:pStyle w:val="Heading1"/>
      </w:pPr>
      <w:r>
        <w:t>Final recommended interpretation workflow</w:t>
      </w:r>
    </w:p>
    <w:p>
      <w:pPr>
        <w:pStyle w:val="ListBullet"/>
      </w:pPr>
      <w:r>
        <w:t>Start with run identity, media hashes, and Target/Override hash match.</w:t>
      </w:r>
    </w:p>
    <w:p>
      <w:pPr>
        <w:pStyle w:val="ListBullet"/>
      </w:pPr>
      <w:r>
        <w:t>Check channel map, stream inventory, phase coverage, and ALS/display timing.</w:t>
      </w:r>
    </w:p>
    <w:p>
      <w:pPr>
        <w:pStyle w:val="ListBullet"/>
      </w:pPr>
      <w:r>
        <w:t>Check artifact and confound tables before looking at gamma or theta.</w:t>
      </w:r>
    </w:p>
    <w:p>
      <w:pPr>
        <w:pStyle w:val="ListBullet"/>
      </w:pPr>
      <w:r>
        <w:t>Check StimulusFingerprint/CET-R to see whether movie rhythm or cue rhythm explains the pattern.</w:t>
      </w:r>
    </w:p>
    <w:p>
      <w:pPr>
        <w:pStyle w:val="ListBullet"/>
      </w:pPr>
      <w:r>
        <w:t>Use A-MRED/MRED-Peak/Resolution as the primary interpretive compression.</w:t>
      </w:r>
    </w:p>
    <w:p>
      <w:pPr>
        <w:pStyle w:val="ListBullet"/>
      </w:pPr>
      <w:r>
        <w:t>Use NIP/TTI/NUPI as secondary summaries of immersion, extraction, and polarity.</w:t>
      </w:r>
    </w:p>
    <w:p>
      <w:pPr>
        <w:pStyle w:val="ListBullet"/>
      </w:pPr>
      <w:r>
        <w:t>Use KHT-topo, NAST, EET, MRED-ITP, OCM/RSM/CVB/Squint as convergence or falsification layers.</w:t>
      </w:r>
    </w:p>
    <w:p>
      <w:pPr>
        <w:pStyle w:val="ListBullet"/>
      </w:pPr>
      <w:r>
        <w:t>Read self-report as context and a consistency check, not proof.</w:t>
      </w:r>
    </w:p>
    <w:p>
      <w:pPr>
        <w:pStyle w:val="ListBullet"/>
      </w:pPr>
      <w:r>
        <w:t>If the offline interpreter gives a positive summary but the QC layer failed, the QC layer wins.</w:t>
      </w:r>
    </w:p>
    <w:p>
      <w:pPr>
        <w:pStyle w:val="Heading1"/>
      </w:pPr>
      <w:r>
        <w:t>Glossary of claim grades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pPr>
              <w:spacing w:after="20"/>
            </w:pPr>
            <w:r>
              <w:rPr>
                <w:sz w:val="17"/>
              </w:rPr>
            </w:r>
            <w:r>
              <w:rPr>
                <w:b/>
                <w:color w:val="FFFFFF"/>
                <w:sz w:val="17"/>
              </w:rPr>
              <w:t>Grade</w:t>
            </w:r>
          </w:p>
        </w:tc>
        <w:tc>
          <w:tcPr>
            <w:tcW w:type="dxa" w:w="5112"/>
            <w:shd w:fill="1F4E79"/>
          </w:tcPr>
          <w:p>
            <w:pPr>
              <w:spacing w:after="20"/>
            </w:pPr>
            <w:r>
              <w:rPr>
                <w:sz w:val="17"/>
              </w:rPr>
            </w:r>
            <w:r>
              <w:rPr>
                <w:b/>
                <w:color w:val="FFFFFF"/>
                <w:sz w:val="17"/>
              </w:rPr>
              <w:t>Meaning</w:t>
            </w:r>
          </w:p>
        </w:tc>
      </w:tr>
      <w:tr>
        <w:tc>
          <w:tcPr>
            <w:tcW w:type="dxa" w:w="5112"/>
          </w:tcPr>
          <w:p>
            <w:pPr>
              <w:spacing w:after="20"/>
            </w:pPr>
            <w:r>
              <w:rPr>
                <w:sz w:val="17"/>
              </w:rPr>
            </w:r>
            <w:r>
              <w:rPr>
                <w:b w:val="0"/>
                <w:sz w:val="17"/>
              </w:rPr>
              <w:t>Strict confirmatory candidate</w:t>
            </w:r>
          </w:p>
        </w:tc>
        <w:tc>
          <w:tcPr>
            <w:tcW w:type="dxa" w:w="5112"/>
          </w:tcPr>
          <w:p>
            <w:pPr>
              <w:spacing w:after="20"/>
            </w:pPr>
            <w:r>
              <w:rPr>
                <w:sz w:val="17"/>
              </w:rPr>
            </w:r>
            <w:r>
              <w:rPr>
                <w:b w:val="0"/>
                <w:sz w:val="17"/>
              </w:rPr>
              <w:t>Locked, frame-verified anchors; clean timing; artifact/CET-R pass; Target &gt; Control and Target &gt; Override; preregistered rule.</w:t>
            </w:r>
          </w:p>
        </w:tc>
      </w:tr>
      <w:tr>
        <w:tc>
          <w:tcPr>
            <w:tcW w:type="dxa" w:w="5112"/>
          </w:tcPr>
          <w:p>
            <w:pPr>
              <w:spacing w:after="20"/>
            </w:pPr>
            <w:r>
              <w:rPr>
                <w:sz w:val="17"/>
              </w:rPr>
            </w:r>
            <w:r>
              <w:rPr>
                <w:b w:val="0"/>
                <w:sz w:val="17"/>
              </w:rPr>
              <w:t>Runner-registered estimated pilot</w:t>
            </w:r>
          </w:p>
        </w:tc>
        <w:tc>
          <w:tcPr>
            <w:tcW w:type="dxa" w:w="5112"/>
          </w:tcPr>
          <w:p>
            <w:pPr>
              <w:spacing w:after="20"/>
            </w:pPr>
            <w:r>
              <w:rPr>
                <w:sz w:val="17"/>
              </w:rPr>
            </w:r>
            <w:r>
              <w:rPr>
                <w:b w:val="0"/>
                <w:sz w:val="17"/>
              </w:rPr>
              <w:t>Anchor file loaded before acquisition, but times are estimated or not frame-verified. Useful but not confirmatory.</w:t>
            </w:r>
          </w:p>
        </w:tc>
      </w:tr>
      <w:tr>
        <w:tc>
          <w:tcPr>
            <w:tcW w:type="dxa" w:w="5112"/>
          </w:tcPr>
          <w:p>
            <w:pPr>
              <w:spacing w:after="20"/>
            </w:pPr>
            <w:r>
              <w:rPr>
                <w:sz w:val="17"/>
              </w:rPr>
            </w:r>
            <w:r>
              <w:rPr>
                <w:b w:val="0"/>
                <w:sz w:val="17"/>
              </w:rPr>
              <w:t>Conceptually predeclared exploratory</w:t>
            </w:r>
          </w:p>
        </w:tc>
        <w:tc>
          <w:tcPr>
            <w:tcW w:type="dxa" w:w="5112"/>
          </w:tcPr>
          <w:p>
            <w:pPr>
              <w:spacing w:after="20"/>
            </w:pPr>
            <w:r>
              <w:rPr>
                <w:sz w:val="17"/>
              </w:rPr>
            </w:r>
            <w:r>
              <w:rPr>
                <w:b w:val="0"/>
                <w:sz w:val="17"/>
              </w:rPr>
              <w:t>Anchor family existed before analysis, but was not loaded into the runner. Stronger than pure fishing, weaker than formal registration.</w:t>
            </w:r>
          </w:p>
        </w:tc>
      </w:tr>
      <w:tr>
        <w:tc>
          <w:tcPr>
            <w:tcW w:type="dxa" w:w="5112"/>
          </w:tcPr>
          <w:p>
            <w:pPr>
              <w:spacing w:after="20"/>
            </w:pPr>
            <w:r>
              <w:rPr>
                <w:sz w:val="17"/>
              </w:rPr>
            </w:r>
            <w:r>
              <w:rPr>
                <w:b w:val="0"/>
                <w:sz w:val="17"/>
              </w:rPr>
              <w:t>Exploratory discovery</w:t>
            </w:r>
          </w:p>
        </w:tc>
        <w:tc>
          <w:tcPr>
            <w:tcW w:type="dxa" w:w="5112"/>
          </w:tcPr>
          <w:p>
            <w:pPr>
              <w:spacing w:after="20"/>
            </w:pPr>
            <w:r>
              <w:rPr>
                <w:sz w:val="17"/>
              </w:rPr>
            </w:r>
            <w:r>
              <w:rPr>
                <w:b w:val="0"/>
                <w:sz w:val="17"/>
              </w:rPr>
              <w:t>Found after analysis. Useful for future-freezing only.</w:t>
            </w:r>
          </w:p>
        </w:tc>
      </w:tr>
      <w:tr>
        <w:tc>
          <w:tcPr>
            <w:tcW w:type="dxa" w:w="5112"/>
          </w:tcPr>
          <w:p>
            <w:pPr>
              <w:spacing w:after="20"/>
            </w:pPr>
            <w:r>
              <w:rPr>
                <w:sz w:val="17"/>
              </w:rPr>
            </w:r>
            <w:r>
              <w:rPr>
                <w:b w:val="0"/>
                <w:sz w:val="17"/>
              </w:rPr>
              <w:t>Cautioned / non-interpretable</w:t>
            </w:r>
          </w:p>
        </w:tc>
        <w:tc>
          <w:tcPr>
            <w:tcW w:type="dxa" w:w="5112"/>
          </w:tcPr>
          <w:p>
            <w:pPr>
              <w:spacing w:after="20"/>
            </w:pPr>
            <w:r>
              <w:rPr>
                <w:sz w:val="17"/>
              </w:rPr>
            </w:r>
            <w:r>
              <w:rPr>
                <w:b w:val="0"/>
                <w:sz w:val="17"/>
              </w:rPr>
              <w:t>Timing, artifact, stimulus, channel-map, or confound problem prevents strong interpretation.</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PRAYCG / Topo-OSM working documents - exploratory methods architecture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669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Text"/>
    <w:rPr>
      <w:rFonts w:ascii="Aptos" w:hAnsi="Aptos"/>
      <w:sz w:val="18"/>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