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1F5A7A"/>
          <w:sz w:val="56"/>
        </w:rPr>
        <w:t>SCHRODINGER'S PROTOCOL</w:t>
      </w:r>
    </w:p>
    <w:p>
      <w:pPr>
        <w:jc w:val="center"/>
      </w:pPr>
      <w:r>
        <w:rPr>
          <w:i/>
          <w:color w:val="505050"/>
          <w:sz w:val="28"/>
        </w:rPr>
        <w:t>A consolidated supplemental conceptual document for PR-AYC-G</w:t>
      </w:r>
    </w:p>
    <w:p>
      <w:pPr>
        <w:spacing w:before="80"/>
        <w:jc w:val="center"/>
      </w:pPr>
      <w:r>
        <w:rPr>
          <w:color w:val="5A5A5A"/>
          <w:sz w:val="22"/>
        </w:rPr>
        <w:t>OSF/TSC Bonus Theory Area | Version 1.0</w:t>
      </w:r>
    </w:p>
    <w:tbl>
      <w:tblPr>
        <w:tblW w:type="auto" w:w="0"/>
        <w:jc w:val="center"/>
        <w:tblLayout w:type="autofit"/>
        <w:tblLook w:firstColumn="1" w:firstRow="1" w:lastColumn="0" w:lastRow="0" w:noHBand="0" w:noVBand="1" w:val="04A0"/>
      </w:tblPr>
      <w:tblGrid>
        <w:gridCol w:w="10080"/>
      </w:tblGrid>
      <w:tr>
        <w:tc>
          <w:tcPr>
            <w:tcW w:type="dxa" w:w="10080"/>
            <w:shd w:fill="FFF2CC"/>
            <w:tcBorders>
              <w:top w:val="single" w:sz="8" w:color="C09000"/>
              <w:left w:val="single" w:sz="8" w:color="C09000"/>
              <w:bottom w:val="single" w:sz="8" w:color="C09000"/>
              <w:right w:val="single" w:sz="8" w:color="C09000"/>
            </w:tcBorders>
          </w:tcPr>
          <w:p>
            <w:pPr>
              <w:spacing w:after="0" w:before="0"/>
            </w:pPr>
            <w:r>
              <w:rPr>
                <w:b w:val="0"/>
                <w:i w:val="0"/>
                <w:sz w:val="21"/>
              </w:rPr>
              <w:t>Document status: Supplemental conceptual context. This document is not the primary empirical protocol, not a statistical analysis plan, not a clinical document, not legal advice, and not a claim of proof of consciousness, quantum gravity, Orch-OR, metaphysical truth, or literal wave-function collapse. It preserves the dual-register interpretation of PR-AYC-G while keeping empirical inference fenced inside the technical documents.</w:t>
            </w:r>
          </w:p>
        </w:tc>
      </w:tr>
    </w:tbl>
    <w:p>
      <w:pPr>
        <w:spacing w:before="200"/>
        <w:jc w:val="center"/>
      </w:pPr>
      <w:r>
        <w:rPr>
          <w:b/>
          <w:color w:val="1F5A7A"/>
        </w:rPr>
        <w:t>Source provenance</w:t>
      </w:r>
    </w:p>
    <w:p>
      <w:pPr>
        <w:jc w:val="center"/>
      </w:pPr>
      <w:r>
        <w:t>Consolidated from the user-provided Schrodinger's Protocol drafts and related PR-AYC-G conceptual notes. It is edited for OSF readability, ethical clarity, and epistemic boundary control.</w:t>
      </w:r>
    </w:p>
    <w:p>
      <w:pPr>
        <w:spacing w:before="360"/>
        <w:jc w:val="center"/>
      </w:pPr>
      <w:r>
        <w:rPr>
          <w:b/>
          <w:color w:val="1F5A7A"/>
        </w:rPr>
        <w:t>Core sentence</w:t>
      </w:r>
    </w:p>
    <w:tbl>
      <w:tblPr>
        <w:tblW w:type="auto" w:w="0"/>
        <w:jc w:val="center"/>
        <w:tblLayout w:type="autofit"/>
        <w:tblLook w:firstColumn="1" w:firstRow="1" w:lastColumn="0" w:lastRow="0" w:noHBand="0" w:noVBand="1" w:val="04A0"/>
      </w:tblPr>
      <w:tblGrid>
        <w:gridCol w:w="10080"/>
      </w:tblGrid>
      <w:tr>
        <w:tc>
          <w:tcPr>
            <w:tcW w:type="dxa" w:w="10080"/>
            <w:shd w:fill="EAF6E8"/>
            <w:tcBorders>
              <w:top w:val="single" w:sz="8" w:color="7DA36E"/>
              <w:left w:val="single" w:sz="8" w:color="7DA36E"/>
              <w:bottom w:val="single" w:sz="8" w:color="7DA36E"/>
              <w:right w:val="single" w:sz="8" w:color="7DA36E"/>
            </w:tcBorders>
          </w:tcPr>
          <w:p>
            <w:pPr>
              <w:spacing w:after="0" w:before="0"/>
            </w:pPr>
            <w:r>
              <w:rPr>
                <w:b/>
                <w:i/>
                <w:sz w:val="21"/>
              </w:rPr>
              <w:t>PR-AYC-G is serious enough to survive being funny.</w:t>
            </w:r>
          </w:p>
        </w:tc>
      </w:tr>
    </w:tbl>
    <w:p>
      <w:pPr>
        <w:pStyle w:val="Heading1"/>
      </w:pPr>
      <w:r>
        <w:t>Contents</w:t>
      </w:r>
    </w:p>
    <w:p>
      <w:pPr>
        <w:pStyle w:val="ListNumber"/>
        <w:spacing w:after="80"/>
      </w:pPr>
      <w:r>
        <w:t>1. The First Gate: Register and Scope</w:t>
      </w:r>
    </w:p>
    <w:p>
      <w:pPr>
        <w:pStyle w:val="ListNumber"/>
        <w:spacing w:after="80"/>
      </w:pPr>
      <w:r>
        <w:t>2. The Measurement Cathedral</w:t>
      </w:r>
    </w:p>
    <w:p>
      <w:pPr>
        <w:pStyle w:val="ListNumber"/>
        <w:spacing w:after="80"/>
      </w:pPr>
      <w:r>
        <w:t>3. The Faraday Cage as Subtraction</w:t>
      </w:r>
    </w:p>
    <w:p>
      <w:pPr>
        <w:pStyle w:val="ListNumber"/>
        <w:spacing w:after="80"/>
      </w:pPr>
      <w:r>
        <w:t>4. The Narrative Payload</w:t>
      </w:r>
    </w:p>
    <w:p>
      <w:pPr>
        <w:pStyle w:val="ListNumber"/>
        <w:spacing w:after="80"/>
      </w:pPr>
      <w:r>
        <w:t>5. The Interpretive Superposition</w:t>
      </w:r>
    </w:p>
    <w:p>
      <w:pPr>
        <w:pStyle w:val="ListNumber"/>
        <w:spacing w:after="80"/>
      </w:pPr>
      <w:r>
        <w:t>6. Four Institutions in the Box</w:t>
      </w:r>
    </w:p>
    <w:p>
      <w:pPr>
        <w:pStyle w:val="ListNumber"/>
        <w:spacing w:after="80"/>
      </w:pPr>
      <w:r>
        <w:t>7. Authorship as the First Gate</w:t>
      </w:r>
    </w:p>
    <w:p>
      <w:pPr>
        <w:pStyle w:val="ListNumber"/>
        <w:spacing w:after="80"/>
      </w:pPr>
      <w:r>
        <w:t>8. The Ethical Boundary</w:t>
      </w:r>
    </w:p>
    <w:p>
      <w:pPr>
        <w:pStyle w:val="ListNumber"/>
        <w:spacing w:after="80"/>
      </w:pPr>
      <w:r>
        <w:t>9. How This Document Should Be Used on OSF</w:t>
      </w:r>
    </w:p>
    <w:p>
      <w:pPr>
        <w:pStyle w:val="ListNumber"/>
        <w:spacing w:after="80"/>
      </w:pPr>
      <w:r>
        <w:t>10. Non-Claims</w:t>
      </w:r>
    </w:p>
    <w:p>
      <w:pPr>
        <w:pStyle w:val="ListNumber"/>
        <w:spacing w:after="80"/>
      </w:pPr>
      <w:r>
        <w:t>11. Closing: Measurement as Servant</w:t>
      </w:r>
    </w:p>
    <w:p>
      <w:pPr>
        <w:pStyle w:val="Heading1"/>
      </w:pPr>
      <w:r>
        <w:t>1. The First Gate: Register and Scope</w:t>
      </w:r>
    </w:p>
    <w:p>
      <w:pPr>
        <w:spacing w:after="160" w:line="259" w:lineRule="auto"/>
      </w:pPr>
      <w:r>
        <w:t>There is a joke hidden inside the first gate. It is not a joke because the experiment is unserious. It is a joke because the experiment is serious enough to survive being funny.</w:t>
      </w:r>
    </w:p>
    <w:p>
      <w:pPr>
        <w:spacing w:after="160" w:line="259" w:lineRule="auto"/>
      </w:pPr>
      <w:r>
        <w:t>PR-AYC-G can be read in two registers at once. In the formal register, it is a bounded empirical protocol: a narrative stimulus, consenting participants, physiological measurement, artifact controls, respiration-aware analysis, self-report, and a careful refusal to leap from EEG into metaphysics. It asks whether meaningful narrative can organize measurable physiological or neural timing beyond selected controls.</w:t>
      </w:r>
    </w:p>
    <w:p>
      <w:pPr>
        <w:spacing w:after="160" w:line="259" w:lineRule="auto"/>
      </w:pPr>
      <w:r>
        <w:t>In the conceptual register, the same event becomes a deadpan artwork about measurement culture. A person enters a carefully engineered quiet room, the apparatus becomes almost cathedral-like, the documents speak in the language of coherence and damping, and then the payload is not a sterile tone or sanitized task. The payload is a story.</w:t>
      </w:r>
    </w:p>
    <w:tbl>
      <w:tblPr>
        <w:tblW w:type="auto" w:w="0"/>
        <w:jc w:val="center"/>
        <w:tblLayout w:type="autofit"/>
        <w:tblLook w:firstColumn="1" w:firstRow="1" w:lastColumn="0" w:lastRow="0" w:noHBand="0" w:noVBand="1" w:val="04A0"/>
      </w:tblPr>
      <w:tblGrid>
        <w:gridCol w:w="10080"/>
      </w:tblGrid>
      <w:tr>
        <w:tc>
          <w:tcPr>
            <w:tcW w:type="dxa" w:w="10080"/>
            <w:shd w:fill="EAF3F8"/>
            <w:tcBorders>
              <w:top w:val="single" w:sz="8" w:color="1F5A7A"/>
              <w:left w:val="single" w:sz="8" w:color="1F5A7A"/>
              <w:bottom w:val="single" w:sz="8" w:color="1F5A7A"/>
              <w:right w:val="single" w:sz="8" w:color="1F5A7A"/>
            </w:tcBorders>
          </w:tcPr>
          <w:p>
            <w:pPr>
              <w:spacing w:after="0" w:before="0"/>
            </w:pPr>
            <w:r>
              <w:rPr>
                <w:b/>
                <w:i w:val="0"/>
                <w:sz w:val="21"/>
              </w:rPr>
              <w:t>Empirical rule: only the formal register carries inferential weight. The conceptual register explains why the protocol matters; it does not add evidence to the EEG, autonomic, respiration, artifact, or self-report analyses.</w:t>
            </w:r>
          </w:p>
        </w:tc>
      </w:tr>
    </w:tbl>
    <w:p>
      <w:pPr>
        <w:pStyle w:val="Heading1"/>
      </w:pPr>
      <w:r>
        <w:t>2. The Measurement Cathedral</w:t>
      </w:r>
    </w:p>
    <w:p>
      <w:pPr>
        <w:spacing w:after="160" w:line="259" w:lineRule="auto"/>
      </w:pPr>
      <w:r>
        <w:t>The beautiful absurdity of PR-AYC-G is the mismatch between the apparatus and the human center. The harder the apparatus tries to become pure, the more naked the human center becomes. Strip away the copper mesh, the ground, the cap, the timestamps, the signal processing, the equations, and the institutional costume of seriousness, and what remains is simple: a human being sitting alone in the dark, watching something designed to make the heart respond.</w:t>
      </w:r>
    </w:p>
    <w:p>
      <w:pPr>
        <w:spacing w:after="160" w:line="259" w:lineRule="auto"/>
      </w:pPr>
      <w:r>
        <w:t>That contrast is the artwork. The theoretical armor is enormous. The soft core is almost ridiculous. The protocol is not merely a technical arrangement; it is a collision between the modern hunger to measure and the ancient human need to feel.</w:t>
      </w:r>
    </w:p>
    <w:p>
      <w:pPr>
        <w:spacing w:after="160" w:line="259" w:lineRule="auto"/>
      </w:pPr>
      <w:r>
        <w:t>The empirical purpose is still sober. The apparatus exists to reduce ambiguity, timestamp stimulus events, distinguish target from control, reject artifacts, and give the data the best chance to falsify or constrain the hypothesis. The conceptual purpose is sharper because of that seriousness: the project asks why meaning often has to be made legible by instruments before a data-obsessed culture will admit that it mattered.</w:t>
      </w:r>
    </w:p>
    <w:p>
      <w:pPr>
        <w:pStyle w:val="Heading1"/>
      </w:pPr>
      <w:r>
        <w:t>3. The Faraday Cage as Subtraction</w:t>
      </w:r>
    </w:p>
    <w:p>
      <w:pPr>
        <w:spacing w:after="160" w:line="259" w:lineRule="auto"/>
      </w:pPr>
      <w:r>
        <w:t>A Faraday cage is a machine for subtraction. It removes interference. It quiets the room. It says: take away the hum, the stray signal, the electrical weather of the world. Make the space as clean as possible so that, if something remains, the remaining signal can be interrogated.</w:t>
      </w:r>
    </w:p>
    <w:p>
      <w:pPr>
        <w:spacing w:after="160" w:line="259" w:lineRule="auto"/>
      </w:pPr>
      <w:r>
        <w:t>But what remains is not clean in the human sense. What remains may be grief, recognition, longing, attachment, memory, projection, embarrassment, tenderness, resistance, fatigue, or refusal. The protocol does not purify the human being into a machine. It makes the contradiction visible: human meaning is messy, but the attempt to measure it must still be disciplined.</w:t>
      </w:r>
    </w:p>
    <w:tbl>
      <w:tblPr>
        <w:tblW w:type="auto" w:w="0"/>
        <w:jc w:val="center"/>
        <w:tblLayout w:type="autofit"/>
        <w:tblLook w:firstColumn="1" w:firstRow="1" w:lastColumn="0" w:lastRow="0" w:noHBand="0" w:noVBand="1" w:val="04A0"/>
      </w:tblPr>
      <w:tblGrid>
        <w:gridCol w:w="10080"/>
      </w:tblGrid>
      <w:tr>
        <w:tc>
          <w:tcPr>
            <w:tcW w:type="dxa" w:w="10080"/>
            <w:shd w:fill="EAF6E8"/>
            <w:tcBorders>
              <w:top w:val="single" w:sz="8" w:color="7DA36E"/>
              <w:left w:val="single" w:sz="8" w:color="7DA36E"/>
              <w:bottom w:val="single" w:sz="8" w:color="7DA36E"/>
              <w:right w:val="single" w:sz="8" w:color="7DA36E"/>
            </w:tcBorders>
          </w:tcPr>
          <w:p>
            <w:pPr>
              <w:spacing w:after="0" w:before="0"/>
            </w:pPr>
            <w:r>
              <w:rPr>
                <w:b w:val="0"/>
                <w:i/>
                <w:sz w:val="21"/>
              </w:rPr>
              <w:t>The cage says: remove the noise. The story says: let the human enter. The instrument says: show me the trace. The framework says: do not overclaim.</w:t>
            </w:r>
          </w:p>
        </w:tc>
      </w:tr>
    </w:tbl>
    <w:p>
      <w:pPr>
        <w:pStyle w:val="Heading1"/>
      </w:pPr>
      <w:r>
        <w:t>4. The Narrative Payload</w:t>
      </w:r>
    </w:p>
    <w:p>
      <w:pPr>
        <w:spacing w:after="160" w:line="259" w:lineRule="auto"/>
      </w:pPr>
      <w:r>
        <w:t>The target narrative is itself an emotional technology. It coordinates expectation, delay, loss, identification, recognition, and release. It does not need to be aesthetically subtle in order to be useful. It only has to work on the nervous system.</w:t>
      </w:r>
    </w:p>
    <w:p>
      <w:pPr>
        <w:spacing w:after="160" w:line="259" w:lineRule="auto"/>
      </w:pPr>
      <w:r>
        <w:t>This is why emotionally direct media can sharpen the conceptual blade rather than dull it. PR-AYC-G does not hide behind refined taste. It uses a narrative object capable of moving the body and then asks the instruments, with a straight face: Did the timing change? Did the body change? Did meaning leave a trace?</w:t>
      </w:r>
    </w:p>
    <w:p>
      <w:pPr>
        <w:spacing w:after="160" w:line="259" w:lineRule="auto"/>
      </w:pPr>
      <w:r>
        <w:t>The phrase 'emotional technology' should not be misunderstood as a claim of manipulation beyond consent. In an ethical protocol, participants must be informed within the approved design, able to stop, and protected from humiliation or coercion. The point is not to trick a participant into vulnerability. The point is to ask whether a meaningful event, presented under controlled conditions, produces a measurable afterimage.</w:t>
      </w:r>
    </w:p>
    <w:p>
      <w:pPr>
        <w:pStyle w:val="Heading1"/>
      </w:pPr>
      <w:r>
        <w:t>5. The Interpretive Superposition</w:t>
      </w:r>
    </w:p>
    <w:p>
      <w:pPr>
        <w:spacing w:after="160" w:line="259" w:lineRule="auto"/>
      </w:pPr>
      <w:r>
        <w:t>This is where Schrodinger's Protocol earns its name. Until the data are opened, the experiment remains in interpretive superposition. It may be a legitimate empirical doorway. It may be a null result. It may be a measurement artifact. It may be a monument to the absurdity of trying to quantify human emotion. It may be all of these at once.</w:t>
      </w:r>
    </w:p>
    <w:p>
      <w:pPr>
        <w:spacing w:after="160" w:line="259" w:lineRule="auto"/>
      </w:pPr>
      <w:r>
        <w:t>The box is not merely the copper-lined chamber. The box is the interpretive state of the protocol itself. Before analysis, the experiment is cathedral and joke, instrument and mirror, hypothesis and punchline. It is a box with a living question inside.</w:t>
      </w:r>
    </w:p>
    <w:p>
      <w:pPr>
        <w:spacing w:after="160" w:line="259" w:lineRule="auto"/>
      </w:pPr>
      <w:r>
        <w:t>When the data are opened, one state may dominate the empirical interpretation. A clean result may support a bounded physiological claim. A null result may constrain the theory. An artifact result may teach the protocol where it failed. But the conceptual register does not disappear, because the broader question remains: why did such a machine have to be built to ask whether a story reached the body?</w:t>
      </w:r>
    </w:p>
    <w:p>
      <w:pPr>
        <w:pStyle w:val="Heading1"/>
      </w:pPr>
      <w:r>
        <w:t>6. Four Institutions in the Box</w:t>
      </w:r>
    </w:p>
    <w:p>
      <w:pPr>
        <w:spacing w:after="160" w:line="259" w:lineRule="auto"/>
      </w:pPr>
      <w:r>
        <w:t>Schrodinger's Protocol can also be read as an epistemological trap for four institutions. It does not ask each institution to agree with the framework. It asks each institution to reveal what kind of reality it is capable of recognizing.</w:t>
      </w:r>
    </w:p>
    <w:tbl>
      <w:tblPr>
        <w:tblW w:type="auto" w:w="0"/>
        <w:jc w:val="center"/>
        <w:tblLook w:firstColumn="1" w:firstRow="1" w:lastColumn="0" w:lastRow="0" w:noHBand="0" w:noVBand="1" w:val="04A0"/>
      </w:tblPr>
      <w:tblGrid>
        <w:gridCol w:w="3360"/>
        <w:gridCol w:w="3360"/>
        <w:gridCol w:w="3360"/>
      </w:tblGrid>
      <w:tr>
        <w:tc>
          <w:tcPr>
            <w:tcW w:type="dxa" w:w="3360"/>
            <w:shd w:fill="1F5A7A"/>
          </w:tcPr>
          <w:p>
            <w:r>
              <w:rPr>
                <w:b/>
                <w:color w:val="FFFFFF"/>
                <w:sz w:val="18"/>
              </w:rPr>
              <w:t>Institution</w:t>
            </w:r>
          </w:p>
        </w:tc>
        <w:tc>
          <w:tcPr>
            <w:tcW w:type="dxa" w:w="3360"/>
            <w:shd w:fill="1F5A7A"/>
          </w:tcPr>
          <w:p>
            <w:r>
              <w:rPr>
                <w:b/>
                <w:color w:val="FFFFFF"/>
                <w:sz w:val="18"/>
              </w:rPr>
              <w:t>What it wants</w:t>
            </w:r>
          </w:p>
        </w:tc>
        <w:tc>
          <w:tcPr>
            <w:tcW w:type="dxa" w:w="3360"/>
            <w:shd w:fill="1F5A7A"/>
          </w:tcPr>
          <w:p>
            <w:r>
              <w:rPr>
                <w:b/>
                <w:color w:val="FFFFFF"/>
                <w:sz w:val="18"/>
              </w:rPr>
              <w:t>What PR-AYC-G asks it to face</w:t>
            </w:r>
          </w:p>
        </w:tc>
      </w:tr>
      <w:tr>
        <w:tc>
          <w:tcPr>
            <w:tcW w:type="dxa" w:w="3360"/>
            <w:vAlign w:val="top"/>
          </w:tcPr>
          <w:p>
            <w:pPr>
              <w:spacing w:after="0"/>
            </w:pPr>
            <w:r/>
            <w:r>
              <w:rPr>
                <w:b/>
                <w:sz w:val="18"/>
              </w:rPr>
              <w:t>Science</w:t>
            </w:r>
          </w:p>
        </w:tc>
        <w:tc>
          <w:tcPr>
            <w:tcW w:type="dxa" w:w="3360"/>
            <w:vAlign w:val="top"/>
          </w:tcPr>
          <w:p>
            <w:pPr>
              <w:spacing w:after="0"/>
            </w:pPr>
            <w:r/>
            <w:r>
              <w:rPr>
                <w:b w:val="0"/>
                <w:sz w:val="18"/>
              </w:rPr>
              <w:t>Clean variables, valid controls, artifact rejection, model comparison.</w:t>
            </w:r>
          </w:p>
        </w:tc>
        <w:tc>
          <w:tcPr>
            <w:tcW w:type="dxa" w:w="3360"/>
            <w:vAlign w:val="top"/>
          </w:tcPr>
          <w:p>
            <w:pPr>
              <w:spacing w:after="0"/>
            </w:pPr>
            <w:r/>
            <w:r>
              <w:rPr>
                <w:b w:val="0"/>
                <w:sz w:val="18"/>
              </w:rPr>
              <w:t>Can measurement honor meaning without reducing it to the trace it leaves?</w:t>
            </w:r>
          </w:p>
        </w:tc>
      </w:tr>
      <w:tr>
        <w:tc>
          <w:tcPr>
            <w:tcW w:type="dxa" w:w="3360"/>
            <w:vAlign w:val="top"/>
          </w:tcPr>
          <w:p>
            <w:pPr>
              <w:spacing w:after="0"/>
            </w:pPr>
            <w:r/>
            <w:r>
              <w:rPr>
                <w:b/>
                <w:sz w:val="18"/>
              </w:rPr>
              <w:t>Law / authorship</w:t>
            </w:r>
          </w:p>
        </w:tc>
        <w:tc>
          <w:tcPr>
            <w:tcW w:type="dxa" w:w="3360"/>
            <w:vAlign w:val="top"/>
          </w:tcPr>
          <w:p>
            <w:pPr>
              <w:spacing w:after="0"/>
            </w:pPr>
            <w:r/>
            <w:r>
              <w:rPr>
                <w:b w:val="0"/>
                <w:sz w:val="18"/>
              </w:rPr>
              <w:t>Clean authors, clean outputs, clean boundaries of expression.</w:t>
            </w:r>
          </w:p>
        </w:tc>
        <w:tc>
          <w:tcPr>
            <w:tcW w:type="dxa" w:w="3360"/>
            <w:vAlign w:val="top"/>
          </w:tcPr>
          <w:p>
            <w:pPr>
              <w:spacing w:after="0"/>
            </w:pPr>
            <w:r/>
            <w:r>
              <w:rPr>
                <w:b w:val="0"/>
                <w:sz w:val="18"/>
              </w:rPr>
              <w:t>Can human authorship be architectural, curatorial, and boundary-governed when AI is used as an instrument?</w:t>
            </w:r>
          </w:p>
        </w:tc>
      </w:tr>
      <w:tr>
        <w:tc>
          <w:tcPr>
            <w:tcW w:type="dxa" w:w="3360"/>
            <w:vAlign w:val="top"/>
          </w:tcPr>
          <w:p>
            <w:pPr>
              <w:spacing w:after="0"/>
            </w:pPr>
            <w:r/>
            <w:r>
              <w:rPr>
                <w:b/>
                <w:sz w:val="18"/>
              </w:rPr>
              <w:t>Culture / art</w:t>
            </w:r>
          </w:p>
        </w:tc>
        <w:tc>
          <w:tcPr>
            <w:tcW w:type="dxa" w:w="3360"/>
            <w:vAlign w:val="top"/>
          </w:tcPr>
          <w:p>
            <w:pPr>
              <w:spacing w:after="0"/>
            </w:pPr>
            <w:r/>
            <w:r>
              <w:rPr>
                <w:b w:val="0"/>
                <w:sz w:val="18"/>
              </w:rPr>
              <w:t>Proof that what matters is real, or form that reveals a cultural wound.</w:t>
            </w:r>
          </w:p>
        </w:tc>
        <w:tc>
          <w:tcPr>
            <w:tcW w:type="dxa" w:w="3360"/>
            <w:vAlign w:val="top"/>
          </w:tcPr>
          <w:p>
            <w:pPr>
              <w:spacing w:after="0"/>
            </w:pPr>
            <w:r/>
            <w:r>
              <w:rPr>
                <w:b w:val="0"/>
                <w:sz w:val="18"/>
              </w:rPr>
              <w:t>Why does care often need a sensor, timestamp, or number before it is treated as serious?</w:t>
            </w:r>
          </w:p>
        </w:tc>
      </w:tr>
      <w:tr>
        <w:tc>
          <w:tcPr>
            <w:tcW w:type="dxa" w:w="3360"/>
            <w:vAlign w:val="top"/>
          </w:tcPr>
          <w:p>
            <w:pPr>
              <w:spacing w:after="0"/>
            </w:pPr>
            <w:r/>
            <w:r>
              <w:rPr>
                <w:b/>
                <w:sz w:val="18"/>
              </w:rPr>
              <w:t>Ethics</w:t>
            </w:r>
          </w:p>
        </w:tc>
        <w:tc>
          <w:tcPr>
            <w:tcW w:type="dxa" w:w="3360"/>
            <w:vAlign w:val="top"/>
          </w:tcPr>
          <w:p>
            <w:pPr>
              <w:spacing w:after="0"/>
            </w:pPr>
            <w:r/>
            <w:r>
              <w:rPr>
                <w:b w:val="0"/>
                <w:sz w:val="18"/>
              </w:rPr>
              <w:t>Participant safety, consent, debriefing, and non-exploitation.</w:t>
            </w:r>
          </w:p>
        </w:tc>
        <w:tc>
          <w:tcPr>
            <w:tcW w:type="dxa" w:w="3360"/>
            <w:vAlign w:val="top"/>
          </w:tcPr>
          <w:p>
            <w:pPr>
              <w:spacing w:after="0"/>
            </w:pPr>
            <w:r/>
            <w:r>
              <w:rPr>
                <w:b w:val="0"/>
                <w:sz w:val="18"/>
              </w:rPr>
              <w:t>Can the work remain mischievous while the human subject remains protected?</w:t>
            </w:r>
          </w:p>
        </w:tc>
      </w:tr>
    </w:tbl>
    <w:p>
      <w:pPr>
        <w:spacing w:after="160" w:line="259" w:lineRule="auto"/>
      </w:pPr>
      <w:r>
        <w:t>The scientific instrument asks whether care leaves a temporal trace. The legal instrument asks whether human authorship leaves a structural trace. The artistic instrument asks why either trace must be made visible before the culture will take the underlying reality seriously. The ethical instrument asks whether the trace can be sought without using the participant as a prop.</w:t>
      </w:r>
    </w:p>
    <w:p>
      <w:pPr>
        <w:pStyle w:val="Heading1"/>
      </w:pPr>
      <w:r>
        <w:t>7. Authorship as the First Gate</w:t>
      </w:r>
    </w:p>
    <w:p>
      <w:pPr>
        <w:spacing w:after="160" w:line="259" w:lineRule="auto"/>
      </w:pPr>
      <w:r>
        <w:t>The authorship problem is PR-AYC-G displaced into language. The measurable surface may say that AI generated portions of the prose. The deeper structure says that a human conceptual field organized the conditions under which those sentences could mean this, here, in this sequence, inside this work.</w:t>
      </w:r>
    </w:p>
    <w:p>
      <w:pPr>
        <w:spacing w:after="160" w:line="259" w:lineRule="auto"/>
      </w:pPr>
      <w:r>
        <w:t>This document therefore does not conceal AI as a ghostwriter and does not enthrone AI as the author. It treats AI-assisted prose as a linguistic instrument inside a human-governed architecture. The human contribution lies in the framework, source material, governing metaphors, prompts, selection, coordination, arrangement, revision, document sequence, and final composition.</w:t>
      </w:r>
    </w:p>
    <w:tbl>
      <w:tblPr>
        <w:tblW w:type="auto" w:w="0"/>
        <w:jc w:val="center"/>
        <w:tblLayout w:type="autofit"/>
        <w:tblLook w:firstColumn="1" w:firstRow="1" w:lastColumn="0" w:lastRow="0" w:noHBand="0" w:noVBand="1" w:val="04A0"/>
      </w:tblPr>
      <w:tblGrid>
        <w:gridCol w:w="10080"/>
      </w:tblGrid>
      <w:tr>
        <w:tc>
          <w:tcPr>
            <w:tcW w:type="dxa" w:w="10080"/>
            <w:shd w:fill="EAF3F8"/>
            <w:tcBorders>
              <w:top w:val="single" w:sz="8" w:color="1F5A7A"/>
              <w:left w:val="single" w:sz="8" w:color="1F5A7A"/>
              <w:bottom w:val="single" w:sz="8" w:color="1F5A7A"/>
              <w:right w:val="single" w:sz="8" w:color="1F5A7A"/>
            </w:tcBorders>
          </w:tcPr>
          <w:p>
            <w:pPr>
              <w:spacing w:after="0" w:before="0"/>
            </w:pPr>
            <w:r>
              <w:rPr>
                <w:b/>
                <w:i/>
                <w:sz w:val="21"/>
              </w:rPr>
              <w:t>The machine may produce language. The human authors the world the language must serve.</w:t>
            </w:r>
          </w:p>
        </w:tc>
      </w:tr>
    </w:tbl>
    <w:p>
      <w:pPr>
        <w:spacing w:after="160" w:line="259" w:lineRule="auto"/>
      </w:pPr>
      <w:r>
        <w:t>This section is not legal advice and does not claim that every sentence is copyrightable human-authored expression. Its purpose is conceptual transparency: the method stages the same boundary problem the framework studies. How can an external instrument produce a trace without becoming sovereign over meaning?</w:t>
      </w:r>
    </w:p>
    <w:p>
      <w:pPr>
        <w:pStyle w:val="Heading1"/>
      </w:pPr>
      <w:r>
        <w:t>8. The Ethical Boundary</w:t>
      </w:r>
    </w:p>
    <w:p>
      <w:pPr>
        <w:spacing w:after="160" w:line="259" w:lineRule="auto"/>
      </w:pPr>
      <w:r>
        <w:t>The laugh must not dissolve the boundary. Human subjects are not props in an art stunt. Consent matters. Safety matters. Debriefing matters. Stop rules matter. The emotional stimulus must be appropriate, disclosed within ethical limits, and stoppable. No participant should be coerced, humiliated, trapped, or manipulated beyond the approved design.</w:t>
      </w:r>
    </w:p>
    <w:tbl>
      <w:tblPr>
        <w:tblW w:type="auto" w:w="0"/>
        <w:jc w:val="center"/>
        <w:tblLayout w:type="autofit"/>
        <w:tblLook w:firstColumn="1" w:firstRow="1" w:lastColumn="0" w:lastRow="0" w:noHBand="0" w:noVBand="1" w:val="04A0"/>
      </w:tblPr>
      <w:tblGrid>
        <w:gridCol w:w="10080"/>
      </w:tblGrid>
      <w:tr>
        <w:tc>
          <w:tcPr>
            <w:tcW w:type="dxa" w:w="10080"/>
            <w:shd w:fill="FFF2CC"/>
            <w:tcBorders>
              <w:top w:val="single" w:sz="8" w:color="C09000"/>
              <w:left w:val="single" w:sz="8" w:color="C09000"/>
              <w:bottom w:val="single" w:sz="8" w:color="C09000"/>
              <w:right w:val="single" w:sz="8" w:color="C09000"/>
            </w:tcBorders>
          </w:tcPr>
          <w:p>
            <w:pPr>
              <w:spacing w:after="0" w:before="0"/>
            </w:pPr>
            <w:r>
              <w:rPr>
                <w:b/>
                <w:i w:val="0"/>
                <w:sz w:val="21"/>
              </w:rPr>
              <w:t>The art may be mischievous; the ethics may not be.</w:t>
            </w:r>
          </w:p>
        </w:tc>
      </w:tr>
    </w:tbl>
    <w:p>
      <w:pPr>
        <w:spacing w:after="160" w:line="259" w:lineRule="auto"/>
      </w:pPr>
      <w:r>
        <w:t>This distinction allows Schrodinger's Protocol to be useful rather than merely clever. In the technical layer, PR-AYC-G remains sober: stimulus timing, controls, acquisition hardware, preprocessing, exclusion criteria, artifact rejection, respiration controls, self-report, and statistical endpoints. In the philosophical layer, it becomes an image of the whole project: a bounded chamber, a fragile human signal, a story placed in the dark, and a culture waiting to see whether care leaves a shape in time.</w:t>
      </w:r>
    </w:p>
    <w:p>
      <w:pPr>
        <w:pStyle w:val="Heading1"/>
      </w:pPr>
      <w:r>
        <w:t>9. How This Document Should Be Used on OSF</w:t>
      </w:r>
    </w:p>
    <w:p>
      <w:pPr>
        <w:spacing w:after="160" w:line="259" w:lineRule="auto"/>
      </w:pPr>
      <w:r>
        <w:t>This PDF belongs in the supplemental or bonus conceptual context folder. It should not be used as the primary empirical theory, the protocol, the analysis plan, or the evidence chain. The technical documents should be evaluated on their own terms: stimulus design, matched controls, markers, physiology, respiration, artifacts, statistical contrasts, and falsification logic.</w:t>
      </w:r>
    </w:p>
    <w:p>
      <w:pPr>
        <w:spacing w:after="160" w:line="259" w:lineRule="auto"/>
      </w:pPr>
      <w:r>
        <w:t>Recommended placement:</w:t>
      </w:r>
    </w:p>
    <w:p>
      <w:pPr>
        <w:pStyle w:val="ListBullet"/>
        <w:spacing w:after="80"/>
      </w:pPr>
      <w:r>
        <w:t>04_Bonus_Theory_Conceptual_Context/Schrodingers_Protocol_OSF_Consolidated_v1_0.pdf</w:t>
      </w:r>
    </w:p>
    <w:p>
      <w:pPr>
        <w:pStyle w:val="ListBullet"/>
        <w:spacing w:after="80"/>
      </w:pPr>
      <w:r>
        <w:t>Optional companion to D233 Meaning, Consciousness, and Embodied Relevance Theory.</w:t>
      </w:r>
    </w:p>
    <w:p>
      <w:pPr>
        <w:pStyle w:val="ListBullet"/>
        <w:spacing w:after="80"/>
      </w:pPr>
      <w:r>
        <w:t>Optional companion to the PR-AYC-G public master theory and protocol.</w:t>
      </w:r>
    </w:p>
    <w:p>
      <w:pPr>
        <w:pStyle w:val="ListBullet"/>
        <w:spacing w:after="80"/>
      </w:pPr>
      <w:r>
        <w:t>Not required for evaluating empirical results.</w:t>
      </w:r>
    </w:p>
    <w:p>
      <w:pPr>
        <w:spacing w:after="160" w:line="259" w:lineRule="auto"/>
      </w:pPr>
      <w:r>
        <w:t>The suggested OSF README language is simple: evaluate the empirical protocol empirically; read the conceptual register optionally. Do not let the artwork contaminate the evidence chain. Do not let the evidence chain pretend it exhausts the meaning.</w:t>
      </w:r>
    </w:p>
    <w:p>
      <w:pPr>
        <w:pStyle w:val="Heading1"/>
      </w:pPr>
      <w:r>
        <w:t>10. Non-Claims</w:t>
      </w:r>
    </w:p>
    <w:p>
      <w:pPr>
        <w:spacing w:after="160" w:line="259" w:lineRule="auto"/>
      </w:pPr>
      <w:r>
        <w:t>This document explicitly does not claim:</w:t>
      </w:r>
    </w:p>
    <w:p>
      <w:pPr>
        <w:pStyle w:val="ListBullet"/>
        <w:spacing w:after="80"/>
      </w:pPr>
      <w:r>
        <w:t>that PR-AYC-G proves consciousness;</w:t>
      </w:r>
    </w:p>
    <w:p>
      <w:pPr>
        <w:pStyle w:val="ListBullet"/>
        <w:spacing w:after="80"/>
      </w:pPr>
      <w:r>
        <w:t>that PR-AYC-G proves quantum gravity, Orch-OR, the soul, or metaphysical love;</w:t>
      </w:r>
    </w:p>
    <w:p>
      <w:pPr>
        <w:pStyle w:val="ListBullet"/>
        <w:spacing w:after="80"/>
      </w:pPr>
      <w:r>
        <w:t>that EEG gamma is gamma radiation or that a film scene opens a metaphysical portal;</w:t>
      </w:r>
    </w:p>
    <w:p>
      <w:pPr>
        <w:pStyle w:val="ListBullet"/>
        <w:spacing w:after="80"/>
      </w:pPr>
      <w:r>
        <w:t>that a positive result would weigh meaning, prove qualia, or solve consciousness;</w:t>
      </w:r>
    </w:p>
    <w:p>
      <w:pPr>
        <w:pStyle w:val="ListBullet"/>
        <w:spacing w:after="80"/>
      </w:pPr>
      <w:r>
        <w:t>that a null result makes the event meaningless;</w:t>
      </w:r>
    </w:p>
    <w:p>
      <w:pPr>
        <w:pStyle w:val="ListBullet"/>
        <w:spacing w:after="80"/>
      </w:pPr>
      <w:r>
        <w:t>that humor overrides human-subject ethics;</w:t>
      </w:r>
    </w:p>
    <w:p>
      <w:pPr>
        <w:pStyle w:val="ListBullet"/>
        <w:spacing w:after="80"/>
      </w:pPr>
      <w:r>
        <w:t>that AI-generated surface prose should be falsely represented as entirely handwritten human expression;</w:t>
      </w:r>
    </w:p>
    <w:p>
      <w:pPr>
        <w:pStyle w:val="ListBullet"/>
        <w:spacing w:after="80"/>
      </w:pPr>
      <w:r>
        <w:t>that the conceptual register adds inferential weight to the empirical analyses.</w:t>
      </w:r>
    </w:p>
    <w:p>
      <w:pPr>
        <w:spacing w:after="160" w:line="259" w:lineRule="auto"/>
      </w:pPr>
      <w:r>
        <w:t>A positive empirical result would say something narrower and more serious: under specified conditions, meaningful narrative may produce a measurable physiological or neural timing signature beyond selected controls. That is enough. It is more than enough.</w:t>
      </w:r>
    </w:p>
    <w:p>
      <w:pPr>
        <w:pStyle w:val="Heading1"/>
      </w:pPr>
      <w:r>
        <w:t>11. Closing: Measurement as Servant</w:t>
      </w:r>
    </w:p>
    <w:p>
      <w:pPr>
        <w:spacing w:after="160" w:line="259" w:lineRule="auto"/>
      </w:pPr>
      <w:r>
        <w:t>Here is the modern condition: we do not trust tears until a sensor has blessed them. We do not trust care until it has a correlate. We do not trust presence until it can be operationalized. We do not trust meaning until it leaves a number behind.</w:t>
      </w:r>
    </w:p>
    <w:p>
      <w:pPr>
        <w:spacing w:after="160" w:line="259" w:lineRule="auto"/>
      </w:pPr>
      <w:r>
        <w:t>So PR-AYC-G builds the number machine. Then it places a human story at the center of it. Then it waits.</w:t>
      </w:r>
    </w:p>
    <w:tbl>
      <w:tblPr>
        <w:tblW w:type="auto" w:w="0"/>
        <w:jc w:val="center"/>
        <w:tblLayout w:type="autofit"/>
        <w:tblLook w:firstColumn="1" w:firstRow="1" w:lastColumn="0" w:lastRow="0" w:noHBand="0" w:noVBand="1" w:val="04A0"/>
      </w:tblPr>
      <w:tblGrid>
        <w:gridCol w:w="10080"/>
      </w:tblGrid>
      <w:tr>
        <w:tc>
          <w:tcPr>
            <w:tcW w:type="dxa" w:w="10080"/>
            <w:shd w:fill="EAF6E8"/>
            <w:tcBorders>
              <w:top w:val="single" w:sz="8" w:color="7DA36E"/>
              <w:left w:val="single" w:sz="8" w:color="7DA36E"/>
              <w:bottom w:val="single" w:sz="8" w:color="7DA36E"/>
              <w:right w:val="single" w:sz="8" w:color="7DA36E"/>
            </w:tcBorders>
          </w:tcPr>
          <w:p>
            <w:pPr>
              <w:spacing w:after="0" w:before="0"/>
            </w:pPr>
            <w:r>
              <w:rPr>
                <w:b/>
                <w:i/>
                <w:sz w:val="21"/>
              </w:rPr>
              <w:t>Measurement is a servant, not a god.</w:t>
              <w:br/>
              <w:br/>
              <w:t>The instrument may record the trace.</w:t>
              <w:br/>
              <w:br/>
              <w:t>It did not invent the tear.</w:t>
            </w:r>
          </w:p>
        </w:tc>
      </w:tr>
    </w:tbl>
    <w:p>
      <w:pPr>
        <w:pStyle w:val="Heading1"/>
      </w:pPr>
      <w:r>
        <w:t>Appendix: Minimal OSF Folder Note</w:t>
      </w:r>
    </w:p>
    <w:p>
      <w:pPr>
        <w:spacing w:after="160" w:line="259" w:lineRule="auto"/>
      </w:pPr>
      <w:r>
        <w:t>Recommended folder note for the bonus theory area:</w:t>
      </w:r>
    </w:p>
    <w:tbl>
      <w:tblPr>
        <w:tblW w:type="auto" w:w="0"/>
        <w:jc w:val="center"/>
        <w:tblLayout w:type="autofit"/>
        <w:tblLook w:firstColumn="1" w:firstRow="1" w:lastColumn="0" w:lastRow="0" w:noHBand="0" w:noVBand="1" w:val="04A0"/>
      </w:tblPr>
      <w:tblGrid>
        <w:gridCol w:w="10080"/>
      </w:tblGrid>
      <w:tr>
        <w:tc>
          <w:tcPr>
            <w:tcW w:type="dxa" w:w="10080"/>
            <w:shd w:fill="F2F2F2"/>
            <w:tcBorders>
              <w:top w:val="single" w:sz="8" w:color="888888"/>
              <w:left w:val="single" w:sz="8" w:color="888888"/>
              <w:bottom w:val="single" w:sz="8" w:color="888888"/>
              <w:right w:val="single" w:sz="8" w:color="888888"/>
            </w:tcBorders>
          </w:tcPr>
          <w:p>
            <w:pPr>
              <w:spacing w:after="0" w:before="0"/>
            </w:pPr>
            <w:r>
              <w:rPr>
                <w:b w:val="0"/>
                <w:i w:val="0"/>
                <w:sz w:val="21"/>
              </w:rPr>
              <w:t>This folder contains optional conceptual and philosophical materials related to PR-AYC-G. These files are not required to evaluate the empirical protocol and do not add evidence to EEG, autonomic, respiration, artifact, or self-report analyses. Their purpose is to preserve the broader interpretive register of the project: PR-AYC-G as a bounded scientific protocol and also as a conceptual artwork about measurement culture, meaning, and the human impulse to make care legible.</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Schrodinger's Protocol - OSF supplemental conceptual context - not primary empirical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5A7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5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